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ind w:firstLine="435"/>
        <w:rPr>
          <w:color w:val="auto"/>
        </w:rPr>
      </w:pPr>
    </w:p>
    <w:p>
      <w:pPr>
        <w:tabs>
          <w:tab w:val="left" w:pos="315"/>
          <w:tab w:val="left" w:pos="8820"/>
        </w:tabs>
        <w:spacing w:line="360" w:lineRule="auto"/>
        <w:ind w:right="267" w:rightChars="127"/>
        <w:jc w:val="center"/>
        <w:rPr>
          <w:rFonts w:eastAsia="黑体"/>
          <w:color w:val="auto"/>
          <w:sz w:val="72"/>
          <w:szCs w:val="72"/>
        </w:rPr>
      </w:pPr>
    </w:p>
    <w:p>
      <w:pPr>
        <w:rPr>
          <w:color w:val="auto"/>
        </w:rPr>
      </w:pPr>
    </w:p>
    <w:p>
      <w:pPr>
        <w:tabs>
          <w:tab w:val="left" w:pos="420"/>
        </w:tabs>
        <w:spacing w:line="360" w:lineRule="auto"/>
        <w:jc w:val="center"/>
        <w:rPr>
          <w:b/>
          <w:color w:val="auto"/>
          <w:sz w:val="52"/>
          <w:szCs w:val="52"/>
        </w:rPr>
      </w:pPr>
      <w:r>
        <w:rPr>
          <w:b/>
          <w:bCs/>
          <w:color w:val="auto"/>
          <w:sz w:val="52"/>
          <w:szCs w:val="52"/>
        </w:rPr>
        <w:t>货物类标准</w:t>
      </w:r>
      <w:r>
        <w:rPr>
          <w:b/>
          <w:bCs/>
          <w:color w:val="auto"/>
          <w:sz w:val="52"/>
        </w:rPr>
        <w:t>招标文件</w:t>
      </w:r>
    </w:p>
    <w:p>
      <w:pPr>
        <w:spacing w:line="360" w:lineRule="auto"/>
        <w:jc w:val="center"/>
        <w:rPr>
          <w:rFonts w:hint="eastAsia"/>
          <w:b/>
          <w:bCs/>
          <w:color w:val="auto"/>
          <w:sz w:val="40"/>
          <w:szCs w:val="48"/>
        </w:rPr>
      </w:pPr>
      <w:r>
        <w:rPr>
          <w:rFonts w:hint="eastAsia"/>
          <w:b/>
          <w:bCs/>
          <w:color w:val="auto"/>
          <w:sz w:val="40"/>
          <w:szCs w:val="48"/>
        </w:rPr>
        <w:t>（公开招标）</w:t>
      </w:r>
    </w:p>
    <w:p>
      <w:pPr>
        <w:spacing w:line="500" w:lineRule="exact"/>
        <w:rPr>
          <w:color w:val="auto"/>
        </w:rPr>
      </w:pPr>
    </w:p>
    <w:p>
      <w:pPr>
        <w:spacing w:line="500" w:lineRule="exact"/>
        <w:jc w:val="center"/>
        <w:rPr>
          <w:color w:val="auto"/>
        </w:rPr>
      </w:pPr>
    </w:p>
    <w:p>
      <w:pPr>
        <w:keepNext/>
        <w:keepLines/>
        <w:spacing w:line="360" w:lineRule="auto"/>
        <w:jc w:val="center"/>
        <w:rPr>
          <w:color w:val="auto"/>
        </w:rPr>
      </w:pPr>
    </w:p>
    <w:p>
      <w:pPr>
        <w:tabs>
          <w:tab w:val="left" w:pos="315"/>
          <w:tab w:val="left" w:pos="8820"/>
        </w:tabs>
        <w:spacing w:line="500" w:lineRule="exact"/>
        <w:ind w:right="267" w:rightChars="127"/>
        <w:jc w:val="center"/>
        <w:rPr>
          <w:b/>
          <w:bCs/>
          <w:color w:val="auto"/>
          <w:sz w:val="44"/>
          <w:szCs w:val="44"/>
        </w:rPr>
      </w:pPr>
    </w:p>
    <w:p>
      <w:pPr>
        <w:rPr>
          <w:color w:val="auto"/>
        </w:rPr>
      </w:pPr>
    </w:p>
    <w:p>
      <w:pPr>
        <w:tabs>
          <w:tab w:val="left" w:pos="315"/>
          <w:tab w:val="left" w:pos="8820"/>
        </w:tabs>
        <w:spacing w:line="500" w:lineRule="exact"/>
        <w:ind w:right="267" w:rightChars="127"/>
        <w:jc w:val="center"/>
        <w:rPr>
          <w:b/>
          <w:bCs/>
          <w:color w:val="auto"/>
          <w:sz w:val="44"/>
          <w:szCs w:val="44"/>
        </w:rPr>
      </w:pPr>
    </w:p>
    <w:p>
      <w:pPr>
        <w:tabs>
          <w:tab w:val="left" w:pos="315"/>
          <w:tab w:val="left" w:pos="8820"/>
        </w:tabs>
        <w:spacing w:line="500" w:lineRule="exact"/>
        <w:ind w:right="267" w:rightChars="127"/>
        <w:jc w:val="center"/>
        <w:rPr>
          <w:b/>
          <w:bCs/>
          <w:color w:val="auto"/>
          <w:sz w:val="44"/>
          <w:szCs w:val="44"/>
        </w:rPr>
      </w:pPr>
    </w:p>
    <w:p>
      <w:pPr>
        <w:tabs>
          <w:tab w:val="left" w:pos="2410"/>
        </w:tabs>
        <w:autoSpaceDE w:val="0"/>
        <w:autoSpaceDN w:val="0"/>
        <w:adjustRightInd w:val="0"/>
        <w:snapToGrid w:val="0"/>
        <w:spacing w:line="500" w:lineRule="exact"/>
        <w:ind w:left="2529" w:hanging="2529" w:hangingChars="700"/>
        <w:rPr>
          <w:rFonts w:hint="eastAsia"/>
          <w:b/>
          <w:color w:val="auto"/>
          <w:spacing w:val="20"/>
          <w:sz w:val="32"/>
          <w:szCs w:val="32"/>
          <w:u w:val="single"/>
        </w:rPr>
      </w:pPr>
      <w:r>
        <w:rPr>
          <w:b/>
          <w:color w:val="auto"/>
          <w:spacing w:val="20"/>
          <w:sz w:val="32"/>
          <w:szCs w:val="32"/>
        </w:rPr>
        <w:t>招标项目名称：</w:t>
      </w:r>
      <w:bookmarkStart w:id="0" w:name="OLE_LINK1"/>
      <w:r>
        <w:rPr>
          <w:rFonts w:hint="eastAsia"/>
          <w:b/>
          <w:color w:val="auto"/>
          <w:spacing w:val="20"/>
          <w:sz w:val="32"/>
          <w:szCs w:val="32"/>
          <w:u w:val="single"/>
        </w:rPr>
        <w:t>庐江文旅投资食品原材料采购米、油、调味品类</w:t>
      </w:r>
      <w:bookmarkEnd w:id="0"/>
    </w:p>
    <w:p>
      <w:pPr>
        <w:tabs>
          <w:tab w:val="left" w:pos="2410"/>
        </w:tabs>
        <w:autoSpaceDE w:val="0"/>
        <w:autoSpaceDN w:val="0"/>
        <w:adjustRightInd w:val="0"/>
        <w:snapToGrid w:val="0"/>
        <w:spacing w:line="500" w:lineRule="exact"/>
        <w:rPr>
          <w:rFonts w:hint="eastAsia" w:eastAsia="宋体"/>
          <w:b/>
          <w:color w:val="auto"/>
          <w:spacing w:val="20"/>
          <w:sz w:val="32"/>
          <w:szCs w:val="32"/>
          <w:u w:val="single"/>
          <w:lang w:val="en-US" w:eastAsia="zh-CN"/>
        </w:rPr>
      </w:pPr>
      <w:r>
        <w:rPr>
          <w:b/>
          <w:color w:val="auto"/>
          <w:spacing w:val="20"/>
          <w:sz w:val="32"/>
          <w:szCs w:val="32"/>
        </w:rPr>
        <w:t>招标项目编号：</w:t>
      </w:r>
      <w:r>
        <w:rPr>
          <w:rFonts w:hint="eastAsia"/>
          <w:b/>
          <w:color w:val="auto"/>
          <w:spacing w:val="20"/>
          <w:sz w:val="32"/>
          <w:szCs w:val="32"/>
          <w:u w:val="single"/>
        </w:rPr>
        <w:t>2025LJWL01</w:t>
      </w:r>
      <w:r>
        <w:rPr>
          <w:rFonts w:hint="eastAsia"/>
          <w:b/>
          <w:color w:val="auto"/>
          <w:spacing w:val="20"/>
          <w:sz w:val="32"/>
          <w:szCs w:val="32"/>
          <w:u w:val="single"/>
          <w:lang w:val="en-US" w:eastAsia="zh-CN"/>
        </w:rPr>
        <w:t>5</w:t>
      </w:r>
    </w:p>
    <w:p>
      <w:pPr>
        <w:tabs>
          <w:tab w:val="left" w:pos="2410"/>
        </w:tabs>
        <w:autoSpaceDE w:val="0"/>
        <w:autoSpaceDN w:val="0"/>
        <w:adjustRightInd w:val="0"/>
        <w:snapToGrid w:val="0"/>
        <w:spacing w:line="500" w:lineRule="exact"/>
        <w:rPr>
          <w:b/>
          <w:color w:val="auto"/>
          <w:spacing w:val="20"/>
          <w:sz w:val="32"/>
          <w:szCs w:val="32"/>
        </w:rPr>
      </w:pPr>
      <w:r>
        <w:rPr>
          <w:b/>
          <w:color w:val="auto"/>
          <w:spacing w:val="20"/>
          <w:sz w:val="32"/>
          <w:szCs w:val="32"/>
        </w:rPr>
        <w:t>招 标 人：</w:t>
      </w:r>
      <w:r>
        <w:rPr>
          <w:rFonts w:hint="eastAsia"/>
          <w:b/>
          <w:color w:val="auto"/>
          <w:spacing w:val="20"/>
          <w:sz w:val="32"/>
          <w:szCs w:val="32"/>
          <w:u w:val="single"/>
        </w:rPr>
        <w:t>庐江县文旅投资有限公司</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pStyle w:val="53"/>
        <w:ind w:firstLine="0" w:firstLineChars="0"/>
        <w:jc w:val="center"/>
        <w:rPr>
          <w:color w:val="auto"/>
        </w:rPr>
      </w:pPr>
      <w:r>
        <w:rPr>
          <w:b/>
          <w:color w:val="auto"/>
          <w:sz w:val="36"/>
          <w:u w:val="single"/>
        </w:rPr>
        <w:t xml:space="preserve"> </w:t>
      </w:r>
      <w:r>
        <w:rPr>
          <w:rFonts w:hint="eastAsia"/>
          <w:b/>
          <w:color w:val="auto"/>
          <w:sz w:val="36"/>
          <w:u w:val="single"/>
          <w:lang w:val="en-US" w:eastAsia="zh-CN"/>
        </w:rPr>
        <w:t>2025</w:t>
      </w:r>
      <w:r>
        <w:rPr>
          <w:b/>
          <w:color w:val="auto"/>
          <w:sz w:val="36"/>
        </w:rPr>
        <w:t>年</w:t>
      </w:r>
      <w:r>
        <w:rPr>
          <w:b/>
          <w:color w:val="auto"/>
          <w:sz w:val="36"/>
          <w:u w:val="single"/>
        </w:rPr>
        <w:t xml:space="preserve"> </w:t>
      </w:r>
      <w:r>
        <w:rPr>
          <w:rFonts w:hint="eastAsia"/>
          <w:b/>
          <w:color w:val="auto"/>
          <w:sz w:val="36"/>
          <w:u w:val="single"/>
          <w:lang w:val="en-US" w:eastAsia="zh-CN"/>
        </w:rPr>
        <w:t>9</w:t>
      </w:r>
      <w:r>
        <w:rPr>
          <w:b/>
          <w:color w:val="auto"/>
          <w:sz w:val="36"/>
          <w:u w:val="single"/>
        </w:rPr>
        <w:t xml:space="preserve"> </w:t>
      </w:r>
      <w:r>
        <w:rPr>
          <w:b/>
          <w:color w:val="auto"/>
          <w:sz w:val="36"/>
        </w:rPr>
        <w:t>月</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r>
        <w:rPr>
          <w:b/>
          <w:color w:val="auto"/>
          <w:sz w:val="52"/>
          <w:szCs w:val="52"/>
        </w:rPr>
        <w:t>目  录</w:t>
      </w:r>
    </w:p>
    <w:p>
      <w:pPr>
        <w:pStyle w:val="35"/>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TOC \o "1-2" \h \z \u </w:instrText>
      </w:r>
      <w:r>
        <w:rPr>
          <w:rFonts w:ascii="Times New Roman" w:hAnsi="Times New Roman" w:eastAsia="黑体" w:cs="Times New Roman"/>
          <w:color w:val="auto"/>
        </w:rPr>
        <w:fldChar w:fldCharType="separate"/>
      </w: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_Toc6592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第一章  招标公告</w:t>
      </w:r>
      <w:r>
        <w:rPr>
          <w:color w:val="auto"/>
        </w:rPr>
        <w:tab/>
      </w:r>
      <w:r>
        <w:rPr>
          <w:color w:val="auto"/>
        </w:rPr>
        <w:fldChar w:fldCharType="begin"/>
      </w:r>
      <w:r>
        <w:rPr>
          <w:color w:val="auto"/>
        </w:rPr>
        <w:instrText xml:space="preserve"> PAGEREF _Toc6592 \h </w:instrText>
      </w:r>
      <w:r>
        <w:rPr>
          <w:color w:val="auto"/>
        </w:rPr>
        <w:fldChar w:fldCharType="separate"/>
      </w:r>
      <w:r>
        <w:rPr>
          <w:color w:val="auto"/>
        </w:rPr>
        <w:t>3</w:t>
      </w:r>
      <w:r>
        <w:rPr>
          <w:color w:val="auto"/>
        </w:rPr>
        <w:fldChar w:fldCharType="end"/>
      </w:r>
      <w:r>
        <w:rPr>
          <w:rFonts w:ascii="Times New Roman" w:hAnsi="Times New Roman" w:eastAsia="黑体" w:cs="Times New Roman"/>
          <w:color w:val="auto"/>
        </w:rPr>
        <w:fldChar w:fldCharType="end"/>
      </w:r>
    </w:p>
    <w:p>
      <w:pPr>
        <w:pStyle w:val="35"/>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_Toc83 </w:instrText>
      </w:r>
      <w:r>
        <w:rPr>
          <w:rFonts w:ascii="Times New Roman" w:hAnsi="Times New Roman" w:eastAsia="黑体" w:cs="Times New Roman"/>
          <w:color w:val="auto"/>
        </w:rPr>
        <w:fldChar w:fldCharType="separate"/>
      </w:r>
      <w:r>
        <w:rPr>
          <w:rFonts w:hint="eastAsia" w:ascii="黑体" w:hAnsi="黑体" w:eastAsia="黑体" w:cs="黑体"/>
          <w:color w:val="auto"/>
        </w:rPr>
        <w:t>第二章  投标人须知</w:t>
      </w:r>
      <w:r>
        <w:rPr>
          <w:color w:val="auto"/>
        </w:rPr>
        <w:tab/>
      </w:r>
      <w:r>
        <w:rPr>
          <w:color w:val="auto"/>
        </w:rPr>
        <w:fldChar w:fldCharType="begin"/>
      </w:r>
      <w:r>
        <w:rPr>
          <w:color w:val="auto"/>
        </w:rPr>
        <w:instrText xml:space="preserve"> PAGEREF _Toc83 \h </w:instrText>
      </w:r>
      <w:r>
        <w:rPr>
          <w:color w:val="auto"/>
        </w:rPr>
        <w:fldChar w:fldCharType="separate"/>
      </w:r>
      <w:r>
        <w:rPr>
          <w:color w:val="auto"/>
        </w:rPr>
        <w:t>6</w:t>
      </w:r>
      <w:r>
        <w:rPr>
          <w:color w:val="auto"/>
        </w:rPr>
        <w:fldChar w:fldCharType="end"/>
      </w:r>
      <w:r>
        <w:rPr>
          <w:rFonts w:ascii="Times New Roman" w:hAnsi="Times New Roman" w:eastAsia="黑体" w:cs="Times New Roman"/>
          <w:color w:val="auto"/>
        </w:rPr>
        <w:fldChar w:fldCharType="end"/>
      </w:r>
    </w:p>
    <w:p>
      <w:pPr>
        <w:pStyle w:val="35"/>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_Toc28504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第三章  评标办法</w:t>
      </w:r>
      <w:r>
        <w:rPr>
          <w:color w:val="auto"/>
        </w:rPr>
        <w:tab/>
      </w:r>
      <w:r>
        <w:rPr>
          <w:color w:val="auto"/>
        </w:rPr>
        <w:fldChar w:fldCharType="begin"/>
      </w:r>
      <w:r>
        <w:rPr>
          <w:color w:val="auto"/>
        </w:rPr>
        <w:instrText xml:space="preserve"> PAGEREF _Toc28504 \h </w:instrText>
      </w:r>
      <w:r>
        <w:rPr>
          <w:color w:val="auto"/>
        </w:rPr>
        <w:fldChar w:fldCharType="separate"/>
      </w:r>
      <w:r>
        <w:rPr>
          <w:color w:val="auto"/>
        </w:rPr>
        <w:t>30</w:t>
      </w:r>
      <w:r>
        <w:rPr>
          <w:color w:val="auto"/>
        </w:rPr>
        <w:fldChar w:fldCharType="end"/>
      </w:r>
      <w:r>
        <w:rPr>
          <w:rFonts w:ascii="Times New Roman" w:hAnsi="Times New Roman" w:eastAsia="黑体" w:cs="Times New Roman"/>
          <w:color w:val="auto"/>
        </w:rPr>
        <w:fldChar w:fldCharType="end"/>
      </w:r>
    </w:p>
    <w:p>
      <w:pPr>
        <w:pStyle w:val="35"/>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_Toc18292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第四章  合同</w:t>
      </w:r>
      <w:r>
        <w:rPr>
          <w:color w:val="auto"/>
        </w:rPr>
        <w:tab/>
      </w:r>
      <w:r>
        <w:rPr>
          <w:color w:val="auto"/>
        </w:rPr>
        <w:fldChar w:fldCharType="begin"/>
      </w:r>
      <w:r>
        <w:rPr>
          <w:color w:val="auto"/>
        </w:rPr>
        <w:instrText xml:space="preserve"> PAGEREF _Toc18292 \h </w:instrText>
      </w:r>
      <w:r>
        <w:rPr>
          <w:color w:val="auto"/>
        </w:rPr>
        <w:fldChar w:fldCharType="separate"/>
      </w:r>
      <w:r>
        <w:rPr>
          <w:color w:val="auto"/>
        </w:rPr>
        <w:t>41</w:t>
      </w:r>
      <w:r>
        <w:rPr>
          <w:color w:val="auto"/>
        </w:rPr>
        <w:fldChar w:fldCharType="end"/>
      </w:r>
      <w:r>
        <w:rPr>
          <w:rFonts w:ascii="Times New Roman" w:hAnsi="Times New Roman" w:eastAsia="黑体" w:cs="Times New Roman"/>
          <w:color w:val="auto"/>
        </w:rPr>
        <w:fldChar w:fldCharType="end"/>
      </w:r>
    </w:p>
    <w:p>
      <w:pPr>
        <w:pStyle w:val="35"/>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_Toc14287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第五章  供货要求</w:t>
      </w:r>
      <w:r>
        <w:rPr>
          <w:color w:val="auto"/>
        </w:rPr>
        <w:tab/>
      </w:r>
      <w:r>
        <w:rPr>
          <w:color w:val="auto"/>
        </w:rPr>
        <w:fldChar w:fldCharType="begin"/>
      </w:r>
      <w:r>
        <w:rPr>
          <w:color w:val="auto"/>
        </w:rPr>
        <w:instrText xml:space="preserve"> PAGEREF _Toc14287 \h </w:instrText>
      </w:r>
      <w:r>
        <w:rPr>
          <w:color w:val="auto"/>
        </w:rPr>
        <w:fldChar w:fldCharType="separate"/>
      </w:r>
      <w:r>
        <w:rPr>
          <w:color w:val="auto"/>
        </w:rPr>
        <w:t>45</w:t>
      </w:r>
      <w:r>
        <w:rPr>
          <w:color w:val="auto"/>
        </w:rPr>
        <w:fldChar w:fldCharType="end"/>
      </w:r>
      <w:r>
        <w:rPr>
          <w:rFonts w:ascii="Times New Roman" w:hAnsi="Times New Roman" w:eastAsia="黑体" w:cs="Times New Roman"/>
          <w:color w:val="auto"/>
        </w:rPr>
        <w:fldChar w:fldCharType="end"/>
      </w:r>
    </w:p>
    <w:p>
      <w:pPr>
        <w:pStyle w:val="35"/>
        <w:tabs>
          <w:tab w:val="right" w:leader="middleDot" w:pos="8959"/>
        </w:tabs>
        <w:rPr>
          <w:rFonts w:ascii="Times New Roman" w:hAnsi="Times New Roman" w:eastAsia="黑体" w:cs="Times New Roman"/>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_Toc24425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第六章  投标文件格式</w:t>
      </w:r>
      <w:r>
        <w:rPr>
          <w:color w:val="auto"/>
        </w:rPr>
        <w:tab/>
      </w:r>
      <w:r>
        <w:rPr>
          <w:color w:val="auto"/>
        </w:rPr>
        <w:fldChar w:fldCharType="begin"/>
      </w:r>
      <w:r>
        <w:rPr>
          <w:color w:val="auto"/>
        </w:rPr>
        <w:instrText xml:space="preserve"> PAGEREF _Toc24425 \h </w:instrText>
      </w:r>
      <w:r>
        <w:rPr>
          <w:color w:val="auto"/>
        </w:rPr>
        <w:fldChar w:fldCharType="separate"/>
      </w:r>
      <w:r>
        <w:rPr>
          <w:color w:val="auto"/>
        </w:rPr>
        <w:t>53</w:t>
      </w:r>
      <w:r>
        <w:rPr>
          <w:color w:val="auto"/>
        </w:rPr>
        <w:fldChar w:fldCharType="end"/>
      </w:r>
      <w:r>
        <w:rPr>
          <w:rFonts w:ascii="Times New Roman" w:hAnsi="Times New Roman" w:eastAsia="黑体" w:cs="Times New Roman"/>
          <w:color w:val="auto"/>
        </w:rPr>
        <w:fldChar w:fldCharType="end"/>
      </w:r>
    </w:p>
    <w:p>
      <w:pPr>
        <w:rPr>
          <w:color w:val="auto"/>
        </w:rPr>
      </w:pPr>
    </w:p>
    <w:p>
      <w:pPr>
        <w:tabs>
          <w:tab w:val="left" w:pos="1992"/>
          <w:tab w:val="center" w:pos="4153"/>
        </w:tabs>
        <w:jc w:val="left"/>
        <w:rPr>
          <w:rFonts w:hint="eastAsia"/>
          <w:color w:val="auto"/>
        </w:rPr>
      </w:pPr>
      <w:r>
        <w:rPr>
          <w:rFonts w:hint="eastAsia"/>
          <w:color w:val="auto"/>
        </w:rPr>
        <w:tab/>
      </w:r>
      <w:r>
        <w:rPr>
          <w:rFonts w:hint="eastAsia"/>
          <w:color w:val="auto"/>
        </w:rPr>
        <w:tab/>
      </w:r>
    </w:p>
    <w:p>
      <w:pPr>
        <w:pageBreakBefore/>
        <w:tabs>
          <w:tab w:val="left" w:pos="416"/>
          <w:tab w:val="center" w:pos="4757"/>
        </w:tabs>
        <w:spacing w:before="240" w:beforeLines="100" w:after="240" w:afterLines="100" w:line="500" w:lineRule="exact"/>
        <w:jc w:val="center"/>
        <w:outlineLvl w:val="0"/>
        <w:rPr>
          <w:b/>
          <w:color w:val="auto"/>
        </w:rPr>
      </w:pPr>
      <w:r>
        <w:rPr>
          <w:rFonts w:eastAsia="黑体"/>
          <w:color w:val="auto"/>
        </w:rPr>
        <w:fldChar w:fldCharType="end"/>
      </w:r>
      <w:bookmarkStart w:id="1" w:name="_Toc26117"/>
      <w:bookmarkStart w:id="2" w:name="_Toc6592"/>
      <w:r>
        <w:rPr>
          <w:rFonts w:eastAsia="黑体"/>
          <w:b/>
          <w:bCs/>
          <w:color w:val="auto"/>
          <w:sz w:val="32"/>
          <w:szCs w:val="32"/>
        </w:rPr>
        <w:t>第一章  招标公告</w:t>
      </w:r>
      <w:bookmarkEnd w:id="1"/>
      <w:bookmarkEnd w:id="2"/>
    </w:p>
    <w:p>
      <w:pPr>
        <w:spacing w:line="500" w:lineRule="exact"/>
        <w:jc w:val="center"/>
        <w:rPr>
          <w:rFonts w:eastAsia="黑体"/>
          <w:color w:val="auto"/>
          <w:sz w:val="28"/>
          <w:szCs w:val="28"/>
        </w:rPr>
      </w:pPr>
      <w:r>
        <w:rPr>
          <w:rFonts w:hint="eastAsia" w:eastAsia="黑体"/>
          <w:color w:val="auto"/>
          <w:sz w:val="28"/>
          <w:szCs w:val="28"/>
        </w:rPr>
        <w:t>庐江文旅投资食品原材料采购米、油、调味品类</w:t>
      </w:r>
      <w:r>
        <w:rPr>
          <w:rFonts w:eastAsia="黑体"/>
          <w:color w:val="auto"/>
          <w:sz w:val="28"/>
          <w:szCs w:val="28"/>
        </w:rPr>
        <w:t xml:space="preserve">招标公告 </w:t>
      </w:r>
    </w:p>
    <w:p>
      <w:pPr>
        <w:spacing w:line="500" w:lineRule="exact"/>
        <w:ind w:firstLine="420" w:firstLineChars="200"/>
        <w:rPr>
          <w:bCs/>
          <w:color w:val="auto"/>
        </w:rPr>
      </w:pPr>
      <w:r>
        <w:rPr>
          <w:bCs/>
          <w:color w:val="auto"/>
          <w:u w:val="single"/>
        </w:rPr>
        <w:t xml:space="preserve"> </w:t>
      </w:r>
      <w:r>
        <w:rPr>
          <w:rFonts w:hint="eastAsia"/>
          <w:bCs/>
          <w:color w:val="auto"/>
          <w:u w:val="single"/>
        </w:rPr>
        <w:t>庐江县文旅投资有限公司</w:t>
      </w:r>
      <w:r>
        <w:rPr>
          <w:bCs/>
          <w:color w:val="auto"/>
          <w:u w:val="single"/>
        </w:rPr>
        <w:t xml:space="preserve"> </w:t>
      </w:r>
      <w:r>
        <w:rPr>
          <w:rFonts w:hint="eastAsia"/>
          <w:bCs/>
          <w:color w:val="auto"/>
        </w:rPr>
        <w:t>（简称“招标人”）</w:t>
      </w:r>
      <w:r>
        <w:rPr>
          <w:bCs/>
          <w:color w:val="auto"/>
        </w:rPr>
        <w:t>现对</w:t>
      </w:r>
      <w:r>
        <w:rPr>
          <w:rFonts w:hint="eastAsia"/>
          <w:bCs/>
          <w:color w:val="auto"/>
          <w:u w:val="single"/>
        </w:rPr>
        <w:t>庐江文旅投资食品原材料采购米、油、调味品类</w:t>
      </w:r>
      <w:r>
        <w:rPr>
          <w:bCs/>
          <w:color w:val="auto"/>
        </w:rPr>
        <w:t>进行公开招标，欢迎具备条件的投标人参加投标。</w:t>
      </w:r>
    </w:p>
    <w:p>
      <w:pPr>
        <w:spacing w:line="500" w:lineRule="exact"/>
        <w:rPr>
          <w:rFonts w:eastAsia="黑体"/>
          <w:color w:val="auto"/>
          <w:sz w:val="24"/>
        </w:rPr>
      </w:pPr>
      <w:r>
        <w:rPr>
          <w:rFonts w:eastAsia="黑体"/>
          <w:color w:val="auto"/>
          <w:sz w:val="24"/>
        </w:rPr>
        <w:t>1. 项目概况与招标范围</w:t>
      </w:r>
    </w:p>
    <w:p>
      <w:pPr>
        <w:spacing w:line="500" w:lineRule="exact"/>
        <w:ind w:firstLine="437"/>
        <w:rPr>
          <w:rFonts w:hint="eastAsia"/>
          <w:color w:val="auto"/>
          <w:u w:val="single"/>
        </w:rPr>
      </w:pPr>
      <w:r>
        <w:rPr>
          <w:bCs/>
          <w:snapToGrid w:val="0"/>
          <w:color w:val="auto"/>
        </w:rPr>
        <w:t>1.1 项目名称：</w:t>
      </w:r>
      <w:r>
        <w:rPr>
          <w:rFonts w:hint="eastAsia"/>
          <w:color w:val="auto"/>
          <w:u w:val="single"/>
        </w:rPr>
        <w:t>庐江文旅投资食品原材料采购米、油、调味品类</w:t>
      </w:r>
    </w:p>
    <w:p>
      <w:pPr>
        <w:spacing w:line="500" w:lineRule="exact"/>
        <w:ind w:firstLine="437"/>
        <w:rPr>
          <w:rFonts w:hint="default"/>
          <w:bCs/>
          <w:snapToGrid w:val="0"/>
          <w:color w:val="auto"/>
          <w:u w:val="single"/>
          <w:lang w:val="en-US"/>
        </w:rPr>
      </w:pPr>
      <w:r>
        <w:rPr>
          <w:bCs/>
          <w:snapToGrid w:val="0"/>
          <w:color w:val="auto"/>
        </w:rPr>
        <w:t>1.2 项目编号：</w:t>
      </w:r>
      <w:r>
        <w:rPr>
          <w:rFonts w:hint="eastAsia"/>
          <w:bCs/>
          <w:snapToGrid w:val="0"/>
          <w:color w:val="auto"/>
          <w:u w:val="single"/>
          <w:lang w:val="en-US" w:eastAsia="zh-CN"/>
        </w:rPr>
        <w:t>2025LJWL015</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3</w:t>
      </w:r>
      <w:r>
        <w:rPr>
          <w:bCs/>
          <w:snapToGrid w:val="0"/>
          <w:color w:val="auto"/>
        </w:rPr>
        <w:t xml:space="preserve"> 招标人：</w:t>
      </w:r>
      <w:r>
        <w:rPr>
          <w:bCs/>
          <w:snapToGrid w:val="0"/>
          <w:color w:val="auto"/>
          <w:u w:val="single"/>
        </w:rPr>
        <w:t xml:space="preserve">  </w:t>
      </w:r>
      <w:r>
        <w:rPr>
          <w:bCs/>
          <w:color w:val="auto"/>
          <w:u w:val="single"/>
        </w:rPr>
        <w:t xml:space="preserve"> </w:t>
      </w:r>
      <w:r>
        <w:rPr>
          <w:rFonts w:hint="eastAsia"/>
          <w:bCs/>
          <w:color w:val="auto"/>
          <w:u w:val="single"/>
        </w:rPr>
        <w:t>庐江县文旅投资有限公司</w:t>
      </w:r>
      <w:r>
        <w:rPr>
          <w:bCs/>
          <w:snapToGrid w:val="0"/>
          <w:color w:val="auto"/>
          <w:u w:val="single"/>
        </w:rPr>
        <w:t xml:space="preserve">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4</w:t>
      </w:r>
      <w:r>
        <w:rPr>
          <w:bCs/>
          <w:snapToGrid w:val="0"/>
          <w:color w:val="auto"/>
        </w:rPr>
        <w:t xml:space="preserve"> 招标范围： </w:t>
      </w:r>
      <w:r>
        <w:rPr>
          <w:rFonts w:hint="eastAsia"/>
          <w:bCs/>
          <w:snapToGrid w:val="0"/>
          <w:color w:val="auto"/>
          <w:u w:val="single"/>
        </w:rPr>
        <w:t>食品原材料采购米、油、调味品类</w:t>
      </w:r>
      <w:r>
        <w:rPr>
          <w:rFonts w:hint="eastAsia"/>
          <w:color w:val="auto"/>
          <w:u w:val="single"/>
          <w:lang w:eastAsia="zh-CN"/>
        </w:rPr>
        <w:t>，</w:t>
      </w:r>
      <w:r>
        <w:rPr>
          <w:rFonts w:hint="eastAsia" w:ascii="Times New Roman" w:hAnsi="Times New Roman"/>
          <w:bCs/>
          <w:snapToGrid w:val="0"/>
          <w:color w:val="auto"/>
          <w:szCs w:val="24"/>
          <w:u w:val="single"/>
        </w:rPr>
        <w:t>详见招标文件</w:t>
      </w:r>
      <w:r>
        <w:rPr>
          <w:rFonts w:hint="eastAsia"/>
          <w:color w:val="auto"/>
          <w:u w:val="single"/>
          <w:lang w:val="en-US" w:eastAsia="zh-CN"/>
        </w:rPr>
        <w:t xml:space="preserve"> </w:t>
      </w:r>
    </w:p>
    <w:p>
      <w:pPr>
        <w:spacing w:line="500" w:lineRule="exact"/>
        <w:ind w:firstLine="437"/>
        <w:rPr>
          <w:bCs/>
          <w:snapToGrid w:val="0"/>
          <w:color w:val="auto"/>
          <w:u w:val="single"/>
        </w:rPr>
      </w:pPr>
      <w:r>
        <w:rPr>
          <w:bCs/>
          <w:snapToGrid w:val="0"/>
          <w:color w:val="auto"/>
        </w:rPr>
        <w:t>1.</w:t>
      </w:r>
      <w:r>
        <w:rPr>
          <w:rFonts w:hint="eastAsia"/>
          <w:bCs/>
          <w:snapToGrid w:val="0"/>
          <w:color w:val="auto"/>
          <w:lang w:val="en-US" w:eastAsia="zh-CN"/>
        </w:rPr>
        <w:t>5</w:t>
      </w:r>
      <w:r>
        <w:rPr>
          <w:bCs/>
          <w:snapToGrid w:val="0"/>
          <w:color w:val="auto"/>
        </w:rPr>
        <w:t xml:space="preserve"> 项目概算：</w:t>
      </w:r>
      <w:r>
        <w:rPr>
          <w:bCs/>
          <w:snapToGrid w:val="0"/>
          <w:color w:val="auto"/>
          <w:u w:val="single"/>
        </w:rPr>
        <w:t xml:space="preserve">  </w:t>
      </w:r>
      <w:r>
        <w:rPr>
          <w:rFonts w:hint="eastAsia"/>
          <w:bCs/>
          <w:snapToGrid w:val="0"/>
          <w:color w:val="auto"/>
          <w:u w:val="single"/>
          <w:lang w:val="en-US" w:eastAsia="zh-CN"/>
        </w:rPr>
        <w:t>24万</w:t>
      </w:r>
      <w:r>
        <w:rPr>
          <w:rFonts w:hint="eastAsia"/>
          <w:bCs/>
          <w:snapToGrid w:val="0"/>
          <w:color w:val="auto"/>
          <w:u w:val="single"/>
          <w:lang w:eastAsia="zh-CN"/>
        </w:rPr>
        <w:t>（</w:t>
      </w:r>
      <w:r>
        <w:rPr>
          <w:rFonts w:hint="eastAsia"/>
          <w:bCs/>
          <w:snapToGrid w:val="0"/>
          <w:color w:val="auto"/>
          <w:u w:val="single"/>
          <w:lang w:val="en-US" w:eastAsia="zh-CN"/>
        </w:rPr>
        <w:t>一期云里安凹预算16万元，二期云溪山舍8万元</w:t>
      </w:r>
      <w:r>
        <w:rPr>
          <w:rFonts w:hint="eastAsia"/>
          <w:bCs/>
          <w:snapToGrid w:val="0"/>
          <w:color w:val="auto"/>
          <w:u w:val="single"/>
          <w:lang w:eastAsia="zh-CN"/>
        </w:rPr>
        <w:t>）</w:t>
      </w:r>
      <w:r>
        <w:rPr>
          <w:bCs/>
          <w:snapToGrid w:val="0"/>
          <w:color w:val="auto"/>
          <w:u w:val="single"/>
        </w:rPr>
        <w:t xml:space="preserve">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6</w:t>
      </w:r>
      <w:r>
        <w:rPr>
          <w:bCs/>
          <w:snapToGrid w:val="0"/>
          <w:color w:val="auto"/>
        </w:rPr>
        <w:t xml:space="preserve"> 资金来源：</w:t>
      </w:r>
      <w:r>
        <w:rPr>
          <w:bCs/>
          <w:snapToGrid w:val="0"/>
          <w:color w:val="auto"/>
          <w:u w:val="single"/>
        </w:rPr>
        <w:t xml:space="preserve">   </w:t>
      </w:r>
      <w:r>
        <w:rPr>
          <w:rFonts w:hint="eastAsia"/>
          <w:bCs/>
          <w:snapToGrid w:val="0"/>
          <w:color w:val="auto"/>
          <w:u w:val="single"/>
          <w:lang w:val="en-US" w:eastAsia="zh-CN"/>
        </w:rPr>
        <w:t>自筹</w:t>
      </w:r>
      <w:r>
        <w:rPr>
          <w:bCs/>
          <w:snapToGrid w:val="0"/>
          <w:color w:val="auto"/>
          <w:u w:val="single"/>
        </w:rPr>
        <w:t xml:space="preserve">                                 </w:t>
      </w:r>
      <w:r>
        <w:rPr>
          <w:bCs/>
          <w:snapToGrid w:val="0"/>
          <w:color w:val="auto"/>
        </w:rPr>
        <w:t xml:space="preserve">        </w:t>
      </w:r>
    </w:p>
    <w:p>
      <w:pPr>
        <w:spacing w:line="500" w:lineRule="exact"/>
        <w:ind w:firstLine="437"/>
        <w:rPr>
          <w:color w:val="auto"/>
        </w:rPr>
      </w:pPr>
      <w:r>
        <w:rPr>
          <w:bCs/>
          <w:snapToGrid w:val="0"/>
          <w:color w:val="auto"/>
          <w:kern w:val="0"/>
          <w:szCs w:val="21"/>
        </w:rPr>
        <w:t>1.</w:t>
      </w:r>
      <w:r>
        <w:rPr>
          <w:rFonts w:hint="eastAsia"/>
          <w:bCs/>
          <w:snapToGrid w:val="0"/>
          <w:color w:val="auto"/>
          <w:kern w:val="0"/>
          <w:szCs w:val="21"/>
          <w:lang w:val="en-US" w:eastAsia="zh-CN"/>
        </w:rPr>
        <w:t>7</w:t>
      </w:r>
      <w:r>
        <w:rPr>
          <w:bCs/>
          <w:snapToGrid w:val="0"/>
          <w:color w:val="auto"/>
          <w:kern w:val="0"/>
          <w:szCs w:val="21"/>
        </w:rPr>
        <w:t xml:space="preserve"> </w:t>
      </w:r>
      <w:r>
        <w:rPr>
          <w:rFonts w:hint="eastAsia"/>
          <w:bCs/>
          <w:snapToGrid w:val="0"/>
          <w:color w:val="auto"/>
          <w:kern w:val="0"/>
          <w:szCs w:val="21"/>
          <w:lang w:val="en-US" w:eastAsia="zh-CN"/>
        </w:rPr>
        <w:t>供货</w:t>
      </w:r>
      <w:r>
        <w:rPr>
          <w:bCs/>
          <w:snapToGrid w:val="0"/>
          <w:color w:val="auto"/>
          <w:kern w:val="0"/>
          <w:szCs w:val="21"/>
        </w:rPr>
        <w:t>地点：</w:t>
      </w:r>
      <w:r>
        <w:rPr>
          <w:rFonts w:hint="eastAsia"/>
          <w:color w:val="auto"/>
          <w:u w:val="single"/>
        </w:rPr>
        <w:t xml:space="preserve">具体送货时间以委托人通知为准，并保质保量将货物送达委托人指定地点，按照相关规定须进行卫生检验检疫的，应同时提供依法有效的该批货物经检验合格的证明等待验收。委托人紧急需要的品种，必须在委托人通知后次日早上送至委托人指定地点。   </w:t>
      </w:r>
      <w:r>
        <w:rPr>
          <w:color w:val="auto"/>
          <w:u w:val="single"/>
        </w:rPr>
        <w:t xml:space="preserve"> </w:t>
      </w:r>
    </w:p>
    <w:p>
      <w:pPr>
        <w:spacing w:line="500" w:lineRule="exact"/>
        <w:ind w:firstLine="437"/>
        <w:rPr>
          <w:b/>
          <w:bCs w:val="0"/>
          <w:color w:val="auto"/>
        </w:rPr>
      </w:pPr>
      <w:r>
        <w:rPr>
          <w:b/>
          <w:bCs w:val="0"/>
          <w:snapToGrid w:val="0"/>
          <w:color w:val="auto"/>
          <w:kern w:val="0"/>
          <w:szCs w:val="21"/>
        </w:rPr>
        <w:t>1.</w:t>
      </w:r>
      <w:r>
        <w:rPr>
          <w:rFonts w:hint="eastAsia"/>
          <w:b/>
          <w:bCs w:val="0"/>
          <w:snapToGrid w:val="0"/>
          <w:color w:val="auto"/>
          <w:kern w:val="0"/>
          <w:szCs w:val="21"/>
          <w:lang w:val="en-US" w:eastAsia="zh-CN"/>
        </w:rPr>
        <w:t>8</w:t>
      </w:r>
      <w:r>
        <w:rPr>
          <w:b/>
          <w:bCs w:val="0"/>
          <w:snapToGrid w:val="0"/>
          <w:color w:val="auto"/>
          <w:kern w:val="0"/>
          <w:szCs w:val="21"/>
        </w:rPr>
        <w:t xml:space="preserve"> </w:t>
      </w:r>
      <w:r>
        <w:rPr>
          <w:rFonts w:hint="eastAsia"/>
          <w:b/>
          <w:bCs w:val="0"/>
          <w:snapToGrid w:val="0"/>
          <w:color w:val="auto"/>
          <w:kern w:val="0"/>
          <w:szCs w:val="21"/>
          <w:lang w:val="en-US" w:eastAsia="zh-CN"/>
        </w:rPr>
        <w:t>供货</w:t>
      </w:r>
      <w:r>
        <w:rPr>
          <w:b/>
          <w:bCs w:val="0"/>
          <w:snapToGrid w:val="0"/>
          <w:color w:val="auto"/>
          <w:kern w:val="0"/>
          <w:szCs w:val="21"/>
        </w:rPr>
        <w:t>周期：</w:t>
      </w:r>
      <w:r>
        <w:rPr>
          <w:b/>
          <w:bCs w:val="0"/>
          <w:color w:val="auto"/>
          <w:u w:val="single"/>
        </w:rPr>
        <w:t xml:space="preserve">  </w:t>
      </w:r>
      <w:r>
        <w:rPr>
          <w:rFonts w:hint="eastAsia"/>
          <w:b/>
          <w:bCs w:val="0"/>
          <w:color w:val="auto"/>
          <w:u w:val="single"/>
          <w:lang w:val="en-US" w:eastAsia="zh-CN"/>
        </w:rPr>
        <w:t>供货期采用1+1+1模式，（供货期内首年符合委托人要求并经考核合格后可再续签一年，以此类推，但服务期限最长3年）</w:t>
      </w:r>
      <w:r>
        <w:rPr>
          <w:b/>
          <w:bCs w:val="0"/>
          <w:color w:val="auto"/>
          <w:u w:val="single"/>
        </w:rPr>
        <w:t xml:space="preserve">   </w:t>
      </w:r>
    </w:p>
    <w:p>
      <w:pPr>
        <w:spacing w:line="500" w:lineRule="exact"/>
        <w:ind w:firstLine="437"/>
        <w:rPr>
          <w:bCs/>
          <w:snapToGrid w:val="0"/>
          <w:color w:val="auto"/>
          <w:u w:val="single"/>
        </w:rPr>
      </w:pPr>
      <w:r>
        <w:rPr>
          <w:bCs/>
          <w:snapToGrid w:val="0"/>
          <w:color w:val="auto"/>
        </w:rPr>
        <w:t>1.</w:t>
      </w:r>
      <w:r>
        <w:rPr>
          <w:rFonts w:hint="eastAsia"/>
          <w:bCs/>
          <w:snapToGrid w:val="0"/>
          <w:color w:val="auto"/>
          <w:lang w:val="en-US" w:eastAsia="zh-CN"/>
        </w:rPr>
        <w:t>9</w:t>
      </w:r>
      <w:r>
        <w:rPr>
          <w:bCs/>
          <w:snapToGrid w:val="0"/>
          <w:color w:val="auto"/>
        </w:rPr>
        <w:t xml:space="preserve"> 项目性质：</w:t>
      </w:r>
      <w:r>
        <w:rPr>
          <w:bCs/>
          <w:snapToGrid w:val="0"/>
          <w:color w:val="auto"/>
          <w:u w:val="single"/>
        </w:rPr>
        <w:t xml:space="preserve">           货物类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10</w:t>
      </w:r>
      <w:r>
        <w:rPr>
          <w:bCs/>
          <w:snapToGrid w:val="0"/>
          <w:color w:val="auto"/>
        </w:rPr>
        <w:t xml:space="preserve"> 其他：</w:t>
      </w:r>
      <w:r>
        <w:rPr>
          <w:bCs/>
          <w:snapToGrid w:val="0"/>
          <w:color w:val="auto"/>
          <w:u w:val="single"/>
        </w:rPr>
        <w:t xml:space="preserve">        </w:t>
      </w:r>
      <w:r>
        <w:rPr>
          <w:rFonts w:hint="eastAsia"/>
          <w:bCs/>
          <w:snapToGrid w:val="0"/>
          <w:color w:val="auto"/>
          <w:u w:val="single"/>
          <w:lang w:val="en-US" w:eastAsia="zh-CN"/>
        </w:rPr>
        <w:t>/</w:t>
      </w:r>
      <w:r>
        <w:rPr>
          <w:bCs/>
          <w:snapToGrid w:val="0"/>
          <w:color w:val="auto"/>
          <w:u w:val="single"/>
        </w:rPr>
        <w:t xml:space="preserve">                               </w:t>
      </w:r>
      <w:r>
        <w:rPr>
          <w:bCs/>
          <w:snapToGrid w:val="0"/>
          <w:color w:val="auto"/>
        </w:rPr>
        <w:t xml:space="preserve">                                 </w:t>
      </w:r>
    </w:p>
    <w:p>
      <w:pPr>
        <w:spacing w:line="500" w:lineRule="exact"/>
        <w:rPr>
          <w:rFonts w:eastAsia="黑体"/>
          <w:color w:val="auto"/>
          <w:sz w:val="24"/>
        </w:rPr>
      </w:pPr>
      <w:r>
        <w:rPr>
          <w:rFonts w:eastAsia="黑体"/>
          <w:color w:val="auto"/>
          <w:sz w:val="24"/>
        </w:rPr>
        <w:t>2. 投标人资格要求</w:t>
      </w:r>
    </w:p>
    <w:p>
      <w:pPr>
        <w:spacing w:line="500" w:lineRule="exact"/>
        <w:ind w:firstLine="437"/>
        <w:rPr>
          <w:bCs/>
          <w:snapToGrid w:val="0"/>
          <w:color w:val="auto"/>
          <w:kern w:val="0"/>
          <w:szCs w:val="21"/>
        </w:rPr>
      </w:pPr>
      <w:r>
        <w:rPr>
          <w:bCs/>
          <w:snapToGrid w:val="0"/>
          <w:color w:val="auto"/>
          <w:kern w:val="0"/>
          <w:szCs w:val="21"/>
        </w:rPr>
        <w:t>2.1具有独立承担民事责任的能力</w:t>
      </w:r>
      <w:r>
        <w:rPr>
          <w:rFonts w:hint="eastAsia"/>
          <w:bCs/>
          <w:snapToGrid w:val="0"/>
          <w:color w:val="auto"/>
          <w:kern w:val="0"/>
          <w:szCs w:val="21"/>
          <w:lang w:eastAsia="zh-CN"/>
        </w:rPr>
        <w:t>，</w:t>
      </w:r>
      <w:r>
        <w:rPr>
          <w:rFonts w:hint="eastAsia"/>
          <w:bCs/>
          <w:snapToGrid w:val="0"/>
          <w:color w:val="auto"/>
          <w:kern w:val="0"/>
          <w:szCs w:val="21"/>
          <w:lang w:val="en-US" w:eastAsia="zh-CN"/>
        </w:rPr>
        <w:t>具有</w:t>
      </w:r>
      <w:r>
        <w:rPr>
          <w:rFonts w:hint="eastAsia"/>
          <w:bCs/>
          <w:snapToGrid w:val="0"/>
          <w:color w:val="auto"/>
          <w:kern w:val="0"/>
          <w:szCs w:val="21"/>
        </w:rPr>
        <w:t>中华人民共和国境内的一般纳税人。</w:t>
      </w:r>
    </w:p>
    <w:p>
      <w:pPr>
        <w:spacing w:line="500" w:lineRule="exact"/>
        <w:ind w:firstLine="437"/>
        <w:rPr>
          <w:rFonts w:hint="eastAsia" w:eastAsia="宋体"/>
          <w:b/>
          <w:bCs w:val="0"/>
          <w:snapToGrid w:val="0"/>
          <w:color w:val="auto"/>
          <w:kern w:val="0"/>
          <w:szCs w:val="21"/>
          <w:lang w:eastAsia="zh-CN"/>
        </w:rPr>
      </w:pPr>
      <w:r>
        <w:rPr>
          <w:b/>
          <w:bCs w:val="0"/>
          <w:snapToGrid w:val="0"/>
          <w:color w:val="auto"/>
          <w:kern w:val="0"/>
          <w:szCs w:val="21"/>
        </w:rPr>
        <w:t>2.2 资质要求：</w:t>
      </w:r>
      <w:r>
        <w:rPr>
          <w:rFonts w:hint="eastAsia"/>
          <w:b/>
          <w:bCs w:val="0"/>
          <w:snapToGrid w:val="0"/>
          <w:color w:val="auto"/>
          <w:kern w:val="0"/>
          <w:szCs w:val="21"/>
          <w:u w:val="single"/>
        </w:rPr>
        <w:t>有效营业执照、税务登记证和组织机构代码证（或新版三证合一营业执照）</w:t>
      </w:r>
      <w:r>
        <w:rPr>
          <w:rFonts w:hint="eastAsia"/>
          <w:b/>
          <w:bCs w:val="0"/>
          <w:snapToGrid w:val="0"/>
          <w:color w:val="auto"/>
          <w:kern w:val="0"/>
          <w:szCs w:val="21"/>
          <w:u w:val="single"/>
          <w:lang w:eastAsia="zh-CN"/>
        </w:rPr>
        <w:t>。</w:t>
      </w:r>
    </w:p>
    <w:p>
      <w:pPr>
        <w:spacing w:line="500" w:lineRule="exact"/>
        <w:ind w:firstLine="437"/>
        <w:rPr>
          <w:b/>
          <w:bCs w:val="0"/>
          <w:snapToGrid w:val="0"/>
          <w:color w:val="auto"/>
          <w:kern w:val="0"/>
          <w:szCs w:val="21"/>
        </w:rPr>
      </w:pPr>
      <w:r>
        <w:rPr>
          <w:bCs/>
          <w:snapToGrid w:val="0"/>
          <w:color w:val="auto"/>
          <w:kern w:val="0"/>
          <w:szCs w:val="21"/>
        </w:rPr>
        <w:t>2.3 业绩要求： 自</w:t>
      </w:r>
      <w:r>
        <w:rPr>
          <w:bCs/>
          <w:snapToGrid w:val="0"/>
          <w:color w:val="auto"/>
          <w:kern w:val="0"/>
          <w:szCs w:val="21"/>
          <w:u w:val="single"/>
        </w:rPr>
        <w:t xml:space="preserve"> </w:t>
      </w:r>
      <w:r>
        <w:rPr>
          <w:rFonts w:hint="eastAsia"/>
          <w:bCs/>
          <w:snapToGrid w:val="0"/>
          <w:color w:val="auto"/>
          <w:kern w:val="0"/>
          <w:szCs w:val="21"/>
          <w:u w:val="single"/>
          <w:lang w:val="en-US" w:eastAsia="zh-CN"/>
        </w:rPr>
        <w:t>2019</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日以来（以合同签订时间为准），</w:t>
      </w:r>
      <w:r>
        <w:rPr>
          <w:b/>
          <w:bCs w:val="0"/>
          <w:snapToGrid w:val="0"/>
          <w:color w:val="auto"/>
          <w:kern w:val="0"/>
          <w:szCs w:val="21"/>
        </w:rPr>
        <w:t>投标人须具有</w:t>
      </w:r>
      <w:r>
        <w:rPr>
          <w:rFonts w:hint="eastAsia"/>
          <w:b/>
          <w:bCs w:val="0"/>
          <w:snapToGrid w:val="0"/>
          <w:color w:val="auto"/>
          <w:kern w:val="0"/>
          <w:szCs w:val="21"/>
          <w:lang w:val="en-US" w:eastAsia="zh-CN"/>
        </w:rPr>
        <w:t>10万以上的</w:t>
      </w:r>
      <w:r>
        <w:rPr>
          <w:rFonts w:hint="eastAsia"/>
          <w:b/>
          <w:bCs w:val="0"/>
          <w:color w:val="auto"/>
          <w:u w:val="none"/>
          <w:lang w:val="en-US" w:eastAsia="zh-CN"/>
        </w:rPr>
        <w:t>食材</w:t>
      </w:r>
      <w:r>
        <w:rPr>
          <w:b/>
          <w:bCs w:val="0"/>
          <w:snapToGrid w:val="0"/>
          <w:color w:val="auto"/>
          <w:kern w:val="0"/>
          <w:szCs w:val="21"/>
        </w:rPr>
        <w:t>供货业绩。</w:t>
      </w:r>
    </w:p>
    <w:p>
      <w:pPr>
        <w:spacing w:line="500" w:lineRule="exact"/>
        <w:ind w:firstLine="437"/>
        <w:rPr>
          <w:bCs/>
          <w:snapToGrid w:val="0"/>
          <w:color w:val="auto"/>
          <w:kern w:val="0"/>
          <w:szCs w:val="21"/>
          <w:u w:val="single"/>
        </w:rPr>
      </w:pPr>
      <w:r>
        <w:rPr>
          <w:bCs/>
          <w:snapToGrid w:val="0"/>
          <w:color w:val="auto"/>
          <w:kern w:val="0"/>
          <w:szCs w:val="21"/>
        </w:rPr>
        <w:t>2.4 财务要求：</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p>
      <w:pPr>
        <w:spacing w:line="500" w:lineRule="exact"/>
        <w:ind w:firstLine="437"/>
        <w:rPr>
          <w:bCs/>
          <w:snapToGrid w:val="0"/>
          <w:color w:val="auto"/>
          <w:kern w:val="0"/>
          <w:szCs w:val="21"/>
        </w:rPr>
      </w:pPr>
      <w:r>
        <w:rPr>
          <w:bCs/>
          <w:snapToGrid w:val="0"/>
          <w:color w:val="auto"/>
          <w:kern w:val="0"/>
          <w:szCs w:val="21"/>
        </w:rPr>
        <w:t>2.5信誉要求：</w:t>
      </w:r>
      <w:r>
        <w:rPr>
          <w:rFonts w:hint="eastAsia"/>
          <w:bCs/>
          <w:snapToGrid w:val="0"/>
          <w:color w:val="auto"/>
          <w:kern w:val="0"/>
          <w:szCs w:val="21"/>
          <w:lang w:val="en-US" w:eastAsia="zh-CN"/>
        </w:rPr>
        <w:t>投标人近二年未被列入合肥文旅博览集团有限公司信用评价体系黑名单，</w:t>
      </w:r>
      <w:r>
        <w:rPr>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37"/>
        <w:rPr>
          <w:bCs/>
          <w:snapToGrid w:val="0"/>
          <w:color w:val="auto"/>
          <w:kern w:val="0"/>
          <w:szCs w:val="21"/>
        </w:rPr>
      </w:pPr>
      <w:r>
        <w:rPr>
          <w:bCs/>
          <w:snapToGrid w:val="0"/>
          <w:color w:val="auto"/>
          <w:kern w:val="0"/>
          <w:szCs w:val="21"/>
        </w:rPr>
        <w:t>2.6 本次招标</w:t>
      </w:r>
      <w:r>
        <w:rPr>
          <w:color w:val="auto"/>
          <w:u w:val="single"/>
        </w:rPr>
        <w:t xml:space="preserve"> </w:t>
      </w:r>
      <w:r>
        <w:rPr>
          <w:rFonts w:hint="eastAsia"/>
          <w:i w:val="0"/>
          <w:iCs w:val="0"/>
          <w:color w:val="auto"/>
          <w:u w:val="single"/>
          <w:lang w:val="en-US" w:eastAsia="zh-CN"/>
        </w:rPr>
        <w:t>不接受</w:t>
      </w:r>
      <w:r>
        <w:rPr>
          <w:i w:val="0"/>
          <w:iCs w:val="0"/>
          <w:color w:val="auto"/>
          <w:u w:val="single"/>
        </w:rPr>
        <w:t xml:space="preserve"> </w:t>
      </w:r>
      <w:r>
        <w:rPr>
          <w:bCs/>
          <w:snapToGrid w:val="0"/>
          <w:color w:val="auto"/>
          <w:kern w:val="0"/>
          <w:szCs w:val="21"/>
        </w:rPr>
        <w:t>联合体投标。</w:t>
      </w:r>
    </w:p>
    <w:p>
      <w:pPr>
        <w:spacing w:line="500" w:lineRule="exact"/>
        <w:ind w:firstLine="437"/>
        <w:rPr>
          <w:rFonts w:hint="eastAsia" w:eastAsia="宋体"/>
          <w:bCs/>
          <w:i/>
          <w:iCs/>
          <w:snapToGrid w:val="0"/>
          <w:color w:val="auto"/>
          <w:kern w:val="0"/>
          <w:szCs w:val="21"/>
          <w:lang w:eastAsia="zh-CN"/>
        </w:rPr>
      </w:pPr>
      <w:r>
        <w:rPr>
          <w:bCs/>
          <w:snapToGrid w:val="0"/>
          <w:color w:val="auto"/>
          <w:kern w:val="0"/>
          <w:szCs w:val="21"/>
        </w:rPr>
        <w:t>2.7 一个制造商对同一品牌同一型号的货物，仅能委托一个代理商参加投标</w:t>
      </w:r>
      <w:r>
        <w:rPr>
          <w:rFonts w:hint="eastAsia"/>
          <w:bCs/>
          <w:snapToGrid w:val="0"/>
          <w:color w:val="auto"/>
          <w:kern w:val="0"/>
          <w:szCs w:val="21"/>
          <w:lang w:eastAsia="zh-CN"/>
        </w:rPr>
        <w:t>。</w:t>
      </w:r>
    </w:p>
    <w:p>
      <w:pPr>
        <w:spacing w:line="500" w:lineRule="exact"/>
        <w:ind w:firstLine="437"/>
        <w:rPr>
          <w:color w:val="auto"/>
        </w:rPr>
      </w:pPr>
      <w:r>
        <w:rPr>
          <w:bCs/>
          <w:snapToGrid w:val="0"/>
          <w:color w:val="auto"/>
          <w:kern w:val="0"/>
          <w:szCs w:val="21"/>
        </w:rPr>
        <w:t>2.</w:t>
      </w:r>
      <w:r>
        <w:rPr>
          <w:rFonts w:hint="eastAsia"/>
          <w:bCs/>
          <w:snapToGrid w:val="0"/>
          <w:color w:val="auto"/>
          <w:kern w:val="0"/>
          <w:szCs w:val="21"/>
          <w:lang w:val="en-US" w:eastAsia="zh-CN"/>
        </w:rPr>
        <w:t>8</w:t>
      </w:r>
      <w:r>
        <w:rPr>
          <w:bCs/>
          <w:snapToGrid w:val="0"/>
          <w:color w:val="auto"/>
          <w:kern w:val="0"/>
          <w:szCs w:val="21"/>
        </w:rPr>
        <w:t>其他要求：</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pPr>
        <w:spacing w:line="500" w:lineRule="exact"/>
        <w:rPr>
          <w:rFonts w:eastAsia="黑体"/>
          <w:color w:val="auto"/>
          <w:sz w:val="24"/>
        </w:rPr>
      </w:pPr>
      <w:r>
        <w:rPr>
          <w:rFonts w:eastAsia="黑体"/>
          <w:color w:val="auto"/>
          <w:sz w:val="24"/>
        </w:rPr>
        <w:t>3. 招标文件的获取</w:t>
      </w:r>
      <w:r>
        <w:rPr>
          <w:rFonts w:hint="eastAsia" w:eastAsia="黑体"/>
          <w:color w:val="auto"/>
          <w:sz w:val="24"/>
        </w:rPr>
        <w:t>及报名</w:t>
      </w:r>
    </w:p>
    <w:p>
      <w:pPr>
        <w:widowControl/>
        <w:spacing w:line="500" w:lineRule="exact"/>
        <w:ind w:firstLine="420" w:firstLineChars="200"/>
        <w:jc w:val="left"/>
        <w:rPr>
          <w:bCs/>
          <w:snapToGrid w:val="0"/>
          <w:color w:val="auto"/>
        </w:rPr>
      </w:pPr>
      <w:r>
        <w:rPr>
          <w:bCs/>
          <w:snapToGrid w:val="0"/>
          <w:color w:val="auto"/>
        </w:rPr>
        <w:t xml:space="preserve">3.1 </w:t>
      </w:r>
      <w:r>
        <w:rPr>
          <w:rFonts w:hint="eastAsia"/>
          <w:bCs/>
          <w:snapToGrid w:val="0"/>
          <w:color w:val="auto"/>
        </w:rPr>
        <w:t>报名</w:t>
      </w:r>
      <w:r>
        <w:rPr>
          <w:bCs/>
          <w:snapToGrid w:val="0"/>
          <w:color w:val="auto"/>
        </w:rPr>
        <w:t>时间：</w:t>
      </w:r>
      <w:r>
        <w:rPr>
          <w:bCs/>
          <w:snapToGrid w:val="0"/>
          <w:color w:val="auto"/>
          <w:kern w:val="0"/>
          <w:szCs w:val="21"/>
          <w:u w:val="single"/>
        </w:rPr>
        <w:t xml:space="preserve"> </w:t>
      </w:r>
      <w:r>
        <w:rPr>
          <w:rFonts w:hint="eastAsia"/>
          <w:bCs/>
          <w:snapToGrid w:val="0"/>
          <w:color w:val="auto"/>
          <w:kern w:val="0"/>
          <w:szCs w:val="21"/>
          <w:u w:val="single"/>
          <w:lang w:val="en-US" w:eastAsia="zh-CN"/>
        </w:rPr>
        <w:t>2025</w:t>
      </w:r>
      <w:r>
        <w:rPr>
          <w:bCs/>
          <w:snapToGrid w:val="0"/>
          <w:color w:val="auto"/>
          <w:kern w:val="0"/>
          <w:szCs w:val="21"/>
          <w:u w:val="single"/>
        </w:rPr>
        <w:t xml:space="preserve"> </w:t>
      </w:r>
      <w:r>
        <w:rPr>
          <w:bCs/>
          <w:snapToGrid w:val="0"/>
          <w:color w:val="auto"/>
        </w:rPr>
        <w:t>年</w:t>
      </w:r>
      <w:r>
        <w:rPr>
          <w:bCs/>
          <w:snapToGrid w:val="0"/>
          <w:color w:val="auto"/>
          <w:kern w:val="0"/>
          <w:szCs w:val="21"/>
          <w:u w:val="single"/>
        </w:rPr>
        <w:t xml:space="preserve"> </w:t>
      </w:r>
      <w:r>
        <w:rPr>
          <w:rFonts w:hint="eastAsia"/>
          <w:bCs/>
          <w:snapToGrid w:val="0"/>
          <w:color w:val="auto"/>
          <w:kern w:val="0"/>
          <w:szCs w:val="21"/>
          <w:u w:val="single"/>
          <w:lang w:val="en-US" w:eastAsia="zh-CN"/>
        </w:rPr>
        <w:t>9</w:t>
      </w:r>
      <w:r>
        <w:rPr>
          <w:bCs/>
          <w:snapToGrid w:val="0"/>
          <w:color w:val="auto"/>
        </w:rPr>
        <w:t>月</w:t>
      </w:r>
      <w:r>
        <w:rPr>
          <w:bCs/>
          <w:snapToGrid w:val="0"/>
          <w:color w:val="auto"/>
          <w:kern w:val="0"/>
          <w:szCs w:val="21"/>
          <w:u w:val="single"/>
        </w:rPr>
        <w:t xml:space="preserve"> </w:t>
      </w:r>
      <w:r>
        <w:rPr>
          <w:rFonts w:hint="eastAsia"/>
          <w:bCs/>
          <w:snapToGrid w:val="0"/>
          <w:color w:val="auto"/>
          <w:kern w:val="0"/>
          <w:szCs w:val="21"/>
          <w:u w:val="single"/>
          <w:lang w:val="en-US" w:eastAsia="zh-CN"/>
        </w:rPr>
        <w:t>18</w:t>
      </w:r>
      <w:r>
        <w:rPr>
          <w:bCs/>
          <w:snapToGrid w:val="0"/>
          <w:color w:val="auto"/>
          <w:kern w:val="0"/>
          <w:szCs w:val="21"/>
          <w:u w:val="single"/>
        </w:rPr>
        <w:t xml:space="preserve"> </w:t>
      </w:r>
      <w:r>
        <w:rPr>
          <w:bCs/>
          <w:snapToGrid w:val="0"/>
          <w:color w:val="auto"/>
        </w:rPr>
        <w:t>日至</w:t>
      </w:r>
      <w:r>
        <w:rPr>
          <w:rFonts w:hint="eastAsia"/>
          <w:bCs/>
          <w:snapToGrid w:val="0"/>
          <w:color w:val="auto"/>
          <w:u w:val="single"/>
          <w:lang w:val="en-US" w:eastAsia="zh-CN"/>
        </w:rPr>
        <w:t>2025</w:t>
      </w:r>
      <w:r>
        <w:rPr>
          <w:bCs/>
          <w:snapToGrid w:val="0"/>
          <w:color w:val="auto"/>
          <w:kern w:val="0"/>
          <w:szCs w:val="21"/>
          <w:u w:val="single"/>
        </w:rPr>
        <w:t xml:space="preserve"> </w:t>
      </w:r>
      <w:r>
        <w:rPr>
          <w:bCs/>
          <w:snapToGrid w:val="0"/>
          <w:color w:val="auto"/>
        </w:rPr>
        <w:t>年</w:t>
      </w:r>
      <w:r>
        <w:rPr>
          <w:rFonts w:hint="eastAsia"/>
          <w:bCs/>
          <w:snapToGrid w:val="0"/>
          <w:color w:val="auto"/>
          <w:u w:val="single"/>
          <w:lang w:val="en-US" w:eastAsia="zh-CN"/>
        </w:rPr>
        <w:t>9</w:t>
      </w:r>
      <w:r>
        <w:rPr>
          <w:bCs/>
          <w:snapToGrid w:val="0"/>
          <w:color w:val="auto"/>
          <w:kern w:val="0"/>
          <w:szCs w:val="21"/>
          <w:u w:val="single"/>
        </w:rPr>
        <w:t xml:space="preserve"> </w:t>
      </w:r>
      <w:r>
        <w:rPr>
          <w:bCs/>
          <w:snapToGrid w:val="0"/>
          <w:color w:val="auto"/>
        </w:rPr>
        <w:t>月</w:t>
      </w:r>
      <w:r>
        <w:rPr>
          <w:bCs/>
          <w:snapToGrid w:val="0"/>
          <w:color w:val="auto"/>
          <w:kern w:val="0"/>
          <w:szCs w:val="21"/>
          <w:u w:val="single"/>
        </w:rPr>
        <w:t xml:space="preserve"> </w:t>
      </w:r>
      <w:r>
        <w:rPr>
          <w:rFonts w:hint="eastAsia"/>
          <w:bCs/>
          <w:snapToGrid w:val="0"/>
          <w:color w:val="auto"/>
          <w:kern w:val="0"/>
          <w:szCs w:val="21"/>
          <w:u w:val="single"/>
          <w:lang w:val="en-US" w:eastAsia="zh-CN"/>
        </w:rPr>
        <w:t>25</w:t>
      </w:r>
      <w:r>
        <w:rPr>
          <w:bCs/>
          <w:snapToGrid w:val="0"/>
          <w:color w:val="auto"/>
          <w:kern w:val="0"/>
          <w:szCs w:val="21"/>
          <w:u w:val="single"/>
        </w:rPr>
        <w:t xml:space="preserve"> </w:t>
      </w:r>
      <w:r>
        <w:rPr>
          <w:bCs/>
          <w:snapToGrid w:val="0"/>
          <w:color w:val="auto"/>
        </w:rPr>
        <w:t>日(北京时间)</w:t>
      </w:r>
    </w:p>
    <w:p>
      <w:pPr>
        <w:widowControl/>
        <w:spacing w:line="500" w:lineRule="exact"/>
        <w:ind w:firstLine="420" w:firstLineChars="200"/>
        <w:jc w:val="left"/>
        <w:rPr>
          <w:rFonts w:hint="eastAsia"/>
          <w:bCs/>
          <w:snapToGrid w:val="0"/>
          <w:color w:val="auto"/>
        </w:rPr>
      </w:pPr>
      <w:r>
        <w:rPr>
          <w:bCs/>
          <w:snapToGrid w:val="0"/>
          <w:color w:val="auto"/>
        </w:rPr>
        <w:t xml:space="preserve">3.2 </w:t>
      </w:r>
      <w:r>
        <w:rPr>
          <w:rFonts w:hint="eastAsia"/>
          <w:bCs/>
          <w:snapToGrid w:val="0"/>
          <w:color w:val="auto"/>
        </w:rPr>
        <w:t>招标文件获取</w:t>
      </w:r>
      <w:r>
        <w:rPr>
          <w:bCs/>
          <w:snapToGrid w:val="0"/>
          <w:color w:val="auto"/>
        </w:rPr>
        <w:t>方式：</w:t>
      </w:r>
      <w:r>
        <w:rPr>
          <w:rFonts w:hint="eastAsia"/>
          <w:bCs/>
          <w:snapToGrid w:val="0"/>
          <w:color w:val="auto"/>
        </w:rPr>
        <w:t>登录文旅博览集团有限公司网站http://www.zwzcgl.com和庐江文旅投资公众号下载标书；</w:t>
      </w:r>
    </w:p>
    <w:p>
      <w:pPr>
        <w:autoSpaceDE w:val="0"/>
        <w:autoSpaceDN w:val="0"/>
        <w:adjustRightInd w:val="0"/>
        <w:spacing w:line="360" w:lineRule="auto"/>
        <w:ind w:firstLine="420" w:firstLineChars="200"/>
        <w:rPr>
          <w:rFonts w:ascii="Times New Roman" w:hAnsi="Times New Roman"/>
          <w:bCs/>
          <w:snapToGrid w:val="0"/>
          <w:color w:val="auto"/>
        </w:rPr>
      </w:pPr>
      <w:r>
        <w:rPr>
          <w:bCs/>
          <w:snapToGrid w:val="0"/>
          <w:color w:val="auto"/>
        </w:rPr>
        <w:t>3.3 报名方法：投标人下载附件《投标报名信息表》并完整填写信息后在</w:t>
      </w:r>
      <w:r>
        <w:rPr>
          <w:rFonts w:hint="eastAsia"/>
          <w:bCs/>
          <w:snapToGrid w:val="0"/>
          <w:color w:val="auto"/>
        </w:rPr>
        <w:t>本章节3.1</w:t>
      </w:r>
      <w:r>
        <w:rPr>
          <w:bCs/>
          <w:snapToGrid w:val="0"/>
          <w:color w:val="auto"/>
        </w:rPr>
        <w:t>规定的报名日期内发送至邮箱</w:t>
      </w:r>
      <w:r>
        <w:rPr>
          <w:rFonts w:hint="eastAsia" w:ascii="Times New Roman" w:hAnsi="Times New Roman"/>
          <w:bCs/>
          <w:snapToGrid w:val="0"/>
          <w:color w:val="auto"/>
        </w:rPr>
        <w:t>：2507024924@qq.com</w:t>
      </w:r>
    </w:p>
    <w:p>
      <w:pPr>
        <w:spacing w:line="500" w:lineRule="exact"/>
        <w:rPr>
          <w:rFonts w:eastAsia="黑体"/>
          <w:color w:val="auto"/>
          <w:sz w:val="24"/>
        </w:rPr>
      </w:pPr>
      <w:r>
        <w:rPr>
          <w:rFonts w:eastAsia="黑体"/>
          <w:color w:val="auto"/>
          <w:sz w:val="24"/>
        </w:rPr>
        <w:t>4. 投标文件的递交</w:t>
      </w:r>
    </w:p>
    <w:p>
      <w:pPr>
        <w:pStyle w:val="50"/>
        <w:spacing w:before="0" w:beforeAutospacing="0" w:after="0" w:afterAutospacing="0" w:line="500" w:lineRule="exact"/>
        <w:ind w:firstLine="420" w:firstLineChars="200"/>
        <w:rPr>
          <w:rFonts w:ascii="Times New Roman" w:hAnsi="Times New Roman" w:cs="Times New Roman"/>
          <w:bCs/>
          <w:snapToGrid w:val="0"/>
          <w:color w:val="auto"/>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2025</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年</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9</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26</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10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00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color w:val="auto"/>
        </w:rPr>
        <w:t>。</w:t>
      </w:r>
    </w:p>
    <w:p>
      <w:pPr>
        <w:spacing w:line="500" w:lineRule="exact"/>
        <w:rPr>
          <w:rFonts w:eastAsia="黑体"/>
          <w:color w:val="auto"/>
          <w:sz w:val="24"/>
        </w:rPr>
      </w:pPr>
      <w:r>
        <w:rPr>
          <w:rFonts w:eastAsia="黑体"/>
          <w:color w:val="auto"/>
          <w:sz w:val="24"/>
        </w:rPr>
        <w:t>5.</w:t>
      </w:r>
      <w:r>
        <w:rPr>
          <w:color w:val="auto"/>
        </w:rPr>
        <w:t xml:space="preserve"> </w:t>
      </w:r>
      <w:r>
        <w:rPr>
          <w:rFonts w:eastAsia="黑体"/>
          <w:color w:val="auto"/>
          <w:sz w:val="24"/>
        </w:rPr>
        <w:t>开标时间及地点</w:t>
      </w:r>
    </w:p>
    <w:p>
      <w:pPr>
        <w:widowControl/>
        <w:spacing w:line="500" w:lineRule="exact"/>
        <w:ind w:firstLine="420" w:firstLineChars="200"/>
        <w:jc w:val="left"/>
        <w:rPr>
          <w:bCs/>
          <w:color w:val="auto"/>
          <w:szCs w:val="21"/>
        </w:rPr>
      </w:pPr>
      <w:r>
        <w:rPr>
          <w:bCs/>
          <w:snapToGrid w:val="0"/>
          <w:color w:val="auto"/>
          <w:kern w:val="0"/>
          <w:szCs w:val="21"/>
        </w:rPr>
        <w:t>5.1 开标时间：</w:t>
      </w:r>
      <w:r>
        <w:rPr>
          <w:rFonts w:hint="eastAsia"/>
          <w:bCs/>
          <w:snapToGrid w:val="0"/>
          <w:color w:val="auto"/>
          <w:kern w:val="0"/>
          <w:szCs w:val="21"/>
          <w:u w:val="single"/>
          <w:lang w:val="en-US" w:eastAsia="zh-CN"/>
        </w:rPr>
        <w:t xml:space="preserve"> 2025</w:t>
      </w:r>
      <w:r>
        <w:rPr>
          <w:bCs/>
          <w:snapToGrid w:val="0"/>
          <w:color w:val="auto"/>
          <w:kern w:val="0"/>
          <w:szCs w:val="21"/>
          <w:u w:val="single"/>
        </w:rPr>
        <w:t xml:space="preserve"> </w:t>
      </w:r>
      <w:r>
        <w:rPr>
          <w:bCs/>
          <w:color w:val="auto"/>
          <w:szCs w:val="21"/>
        </w:rPr>
        <w:t>年</w:t>
      </w:r>
      <w:r>
        <w:rPr>
          <w:rFonts w:hint="eastAsia"/>
          <w:bCs/>
          <w:color w:val="auto"/>
          <w:szCs w:val="21"/>
          <w:u w:val="single"/>
          <w:lang w:val="en-US" w:eastAsia="zh-CN"/>
        </w:rPr>
        <w:t xml:space="preserve"> 9</w:t>
      </w:r>
      <w:r>
        <w:rPr>
          <w:bCs/>
          <w:snapToGrid w:val="0"/>
          <w:color w:val="auto"/>
          <w:kern w:val="0"/>
          <w:szCs w:val="21"/>
          <w:u w:val="single"/>
        </w:rPr>
        <w:t xml:space="preserve"> </w:t>
      </w:r>
      <w:r>
        <w:rPr>
          <w:bCs/>
          <w:color w:val="auto"/>
          <w:szCs w:val="21"/>
        </w:rPr>
        <w:t>月</w:t>
      </w:r>
      <w:r>
        <w:rPr>
          <w:bCs/>
          <w:snapToGrid w:val="0"/>
          <w:color w:val="auto"/>
          <w:kern w:val="0"/>
          <w:szCs w:val="21"/>
          <w:u w:val="single"/>
        </w:rPr>
        <w:t xml:space="preserve"> </w:t>
      </w:r>
      <w:r>
        <w:rPr>
          <w:rFonts w:hint="eastAsia"/>
          <w:bCs/>
          <w:snapToGrid w:val="0"/>
          <w:color w:val="auto"/>
          <w:kern w:val="0"/>
          <w:szCs w:val="21"/>
          <w:u w:val="single"/>
          <w:lang w:val="en-US" w:eastAsia="zh-CN"/>
        </w:rPr>
        <w:t>26</w:t>
      </w:r>
      <w:r>
        <w:rPr>
          <w:bCs/>
          <w:snapToGrid w:val="0"/>
          <w:color w:val="auto"/>
          <w:kern w:val="0"/>
          <w:szCs w:val="21"/>
          <w:u w:val="single"/>
        </w:rPr>
        <w:t xml:space="preserve"> </w:t>
      </w:r>
      <w:r>
        <w:rPr>
          <w:bCs/>
          <w:color w:val="auto"/>
          <w:szCs w:val="21"/>
        </w:rPr>
        <w:t>日</w:t>
      </w:r>
      <w:r>
        <w:rPr>
          <w:bCs/>
          <w:snapToGrid w:val="0"/>
          <w:color w:val="auto"/>
          <w:kern w:val="0"/>
          <w:szCs w:val="21"/>
          <w:u w:val="single"/>
        </w:rPr>
        <w:t xml:space="preserve"> </w:t>
      </w:r>
      <w:r>
        <w:rPr>
          <w:rFonts w:hint="eastAsia"/>
          <w:bCs/>
          <w:snapToGrid w:val="0"/>
          <w:color w:val="auto"/>
          <w:kern w:val="0"/>
          <w:szCs w:val="21"/>
          <w:u w:val="single"/>
          <w:lang w:val="en-US" w:eastAsia="zh-CN"/>
        </w:rPr>
        <w:t>10</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rFonts w:hint="eastAsia"/>
          <w:bCs/>
          <w:snapToGrid w:val="0"/>
          <w:color w:val="auto"/>
          <w:kern w:val="0"/>
          <w:szCs w:val="21"/>
          <w:u w:val="single"/>
          <w:lang w:val="en-US" w:eastAsia="zh-CN"/>
        </w:rPr>
        <w:t>00</w:t>
      </w:r>
      <w:r>
        <w:rPr>
          <w:bCs/>
          <w:snapToGrid w:val="0"/>
          <w:color w:val="auto"/>
          <w:kern w:val="0"/>
          <w:szCs w:val="21"/>
          <w:u w:val="single"/>
        </w:rPr>
        <w:t xml:space="preserve"> </w:t>
      </w:r>
      <w:r>
        <w:rPr>
          <w:bCs/>
          <w:snapToGrid w:val="0"/>
          <w:color w:val="auto"/>
          <w:kern w:val="0"/>
          <w:szCs w:val="21"/>
        </w:rPr>
        <w:t>分</w:t>
      </w:r>
      <w:bookmarkStart w:id="451" w:name="_GoBack"/>
      <w:bookmarkEnd w:id="451"/>
    </w:p>
    <w:p>
      <w:pPr>
        <w:spacing w:line="500" w:lineRule="exact"/>
        <w:ind w:firstLine="420" w:firstLineChars="200"/>
        <w:rPr>
          <w:bCs/>
          <w:snapToGrid w:val="0"/>
          <w:color w:val="auto"/>
          <w:kern w:val="0"/>
          <w:szCs w:val="21"/>
        </w:rPr>
      </w:pPr>
      <w:r>
        <w:rPr>
          <w:bCs/>
          <w:snapToGrid w:val="0"/>
          <w:color w:val="auto"/>
          <w:kern w:val="0"/>
          <w:szCs w:val="21"/>
        </w:rPr>
        <w:t>5.2 开标地点：</w:t>
      </w:r>
      <w:r>
        <w:rPr>
          <w:bCs/>
          <w:snapToGrid w:val="0"/>
          <w:color w:val="auto"/>
          <w:kern w:val="0"/>
          <w:szCs w:val="21"/>
          <w:u w:val="single"/>
        </w:rPr>
        <w:t xml:space="preserve"> </w:t>
      </w:r>
      <w:r>
        <w:rPr>
          <w:rFonts w:hint="eastAsia"/>
          <w:bCs/>
          <w:snapToGrid w:val="0"/>
          <w:color w:val="auto"/>
          <w:kern w:val="0"/>
          <w:szCs w:val="21"/>
          <w:u w:val="single"/>
        </w:rPr>
        <w:t xml:space="preserve">安徽省合肥市庐江县云里安凹民宿 </w:t>
      </w:r>
      <w:r>
        <w:rPr>
          <w:bCs/>
          <w:snapToGrid w:val="0"/>
          <w:color w:val="auto"/>
          <w:kern w:val="0"/>
          <w:szCs w:val="21"/>
          <w:u w:val="single"/>
        </w:rPr>
        <w:t xml:space="preserve">  </w:t>
      </w:r>
    </w:p>
    <w:p>
      <w:pPr>
        <w:spacing w:line="500" w:lineRule="exact"/>
        <w:rPr>
          <w:rFonts w:eastAsia="黑体"/>
          <w:color w:val="auto"/>
          <w:sz w:val="24"/>
        </w:rPr>
      </w:pPr>
      <w:r>
        <w:rPr>
          <w:rFonts w:eastAsia="黑体"/>
          <w:color w:val="auto"/>
          <w:sz w:val="24"/>
        </w:rPr>
        <w:t>6. 发布公告的媒介</w:t>
      </w:r>
    </w:p>
    <w:p>
      <w:pPr>
        <w:spacing w:line="500" w:lineRule="exact"/>
        <w:ind w:firstLine="420" w:firstLineChars="200"/>
        <w:rPr>
          <w:bCs/>
          <w:snapToGrid w:val="0"/>
          <w:color w:val="auto"/>
          <w:kern w:val="0"/>
          <w:szCs w:val="21"/>
        </w:rPr>
      </w:pPr>
      <w:r>
        <w:rPr>
          <w:rFonts w:hint="eastAsia"/>
          <w:bCs/>
          <w:snapToGrid w:val="0"/>
          <w:color w:val="auto"/>
          <w:kern w:val="0"/>
          <w:szCs w:val="21"/>
        </w:rPr>
        <w:t>本次招标公告在文旅博览集团有限公司网站http://www.zwzcgl.com和庐江文旅投资公众号上发布。</w:t>
      </w:r>
    </w:p>
    <w:p>
      <w:pPr>
        <w:spacing w:line="500" w:lineRule="exact"/>
        <w:rPr>
          <w:rFonts w:eastAsia="黑体"/>
          <w:color w:val="auto"/>
          <w:sz w:val="24"/>
        </w:rPr>
      </w:pPr>
      <w:r>
        <w:rPr>
          <w:rFonts w:eastAsia="黑体"/>
          <w:color w:val="auto"/>
          <w:sz w:val="24"/>
        </w:rPr>
        <w:t>7.联系方式</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7.1招标人</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招标人</w:t>
      </w:r>
      <w:r>
        <w:rPr>
          <w:rFonts w:hint="eastAsia"/>
          <w:bCs/>
          <w:snapToGrid w:val="0"/>
          <w:color w:val="auto"/>
          <w:kern w:val="0"/>
          <w:szCs w:val="21"/>
        </w:rPr>
        <w:t>：</w:t>
      </w:r>
      <w:r>
        <w:rPr>
          <w:bCs/>
          <w:snapToGrid w:val="0"/>
          <w:color w:val="auto"/>
          <w:kern w:val="0"/>
          <w:szCs w:val="21"/>
          <w:u w:val="single"/>
        </w:rPr>
        <w:t xml:space="preserve"> </w:t>
      </w:r>
      <w:r>
        <w:rPr>
          <w:rFonts w:hint="eastAsia"/>
          <w:bCs/>
          <w:snapToGrid w:val="0"/>
          <w:color w:val="auto"/>
          <w:kern w:val="0"/>
          <w:szCs w:val="21"/>
          <w:u w:val="single"/>
        </w:rPr>
        <w:t xml:space="preserve">庐江县文旅投资有限公司 </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地  址：</w:t>
      </w:r>
      <w:r>
        <w:rPr>
          <w:bCs/>
          <w:snapToGrid w:val="0"/>
          <w:color w:val="auto"/>
          <w:kern w:val="0"/>
          <w:szCs w:val="21"/>
          <w:u w:val="single"/>
        </w:rPr>
        <w:t xml:space="preserve"> </w:t>
      </w:r>
      <w:r>
        <w:rPr>
          <w:rFonts w:hint="eastAsia"/>
          <w:bCs/>
          <w:snapToGrid w:val="0"/>
          <w:color w:val="auto"/>
          <w:kern w:val="0"/>
          <w:szCs w:val="21"/>
          <w:u w:val="single"/>
        </w:rPr>
        <w:t xml:space="preserve"> 庐江县长冲村安凹组99号</w:t>
      </w:r>
      <w:r>
        <w:rPr>
          <w:rFonts w:hint="eastAsia"/>
          <w:bCs/>
          <w:snapToGrid w:val="0"/>
          <w:color w:val="auto"/>
          <w:kern w:val="0"/>
          <w:szCs w:val="21"/>
          <w:u w:val="single"/>
          <w:lang w:val="en-US" w:eastAsia="zh-CN"/>
        </w:rPr>
        <w:t xml:space="preserve"> </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联系人：</w:t>
      </w:r>
      <w:r>
        <w:rPr>
          <w:bCs/>
          <w:snapToGrid w:val="0"/>
          <w:color w:val="auto"/>
          <w:kern w:val="0"/>
          <w:szCs w:val="21"/>
          <w:u w:val="single"/>
        </w:rPr>
        <w:t xml:space="preserve"> </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金华</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 xml:space="preserve"> </w:t>
      </w:r>
      <w:r>
        <w:rPr>
          <w:rFonts w:hint="eastAsia"/>
          <w:bCs/>
          <w:snapToGrid w:val="0"/>
          <w:color w:val="auto"/>
          <w:kern w:val="0"/>
          <w:szCs w:val="21"/>
          <w:u w:val="single"/>
        </w:rPr>
        <w:t xml:space="preserve">  </w:t>
      </w:r>
    </w:p>
    <w:p>
      <w:pPr>
        <w:widowControl/>
        <w:spacing w:line="500" w:lineRule="exact"/>
        <w:ind w:firstLine="420" w:firstLineChars="200"/>
        <w:jc w:val="left"/>
        <w:rPr>
          <w:rFonts w:hint="default" w:eastAsia="宋体"/>
          <w:bCs/>
          <w:snapToGrid w:val="0"/>
          <w:color w:val="auto"/>
          <w:kern w:val="0"/>
          <w:szCs w:val="21"/>
          <w:lang w:val="en-US" w:eastAsia="zh-CN"/>
        </w:rPr>
      </w:pPr>
      <w:r>
        <w:rPr>
          <w:bCs/>
          <w:snapToGrid w:val="0"/>
          <w:color w:val="auto"/>
          <w:kern w:val="0"/>
          <w:szCs w:val="21"/>
        </w:rPr>
        <w:t>电  话：</w:t>
      </w:r>
      <w:r>
        <w:rPr>
          <w:bCs/>
          <w:snapToGrid w:val="0"/>
          <w:color w:val="auto"/>
          <w:kern w:val="0"/>
          <w:szCs w:val="21"/>
          <w:u w:val="single"/>
        </w:rPr>
        <w:t xml:space="preserve"> </w:t>
      </w:r>
      <w:r>
        <w:rPr>
          <w:rFonts w:hint="eastAsia"/>
          <w:bCs/>
          <w:snapToGrid w:val="0"/>
          <w:color w:val="auto"/>
          <w:kern w:val="0"/>
          <w:szCs w:val="21"/>
          <w:u w:val="single"/>
          <w:lang w:val="en-US" w:eastAsia="zh-CN"/>
        </w:rPr>
        <w:t>15357709988</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 xml:space="preserve">    </w:t>
      </w:r>
    </w:p>
    <w:p>
      <w:pPr>
        <w:spacing w:line="500" w:lineRule="exact"/>
        <w:rPr>
          <w:rFonts w:eastAsia="黑体"/>
          <w:color w:val="auto"/>
          <w:sz w:val="24"/>
        </w:rPr>
      </w:pPr>
      <w:r>
        <w:rPr>
          <w:rFonts w:eastAsia="黑体"/>
          <w:color w:val="auto"/>
          <w:sz w:val="24"/>
        </w:rPr>
        <w:t>8.其他事项说明</w:t>
      </w:r>
    </w:p>
    <w:p>
      <w:pPr>
        <w:widowControl/>
        <w:spacing w:line="500" w:lineRule="exact"/>
        <w:ind w:firstLine="420" w:firstLineChars="200"/>
        <w:jc w:val="left"/>
        <w:rPr>
          <w:bCs/>
          <w:snapToGrid w:val="0"/>
          <w:color w:val="auto"/>
          <w:kern w:val="0"/>
          <w:szCs w:val="21"/>
        </w:rPr>
      </w:pPr>
      <w:r>
        <w:rPr>
          <w:bCs/>
          <w:snapToGrid w:val="0"/>
          <w:color w:val="auto"/>
          <w:kern w:val="0"/>
          <w:szCs w:val="21"/>
        </w:rPr>
        <w:t>有任何疑问或问题，请在工作时间（周一至周五，上午08:00-12:00，下午2:30-5:30，节假日休息）与项目联系人联系。</w:t>
      </w:r>
    </w:p>
    <w:p>
      <w:pPr>
        <w:snapToGrid w:val="0"/>
        <w:spacing w:line="500" w:lineRule="exact"/>
        <w:rPr>
          <w:i/>
          <w:iCs/>
          <w:color w:val="auto"/>
          <w:sz w:val="24"/>
        </w:rPr>
      </w:pPr>
      <w:r>
        <w:rPr>
          <w:rFonts w:eastAsia="黑体"/>
          <w:color w:val="auto"/>
          <w:sz w:val="24"/>
        </w:rPr>
        <w:t>9.投标保证金账户</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单位名称：</w:t>
      </w:r>
      <w:r>
        <w:rPr>
          <w:rFonts w:hint="eastAsia" w:ascii="Times New Roman" w:hAnsi="Times New Roman"/>
          <w:bCs/>
          <w:snapToGrid w:val="0"/>
          <w:color w:val="auto"/>
          <w:kern w:val="0"/>
          <w:szCs w:val="21"/>
          <w:u w:val="single"/>
        </w:rPr>
        <w:t xml:space="preserve"> </w:t>
      </w:r>
      <w:r>
        <w:rPr>
          <w:rFonts w:hint="eastAsia" w:ascii="宋体" w:hAnsi="宋体"/>
          <w:bCs/>
          <w:color w:val="auto"/>
          <w:sz w:val="24"/>
          <w:szCs w:val="24"/>
          <w:u w:val="single"/>
        </w:rPr>
        <w:t>庐江县文旅投资有限公司</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开户银行账号：</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175266458916    </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中国银行股份有限公司庐江支行</w:t>
      </w:r>
      <w:r>
        <w:rPr>
          <w:rFonts w:ascii="Times New Roman" w:hAnsi="Times New Roman"/>
          <w:bCs/>
          <w:snapToGrid w:val="0"/>
          <w:color w:val="auto"/>
          <w:kern w:val="0"/>
          <w:szCs w:val="21"/>
          <w:u w:val="single"/>
        </w:rPr>
        <w:t xml:space="preserve"> </w:t>
      </w:r>
    </w:p>
    <w:p>
      <w:pPr>
        <w:widowControl/>
        <w:spacing w:before="240" w:beforeLines="100" w:after="240" w:afterLines="100" w:line="500" w:lineRule="exact"/>
        <w:jc w:val="center"/>
        <w:outlineLvl w:val="0"/>
        <w:rPr>
          <w:color w:val="auto"/>
        </w:rPr>
      </w:pPr>
      <w:r>
        <w:rPr>
          <w:bCs/>
          <w:snapToGrid w:val="0"/>
          <w:color w:val="auto"/>
          <w:kern w:val="0"/>
          <w:szCs w:val="21"/>
        </w:rPr>
        <w:br w:type="page"/>
      </w:r>
      <w:bookmarkStart w:id="3" w:name="_Toc30158"/>
      <w:bookmarkStart w:id="4" w:name="_Toc83"/>
      <w:r>
        <w:rPr>
          <w:rStyle w:val="65"/>
          <w:rFonts w:hint="eastAsia" w:ascii="黑体" w:hAnsi="黑体" w:eastAsia="黑体" w:cs="黑体"/>
          <w:color w:val="auto"/>
        </w:rPr>
        <w:t>第二章  投标人须知</w:t>
      </w:r>
      <w:bookmarkEnd w:id="3"/>
      <w:bookmarkEnd w:id="4"/>
    </w:p>
    <w:p>
      <w:pPr>
        <w:pStyle w:val="2"/>
        <w:spacing w:before="120" w:beforeLines="50" w:after="120" w:afterLines="50" w:line="500" w:lineRule="exact"/>
        <w:jc w:val="center"/>
        <w:rPr>
          <w:rFonts w:ascii="Times New Roman" w:hAnsi="Times New Roman" w:eastAsia="黑体"/>
          <w:b w:val="0"/>
          <w:color w:val="auto"/>
          <w:sz w:val="28"/>
          <w:szCs w:val="28"/>
        </w:rPr>
      </w:pPr>
      <w:bookmarkStart w:id="5" w:name="_Toc7591"/>
      <w:bookmarkStart w:id="6" w:name="_Toc21317"/>
      <w:bookmarkStart w:id="7" w:name="_Toc17753"/>
      <w:r>
        <w:rPr>
          <w:rFonts w:ascii="Times New Roman" w:hAnsi="Times New Roman" w:eastAsia="黑体"/>
          <w:b w:val="0"/>
          <w:color w:val="auto"/>
          <w:sz w:val="28"/>
          <w:szCs w:val="28"/>
        </w:rPr>
        <w:t>投标人须知前附表</w:t>
      </w:r>
      <w:bookmarkEnd w:id="5"/>
      <w:bookmarkEnd w:id="6"/>
      <w:bookmarkEnd w:id="7"/>
    </w:p>
    <w:tbl>
      <w:tblPr>
        <w:tblStyle w:val="5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980"/>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70" w:type="dxa"/>
            <w:noWrap w:val="0"/>
            <w:vAlign w:val="center"/>
          </w:tcPr>
          <w:p>
            <w:pPr>
              <w:snapToGrid w:val="0"/>
              <w:spacing w:line="500" w:lineRule="exact"/>
              <w:jc w:val="center"/>
              <w:rPr>
                <w:b/>
                <w:color w:val="auto"/>
              </w:rPr>
            </w:pPr>
            <w:r>
              <w:rPr>
                <w:b/>
                <w:color w:val="auto"/>
              </w:rPr>
              <w:t>条款号</w:t>
            </w:r>
          </w:p>
        </w:tc>
        <w:tc>
          <w:tcPr>
            <w:tcW w:w="1980" w:type="dxa"/>
            <w:noWrap w:val="0"/>
            <w:vAlign w:val="center"/>
          </w:tcPr>
          <w:p>
            <w:pPr>
              <w:snapToGrid w:val="0"/>
              <w:spacing w:line="500" w:lineRule="exact"/>
              <w:jc w:val="center"/>
              <w:rPr>
                <w:b/>
                <w:color w:val="auto"/>
              </w:rPr>
            </w:pPr>
            <w:r>
              <w:rPr>
                <w:b/>
                <w:color w:val="auto"/>
              </w:rPr>
              <w:t>条 款 名 称</w:t>
            </w:r>
          </w:p>
        </w:tc>
        <w:tc>
          <w:tcPr>
            <w:tcW w:w="5995" w:type="dxa"/>
            <w:noWrap w:val="0"/>
            <w:vAlign w:val="center"/>
          </w:tcPr>
          <w:p>
            <w:pPr>
              <w:snapToGrid w:val="0"/>
              <w:spacing w:line="500" w:lineRule="exact"/>
              <w:jc w:val="center"/>
              <w:rPr>
                <w:b/>
                <w:color w:val="auto"/>
              </w:rPr>
            </w:pPr>
            <w:r>
              <w:rPr>
                <w:b/>
                <w:color w:va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1.1.2</w:t>
            </w:r>
          </w:p>
        </w:tc>
        <w:tc>
          <w:tcPr>
            <w:tcW w:w="1980" w:type="dxa"/>
            <w:noWrap w:val="0"/>
            <w:vAlign w:val="center"/>
          </w:tcPr>
          <w:p>
            <w:pPr>
              <w:snapToGrid w:val="0"/>
              <w:spacing w:line="500" w:lineRule="exact"/>
              <w:jc w:val="center"/>
              <w:rPr>
                <w:color w:val="auto"/>
              </w:rPr>
            </w:pPr>
            <w:r>
              <w:rPr>
                <w:color w:val="auto"/>
              </w:rPr>
              <w:t>招标人</w:t>
            </w:r>
          </w:p>
        </w:tc>
        <w:tc>
          <w:tcPr>
            <w:tcW w:w="5995" w:type="dxa"/>
            <w:noWrap w:val="0"/>
            <w:vAlign w:val="center"/>
          </w:tcPr>
          <w:p>
            <w:pPr>
              <w:snapToGrid w:val="0"/>
              <w:spacing w:line="500" w:lineRule="exact"/>
              <w:jc w:val="left"/>
              <w:rPr>
                <w:color w:val="auto"/>
              </w:rPr>
            </w:pPr>
            <w:r>
              <w:rPr>
                <w:rFonts w:hint="eastAsia"/>
                <w:color w:val="auto"/>
              </w:rPr>
              <w:t xml:space="preserve">庐江县文旅投资有限公司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3</w:t>
            </w:r>
          </w:p>
        </w:tc>
        <w:tc>
          <w:tcPr>
            <w:tcW w:w="1980" w:type="dxa"/>
            <w:noWrap w:val="0"/>
            <w:vAlign w:val="center"/>
          </w:tcPr>
          <w:p>
            <w:pPr>
              <w:snapToGrid w:val="0"/>
              <w:spacing w:line="500" w:lineRule="exact"/>
              <w:jc w:val="center"/>
              <w:rPr>
                <w:color w:val="auto"/>
              </w:rPr>
            </w:pPr>
            <w:r>
              <w:rPr>
                <w:color w:val="auto"/>
              </w:rPr>
              <w:t>项目名称</w:t>
            </w:r>
          </w:p>
        </w:tc>
        <w:tc>
          <w:tcPr>
            <w:tcW w:w="5995" w:type="dxa"/>
            <w:noWrap w:val="0"/>
            <w:vAlign w:val="center"/>
          </w:tcPr>
          <w:p>
            <w:pPr>
              <w:snapToGrid w:val="0"/>
              <w:spacing w:line="500" w:lineRule="exact"/>
              <w:jc w:val="left"/>
              <w:rPr>
                <w:color w:val="auto"/>
              </w:rPr>
            </w:pPr>
            <w:r>
              <w:rPr>
                <w:rFonts w:hint="eastAsia"/>
                <w:color w:val="auto"/>
              </w:rPr>
              <w:t>庐江文旅投资食品原材料采购米、油、调味品类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4</w:t>
            </w:r>
          </w:p>
        </w:tc>
        <w:tc>
          <w:tcPr>
            <w:tcW w:w="1980" w:type="dxa"/>
            <w:noWrap w:val="0"/>
            <w:vAlign w:val="center"/>
          </w:tcPr>
          <w:p>
            <w:pPr>
              <w:snapToGrid w:val="0"/>
              <w:spacing w:line="500" w:lineRule="exact"/>
              <w:jc w:val="center"/>
              <w:rPr>
                <w:color w:val="auto"/>
              </w:rPr>
            </w:pPr>
            <w:r>
              <w:rPr>
                <w:color w:val="auto"/>
              </w:rPr>
              <w:t>项目地点</w:t>
            </w:r>
          </w:p>
        </w:tc>
        <w:tc>
          <w:tcPr>
            <w:tcW w:w="5995" w:type="dxa"/>
            <w:noWrap w:val="0"/>
            <w:vAlign w:val="center"/>
          </w:tcPr>
          <w:p>
            <w:pPr>
              <w:snapToGrid w:val="0"/>
              <w:spacing w:line="500" w:lineRule="exact"/>
              <w:jc w:val="left"/>
              <w:rPr>
                <w:color w:val="auto"/>
              </w:rPr>
            </w:pPr>
            <w:r>
              <w:rPr>
                <w:rFonts w:hint="eastAsia"/>
                <w:color w:val="auto"/>
              </w:rPr>
              <w:t>安徽省合肥市庐江县云里安凹民宿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5</w:t>
            </w:r>
          </w:p>
        </w:tc>
        <w:tc>
          <w:tcPr>
            <w:tcW w:w="1980" w:type="dxa"/>
            <w:noWrap w:val="0"/>
            <w:vAlign w:val="center"/>
          </w:tcPr>
          <w:p>
            <w:pPr>
              <w:snapToGrid w:val="0"/>
              <w:spacing w:line="500" w:lineRule="exact"/>
              <w:jc w:val="center"/>
              <w:rPr>
                <w:color w:val="auto"/>
              </w:rPr>
            </w:pPr>
            <w:r>
              <w:rPr>
                <w:color w:val="auto"/>
              </w:rPr>
              <w:t>项目编号</w:t>
            </w:r>
          </w:p>
        </w:tc>
        <w:tc>
          <w:tcPr>
            <w:tcW w:w="5995" w:type="dxa"/>
            <w:noWrap w:val="0"/>
            <w:vAlign w:val="center"/>
          </w:tcPr>
          <w:p>
            <w:pPr>
              <w:snapToGrid w:val="0"/>
              <w:spacing w:line="500" w:lineRule="exact"/>
              <w:jc w:val="left"/>
              <w:rPr>
                <w:rFonts w:hint="default" w:eastAsia="宋体"/>
                <w:color w:val="auto"/>
                <w:lang w:val="en-US" w:eastAsia="zh-CN"/>
              </w:rPr>
            </w:pPr>
            <w:r>
              <w:rPr>
                <w:rFonts w:hint="eastAsia" w:eastAsia="宋体"/>
                <w:color w:val="auto"/>
                <w:lang w:val="en-US" w:eastAsia="zh-CN"/>
              </w:rPr>
              <w:t>2025LJWL01</w:t>
            </w: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6</w:t>
            </w:r>
          </w:p>
        </w:tc>
        <w:tc>
          <w:tcPr>
            <w:tcW w:w="1980" w:type="dxa"/>
            <w:noWrap w:val="0"/>
            <w:vAlign w:val="center"/>
          </w:tcPr>
          <w:p>
            <w:pPr>
              <w:snapToGrid w:val="0"/>
              <w:spacing w:line="500" w:lineRule="exact"/>
              <w:jc w:val="center"/>
              <w:rPr>
                <w:color w:val="auto"/>
              </w:rPr>
            </w:pPr>
            <w:r>
              <w:rPr>
                <w:color w:val="auto"/>
              </w:rPr>
              <w:t>项目性质</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1.2.1</w:t>
            </w:r>
          </w:p>
        </w:tc>
        <w:tc>
          <w:tcPr>
            <w:tcW w:w="1980" w:type="dxa"/>
            <w:noWrap w:val="0"/>
            <w:vAlign w:val="center"/>
          </w:tcPr>
          <w:p>
            <w:pPr>
              <w:snapToGrid w:val="0"/>
              <w:spacing w:line="500" w:lineRule="exact"/>
              <w:jc w:val="center"/>
              <w:rPr>
                <w:color w:val="auto"/>
              </w:rPr>
            </w:pPr>
            <w:r>
              <w:rPr>
                <w:color w:val="auto"/>
              </w:rPr>
              <w:t>资金来源</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1.2.2</w:t>
            </w:r>
          </w:p>
        </w:tc>
        <w:tc>
          <w:tcPr>
            <w:tcW w:w="1980" w:type="dxa"/>
            <w:noWrap w:val="0"/>
            <w:vAlign w:val="center"/>
          </w:tcPr>
          <w:p>
            <w:pPr>
              <w:snapToGrid w:val="0"/>
              <w:spacing w:line="500" w:lineRule="exact"/>
              <w:jc w:val="center"/>
              <w:rPr>
                <w:color w:val="auto"/>
              </w:rPr>
            </w:pPr>
            <w:r>
              <w:rPr>
                <w:color w:val="auto"/>
              </w:rPr>
              <w:t>资金落实情况</w:t>
            </w:r>
          </w:p>
        </w:tc>
        <w:tc>
          <w:tcPr>
            <w:tcW w:w="5995" w:type="dxa"/>
            <w:noWrap w:val="0"/>
            <w:vAlign w:val="center"/>
          </w:tcPr>
          <w:p>
            <w:pPr>
              <w:snapToGrid w:val="0"/>
              <w:spacing w:line="500" w:lineRule="exact"/>
              <w:jc w:val="left"/>
              <w:rPr>
                <w:color w:val="auto"/>
              </w:rPr>
            </w:pPr>
            <w:r>
              <w:rPr>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1.3.1</w:t>
            </w:r>
          </w:p>
        </w:tc>
        <w:tc>
          <w:tcPr>
            <w:tcW w:w="1980" w:type="dxa"/>
            <w:noWrap w:val="0"/>
            <w:vAlign w:val="center"/>
          </w:tcPr>
          <w:p>
            <w:pPr>
              <w:snapToGrid w:val="0"/>
              <w:spacing w:line="500" w:lineRule="exact"/>
              <w:jc w:val="center"/>
              <w:rPr>
                <w:color w:val="auto"/>
              </w:rPr>
            </w:pPr>
            <w:r>
              <w:rPr>
                <w:color w:val="auto"/>
              </w:rPr>
              <w:t>招标范围</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1.3.2</w:t>
            </w:r>
          </w:p>
        </w:tc>
        <w:tc>
          <w:tcPr>
            <w:tcW w:w="1980" w:type="dxa"/>
            <w:noWrap w:val="0"/>
            <w:vAlign w:val="center"/>
          </w:tcPr>
          <w:p>
            <w:pPr>
              <w:snapToGrid w:val="0"/>
              <w:spacing w:line="500" w:lineRule="exact"/>
              <w:jc w:val="center"/>
              <w:rPr>
                <w:b/>
                <w:bCs/>
                <w:color w:val="auto"/>
              </w:rPr>
            </w:pPr>
            <w:r>
              <w:rPr>
                <w:rFonts w:hint="eastAsia"/>
                <w:b/>
                <w:bCs/>
                <w:color w:val="auto"/>
                <w:lang w:val="en-US" w:eastAsia="zh-CN"/>
              </w:rPr>
              <w:t>供货</w:t>
            </w:r>
            <w:r>
              <w:rPr>
                <w:b/>
                <w:bCs/>
                <w:color w:val="auto"/>
              </w:rPr>
              <w:t>周期</w:t>
            </w:r>
          </w:p>
        </w:tc>
        <w:tc>
          <w:tcPr>
            <w:tcW w:w="5995" w:type="dxa"/>
            <w:noWrap w:val="0"/>
            <w:vAlign w:val="center"/>
          </w:tcPr>
          <w:p>
            <w:pPr>
              <w:snapToGrid w:val="0"/>
              <w:spacing w:line="500" w:lineRule="exact"/>
              <w:rPr>
                <w:b/>
                <w:bCs/>
                <w:color w:val="auto"/>
              </w:rPr>
            </w:pPr>
            <w:r>
              <w:rPr>
                <w:b/>
                <w:bCs/>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1.3.3</w:t>
            </w:r>
          </w:p>
        </w:tc>
        <w:tc>
          <w:tcPr>
            <w:tcW w:w="1980" w:type="dxa"/>
            <w:noWrap w:val="0"/>
            <w:vAlign w:val="center"/>
          </w:tcPr>
          <w:p>
            <w:pPr>
              <w:snapToGrid w:val="0"/>
              <w:spacing w:line="500" w:lineRule="exact"/>
              <w:jc w:val="center"/>
              <w:rPr>
                <w:b/>
                <w:bCs/>
                <w:color w:val="auto"/>
              </w:rPr>
            </w:pPr>
            <w:r>
              <w:rPr>
                <w:rFonts w:hint="eastAsia"/>
                <w:b/>
                <w:bCs/>
                <w:color w:val="auto"/>
                <w:lang w:val="en-US" w:eastAsia="zh-CN"/>
              </w:rPr>
              <w:t>供货</w:t>
            </w:r>
            <w:r>
              <w:rPr>
                <w:b/>
                <w:bCs/>
                <w:color w:val="auto"/>
              </w:rPr>
              <w:t>地点</w:t>
            </w:r>
          </w:p>
        </w:tc>
        <w:tc>
          <w:tcPr>
            <w:tcW w:w="5995" w:type="dxa"/>
            <w:noWrap w:val="0"/>
            <w:vAlign w:val="center"/>
          </w:tcPr>
          <w:p>
            <w:pPr>
              <w:snapToGrid w:val="0"/>
              <w:spacing w:line="500" w:lineRule="exact"/>
              <w:rPr>
                <w:b/>
                <w:bCs/>
                <w:color w:val="auto"/>
              </w:rPr>
            </w:pPr>
            <w:r>
              <w:rPr>
                <w:b/>
                <w:bCs/>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1.3.4</w:t>
            </w:r>
          </w:p>
        </w:tc>
        <w:tc>
          <w:tcPr>
            <w:tcW w:w="1980" w:type="dxa"/>
            <w:noWrap w:val="0"/>
            <w:vAlign w:val="center"/>
          </w:tcPr>
          <w:p>
            <w:pPr>
              <w:snapToGrid w:val="0"/>
              <w:spacing w:line="500" w:lineRule="exact"/>
              <w:jc w:val="center"/>
              <w:rPr>
                <w:color w:val="auto"/>
              </w:rPr>
            </w:pPr>
            <w:r>
              <w:rPr>
                <w:color w:val="auto"/>
              </w:rPr>
              <w:t>技术性能指标</w:t>
            </w:r>
          </w:p>
        </w:tc>
        <w:tc>
          <w:tcPr>
            <w:tcW w:w="5995" w:type="dxa"/>
            <w:noWrap w:val="0"/>
            <w:vAlign w:val="center"/>
          </w:tcPr>
          <w:p>
            <w:pPr>
              <w:snapToGrid w:val="0"/>
              <w:spacing w:line="500" w:lineRule="exact"/>
              <w:rPr>
                <w:color w:val="auto"/>
              </w:rPr>
            </w:pPr>
            <w:r>
              <w:rPr>
                <w:color w:val="auto"/>
              </w:rPr>
              <w:t>详见招标文件第五章“供货要求”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rFonts w:hint="default" w:eastAsia="宋体"/>
                <w:b/>
                <w:bCs/>
                <w:color w:val="auto"/>
                <w:lang w:val="en-US" w:eastAsia="zh-CN"/>
              </w:rPr>
            </w:pPr>
            <w:r>
              <w:rPr>
                <w:rFonts w:hint="eastAsia"/>
                <w:b/>
                <w:bCs/>
                <w:color w:val="auto"/>
                <w:lang w:val="en-US" w:eastAsia="zh-CN"/>
              </w:rPr>
              <w:t>1.3.5</w:t>
            </w:r>
          </w:p>
        </w:tc>
        <w:tc>
          <w:tcPr>
            <w:tcW w:w="1980" w:type="dxa"/>
            <w:noWrap w:val="0"/>
            <w:vAlign w:val="center"/>
          </w:tcPr>
          <w:p>
            <w:pPr>
              <w:snapToGrid w:val="0"/>
              <w:spacing w:line="500" w:lineRule="exact"/>
              <w:jc w:val="center"/>
              <w:rPr>
                <w:b/>
                <w:bCs/>
                <w:color w:val="auto"/>
              </w:rPr>
            </w:pPr>
            <w:r>
              <w:rPr>
                <w:rFonts w:hint="eastAsia"/>
                <w:b/>
                <w:bCs/>
                <w:color w:val="auto"/>
                <w:lang w:val="zh-CN" w:eastAsia="zh-CN"/>
              </w:rPr>
              <w:t>付款方式</w:t>
            </w:r>
          </w:p>
        </w:tc>
        <w:tc>
          <w:tcPr>
            <w:tcW w:w="5995" w:type="dxa"/>
            <w:noWrap w:val="0"/>
            <w:vAlign w:val="center"/>
          </w:tcPr>
          <w:p>
            <w:pPr>
              <w:snapToGrid w:val="0"/>
              <w:spacing w:line="500" w:lineRule="exact"/>
              <w:rPr>
                <w:rFonts w:hint="eastAsia"/>
                <w:b/>
                <w:bCs/>
                <w:color w:val="auto"/>
                <w:lang w:val="en-US" w:eastAsia="zh-CN"/>
              </w:rPr>
            </w:pPr>
            <w:r>
              <w:rPr>
                <w:rFonts w:hint="eastAsia"/>
                <w:b/>
                <w:bCs/>
                <w:color w:val="auto"/>
                <w:lang w:val="en-US" w:eastAsia="zh-CN"/>
              </w:rPr>
              <w:t>合同签订后，每月15日前，双方对上个月（T月）的供货清单进行核对，经委托人在T月的供货清单对帐表上盖章（签字）确认且中标人提供等额合法有效的发票后，委托人在（T+1）月的最后一日之前支付T月的货款，月末支付完毕。</w:t>
            </w:r>
          </w:p>
          <w:p>
            <w:pPr>
              <w:snapToGrid w:val="0"/>
              <w:spacing w:line="500" w:lineRule="exact"/>
              <w:rPr>
                <w:rFonts w:hint="eastAsia"/>
                <w:b/>
                <w:bCs/>
                <w:color w:val="auto"/>
                <w:lang w:val="zh-CN" w:eastAsia="zh-CN"/>
              </w:rPr>
            </w:pPr>
            <w:r>
              <w:rPr>
                <w:rFonts w:hint="eastAsia"/>
                <w:b/>
                <w:bCs/>
                <w:color w:val="auto"/>
                <w:lang w:val="en-US" w:eastAsia="zh-CN"/>
              </w:rPr>
              <w:t>货款支付前，中标人按照委托人审核确认后的金额提供增值税专用发票</w:t>
            </w:r>
            <w:r>
              <w:rPr>
                <w:rFonts w:hint="eastAsia"/>
                <w:b/>
                <w:bCs/>
                <w:color w:val="auto"/>
                <w:lang w:val="zh-CN" w:eastAsia="zh-CN"/>
              </w:rPr>
              <w:t>。</w:t>
            </w:r>
          </w:p>
          <w:p>
            <w:pPr>
              <w:snapToGrid w:val="0"/>
              <w:spacing w:line="500" w:lineRule="exact"/>
              <w:rPr>
                <w:rFonts w:hint="eastAsia"/>
                <w:b/>
                <w:bCs/>
                <w:color w:val="auto"/>
                <w:lang w:val="zh-CN" w:eastAsia="zh-CN"/>
              </w:rPr>
            </w:pPr>
            <w:r>
              <w:rPr>
                <w:rFonts w:hint="eastAsia"/>
                <w:b/>
                <w:bCs/>
                <w:color w:val="auto"/>
                <w:lang w:val="en-US" w:eastAsia="zh-CN"/>
              </w:rPr>
              <w:t>全年</w:t>
            </w:r>
            <w:r>
              <w:rPr>
                <w:rFonts w:hint="eastAsia"/>
                <w:b/>
                <w:bCs/>
                <w:color w:val="auto"/>
                <w:lang w:eastAsia="zh-CN"/>
              </w:rPr>
              <w:t>结算价不得超过项目预算价，超出部分采购人不予承担。</w:t>
            </w:r>
          </w:p>
          <w:p>
            <w:pPr>
              <w:snapToGrid w:val="0"/>
              <w:spacing w:line="500" w:lineRule="exact"/>
              <w:rPr>
                <w:b/>
                <w:bCs/>
                <w:color w:val="auto"/>
              </w:rPr>
            </w:pPr>
            <w:r>
              <w:rPr>
                <w:rFonts w:hint="eastAsia"/>
                <w:b/>
                <w:bCs/>
                <w:color w:val="auto"/>
                <w:lang w:val="en-US" w:eastAsia="zh-CN"/>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1.4.1</w:t>
            </w:r>
          </w:p>
        </w:tc>
        <w:tc>
          <w:tcPr>
            <w:tcW w:w="1980" w:type="dxa"/>
            <w:noWrap w:val="0"/>
            <w:vAlign w:val="center"/>
          </w:tcPr>
          <w:p>
            <w:pPr>
              <w:snapToGrid w:val="0"/>
              <w:spacing w:line="500" w:lineRule="exact"/>
              <w:jc w:val="center"/>
              <w:rPr>
                <w:color w:val="auto"/>
              </w:rPr>
            </w:pPr>
            <w:r>
              <w:rPr>
                <w:color w:val="auto"/>
              </w:rPr>
              <w:t>投标人资质条件、能力和信誉</w:t>
            </w:r>
          </w:p>
        </w:tc>
        <w:tc>
          <w:tcPr>
            <w:tcW w:w="5995" w:type="dxa"/>
            <w:noWrap w:val="0"/>
            <w:vAlign w:val="center"/>
          </w:tcPr>
          <w:p>
            <w:pPr>
              <w:snapToGrid w:val="0"/>
              <w:spacing w:line="500" w:lineRule="exact"/>
              <w:rPr>
                <w:color w:val="auto"/>
              </w:rPr>
            </w:pPr>
            <w:r>
              <w:rPr>
                <w:color w:val="auto"/>
              </w:rPr>
              <w:t>（1）资质要求：见附录1</w:t>
            </w:r>
          </w:p>
          <w:p>
            <w:pPr>
              <w:snapToGrid w:val="0"/>
              <w:spacing w:line="500" w:lineRule="exact"/>
              <w:rPr>
                <w:color w:val="auto"/>
              </w:rPr>
            </w:pPr>
            <w:r>
              <w:rPr>
                <w:color w:val="auto"/>
              </w:rPr>
              <w:t>（2）财务要求：见附录2</w:t>
            </w:r>
          </w:p>
          <w:p>
            <w:pPr>
              <w:snapToGrid w:val="0"/>
              <w:spacing w:line="500" w:lineRule="exact"/>
              <w:rPr>
                <w:color w:val="auto"/>
              </w:rPr>
            </w:pPr>
            <w:r>
              <w:rPr>
                <w:color w:val="auto"/>
              </w:rPr>
              <w:t>（3）业绩要求：见附录3</w:t>
            </w:r>
          </w:p>
          <w:p>
            <w:pPr>
              <w:snapToGrid w:val="0"/>
              <w:spacing w:line="500" w:lineRule="exact"/>
              <w:rPr>
                <w:color w:val="auto"/>
              </w:rPr>
            </w:pPr>
            <w:r>
              <w:rPr>
                <w:color w:val="auto"/>
              </w:rPr>
              <w:t>（4）信誉要求：见附录4</w:t>
            </w:r>
          </w:p>
          <w:p>
            <w:pPr>
              <w:snapToGrid w:val="0"/>
              <w:spacing w:line="500" w:lineRule="exact"/>
              <w:rPr>
                <w:color w:val="auto"/>
              </w:rPr>
            </w:pPr>
            <w:r>
              <w:rPr>
                <w:color w:val="auto"/>
              </w:rPr>
              <w:t>（5）其他要求：见附录5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1.4.2</w:t>
            </w:r>
          </w:p>
        </w:tc>
        <w:tc>
          <w:tcPr>
            <w:tcW w:w="1980" w:type="dxa"/>
            <w:noWrap w:val="0"/>
            <w:vAlign w:val="center"/>
          </w:tcPr>
          <w:p>
            <w:pPr>
              <w:snapToGrid w:val="0"/>
              <w:spacing w:line="500" w:lineRule="exact"/>
              <w:jc w:val="center"/>
              <w:rPr>
                <w:color w:val="auto"/>
              </w:rPr>
            </w:pPr>
            <w:r>
              <w:rPr>
                <w:color w:val="auto"/>
              </w:rPr>
              <w:t>是否接受联合体投标</w:t>
            </w:r>
          </w:p>
        </w:tc>
        <w:tc>
          <w:tcPr>
            <w:tcW w:w="5995" w:type="dxa"/>
            <w:noWrap w:val="0"/>
            <w:vAlign w:val="center"/>
          </w:tcPr>
          <w:p>
            <w:pPr>
              <w:snapToGrid w:val="0"/>
              <w:spacing w:line="500" w:lineRule="exact"/>
              <w:rPr>
                <w:color w:val="auto"/>
              </w:rPr>
            </w:pPr>
            <w:r>
              <w:rPr>
                <w:rFonts w:hint="eastAsia"/>
                <w:color w:val="auto"/>
              </w:rPr>
              <w:t>☑</w:t>
            </w:r>
            <w:r>
              <w:rPr>
                <w:color w:val="auto"/>
              </w:rPr>
              <w:t>不接受</w:t>
            </w:r>
          </w:p>
          <w:p>
            <w:pPr>
              <w:snapToGrid w:val="0"/>
              <w:spacing w:line="500" w:lineRule="exact"/>
              <w:rPr>
                <w:bCs/>
                <w:snapToGrid w:val="0"/>
                <w:color w:val="auto"/>
                <w:kern w:val="0"/>
                <w:szCs w:val="21"/>
                <w:u w:val="single"/>
              </w:rPr>
            </w:pPr>
            <w:r>
              <w:rPr>
                <w:color w:val="auto"/>
              </w:rPr>
              <w:t>□接受，应满足下列要求：</w:t>
            </w:r>
            <w:r>
              <w:rPr>
                <w:bCs/>
                <w:snapToGrid w:val="0"/>
                <w:color w:val="auto"/>
                <w:kern w:val="0"/>
                <w:szCs w:val="21"/>
                <w:u w:val="single"/>
              </w:rPr>
              <w:t xml:space="preserve">            </w:t>
            </w:r>
          </w:p>
          <w:p>
            <w:pPr>
              <w:snapToGrid w:val="0"/>
              <w:spacing w:line="500" w:lineRule="exact"/>
              <w:rPr>
                <w:bCs/>
                <w:snapToGrid w:val="0"/>
                <w:color w:val="auto"/>
                <w:kern w:val="0"/>
                <w:szCs w:val="21"/>
                <w:u w:val="single"/>
              </w:rPr>
            </w:pPr>
            <w:r>
              <w:rPr>
                <w:bCs/>
                <w:snapToGrid w:val="0"/>
                <w:color w:val="auto"/>
                <w:kern w:val="0"/>
                <w:szCs w:val="21"/>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1.4.3</w:t>
            </w:r>
          </w:p>
        </w:tc>
        <w:tc>
          <w:tcPr>
            <w:tcW w:w="1980" w:type="dxa"/>
            <w:noWrap w:val="0"/>
            <w:vAlign w:val="center"/>
          </w:tcPr>
          <w:p>
            <w:pPr>
              <w:snapToGrid w:val="0"/>
              <w:spacing w:line="500" w:lineRule="exact"/>
              <w:jc w:val="center"/>
              <w:rPr>
                <w:color w:val="auto"/>
              </w:rPr>
            </w:pPr>
            <w:r>
              <w:rPr>
                <w:color w:val="auto"/>
              </w:rPr>
              <w:t>投标人不得存在的其他关联关系</w:t>
            </w:r>
          </w:p>
        </w:tc>
        <w:tc>
          <w:tcPr>
            <w:tcW w:w="5995" w:type="dxa"/>
            <w:noWrap w:val="0"/>
            <w:vAlign w:val="center"/>
          </w:tcPr>
          <w:p>
            <w:pPr>
              <w:snapToGrid w:val="0"/>
              <w:spacing w:line="500" w:lineRule="exact"/>
              <w:rPr>
                <w:rFonts w:hint="default" w:eastAsia="宋体"/>
                <w:bCs/>
                <w:snapToGrid w:val="0"/>
                <w:color w:val="auto"/>
                <w:kern w:val="0"/>
                <w:szCs w:val="21"/>
                <w:lang w:val="en-US" w:eastAsia="zh-CN"/>
              </w:rPr>
            </w:pPr>
            <w:r>
              <w:rPr>
                <w:rFonts w:hint="eastAsia"/>
                <w:bCs/>
                <w:snapToGrid w:val="0"/>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1.4.4</w:t>
            </w:r>
          </w:p>
        </w:tc>
        <w:tc>
          <w:tcPr>
            <w:tcW w:w="1980" w:type="dxa"/>
            <w:noWrap w:val="0"/>
            <w:vAlign w:val="center"/>
          </w:tcPr>
          <w:p>
            <w:pPr>
              <w:snapToGrid w:val="0"/>
              <w:spacing w:line="500" w:lineRule="exact"/>
              <w:jc w:val="center"/>
              <w:rPr>
                <w:color w:val="auto"/>
              </w:rPr>
            </w:pPr>
            <w:r>
              <w:rPr>
                <w:color w:val="auto"/>
              </w:rPr>
              <w:t>投标人不得存在的其他不良状况或不良信用记录</w:t>
            </w:r>
          </w:p>
        </w:tc>
        <w:tc>
          <w:tcPr>
            <w:tcW w:w="5995" w:type="dxa"/>
            <w:noWrap w:val="0"/>
            <w:vAlign w:val="center"/>
          </w:tcPr>
          <w:p>
            <w:pPr>
              <w:snapToGrid w:val="0"/>
              <w:spacing w:line="500" w:lineRule="exact"/>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70" w:type="dxa"/>
            <w:noWrap w:val="0"/>
            <w:vAlign w:val="center"/>
          </w:tcPr>
          <w:p>
            <w:pPr>
              <w:snapToGrid w:val="0"/>
              <w:spacing w:line="500" w:lineRule="exact"/>
              <w:jc w:val="center"/>
              <w:rPr>
                <w:color w:val="auto"/>
              </w:rPr>
            </w:pPr>
            <w:r>
              <w:rPr>
                <w:color w:val="auto"/>
              </w:rPr>
              <w:t>1.9.1</w:t>
            </w:r>
          </w:p>
        </w:tc>
        <w:tc>
          <w:tcPr>
            <w:tcW w:w="1980" w:type="dxa"/>
            <w:noWrap w:val="0"/>
            <w:vAlign w:val="center"/>
          </w:tcPr>
          <w:p>
            <w:pPr>
              <w:snapToGrid w:val="0"/>
              <w:spacing w:line="500" w:lineRule="exact"/>
              <w:jc w:val="center"/>
              <w:rPr>
                <w:color w:val="auto"/>
              </w:rPr>
            </w:pPr>
            <w:r>
              <w:rPr>
                <w:color w:val="auto"/>
              </w:rPr>
              <w:t>踏勘现场</w:t>
            </w:r>
          </w:p>
        </w:tc>
        <w:tc>
          <w:tcPr>
            <w:tcW w:w="5995" w:type="dxa"/>
            <w:noWrap w:val="0"/>
            <w:vAlign w:val="center"/>
          </w:tcPr>
          <w:p>
            <w:pPr>
              <w:snapToGrid w:val="0"/>
              <w:spacing w:line="500" w:lineRule="exact"/>
              <w:rPr>
                <w:rFonts w:eastAsia="仿宋"/>
                <w:color w:val="auto"/>
              </w:rPr>
            </w:pPr>
            <w:r>
              <w:rPr>
                <w:b/>
                <w:bCs/>
                <w:color w:val="auto"/>
                <w:szCs w:val="21"/>
              </w:rPr>
              <w:sym w:font="Wingdings" w:char="00FE"/>
            </w:r>
            <w:r>
              <w:rPr>
                <w:color w:val="auto"/>
              </w:rPr>
              <w:t>不组织，投标人自行踏勘</w:t>
            </w:r>
          </w:p>
          <w:p>
            <w:pPr>
              <w:snapToGrid w:val="0"/>
              <w:spacing w:line="500" w:lineRule="exact"/>
              <w:rPr>
                <w:color w:val="auto"/>
              </w:rPr>
            </w:pPr>
            <w:r>
              <w:rPr>
                <w:color w:val="auto"/>
              </w:rPr>
              <w:t>□组织，踏勘时间：</w:t>
            </w:r>
            <w:r>
              <w:rPr>
                <w:bCs/>
                <w:snapToGrid w:val="0"/>
                <w:color w:val="auto"/>
                <w:kern w:val="0"/>
                <w:szCs w:val="21"/>
                <w:u w:val="single"/>
              </w:rPr>
              <w:t xml:space="preserve">            </w:t>
            </w:r>
          </w:p>
          <w:p>
            <w:pPr>
              <w:snapToGrid w:val="0"/>
              <w:spacing w:line="500" w:lineRule="exact"/>
              <w:rPr>
                <w:color w:val="auto"/>
              </w:rPr>
            </w:pPr>
            <w:r>
              <w:rPr>
                <w:color w:val="auto"/>
              </w:rPr>
              <w:t xml:space="preserve">        踏勘集中地点：</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1.10.1</w:t>
            </w:r>
          </w:p>
        </w:tc>
        <w:tc>
          <w:tcPr>
            <w:tcW w:w="1980" w:type="dxa"/>
            <w:noWrap w:val="0"/>
            <w:vAlign w:val="center"/>
          </w:tcPr>
          <w:p>
            <w:pPr>
              <w:snapToGrid w:val="0"/>
              <w:spacing w:line="500" w:lineRule="exact"/>
              <w:jc w:val="center"/>
              <w:rPr>
                <w:color w:val="auto"/>
              </w:rPr>
            </w:pPr>
            <w:r>
              <w:rPr>
                <w:color w:val="auto"/>
              </w:rPr>
              <w:t>分包</w:t>
            </w:r>
          </w:p>
        </w:tc>
        <w:tc>
          <w:tcPr>
            <w:tcW w:w="5995" w:type="dxa"/>
            <w:noWrap w:val="0"/>
            <w:vAlign w:val="center"/>
          </w:tcPr>
          <w:p>
            <w:pPr>
              <w:snapToGrid w:val="0"/>
              <w:spacing w:line="500" w:lineRule="exact"/>
              <w:rPr>
                <w:color w:val="auto"/>
              </w:rPr>
            </w:pPr>
            <w:r>
              <w:rPr>
                <w:color w:val="auto"/>
              </w:rPr>
              <w:t>☑不允许</w:t>
            </w:r>
          </w:p>
          <w:p>
            <w:pPr>
              <w:snapToGrid w:val="0"/>
              <w:spacing w:line="500" w:lineRule="exact"/>
              <w:rPr>
                <w:color w:val="auto"/>
              </w:rPr>
            </w:pPr>
            <w:r>
              <w:rPr>
                <w:color w:val="auto"/>
              </w:rPr>
              <w:t xml:space="preserve">□允许，分包内容要求： </w:t>
            </w:r>
            <w:r>
              <w:rPr>
                <w:bCs/>
                <w:snapToGrid w:val="0"/>
                <w:color w:val="auto"/>
                <w:kern w:val="0"/>
                <w:szCs w:val="21"/>
                <w:u w:val="single"/>
              </w:rPr>
              <w:t xml:space="preserve">            </w:t>
            </w:r>
          </w:p>
          <w:p>
            <w:pPr>
              <w:snapToGrid w:val="0"/>
              <w:spacing w:line="500" w:lineRule="exact"/>
              <w:rPr>
                <w:color w:val="auto"/>
              </w:rPr>
            </w:pPr>
            <w:r>
              <w:rPr>
                <w:color w:val="auto"/>
              </w:rPr>
              <w:t xml:space="preserve">        分包金额要求： </w:t>
            </w:r>
            <w:r>
              <w:rPr>
                <w:bCs/>
                <w:snapToGrid w:val="0"/>
                <w:color w:val="auto"/>
                <w:kern w:val="0"/>
                <w:szCs w:val="21"/>
                <w:u w:val="single"/>
              </w:rPr>
              <w:t xml:space="preserve">            </w:t>
            </w:r>
          </w:p>
          <w:p>
            <w:pPr>
              <w:snapToGrid w:val="0"/>
              <w:spacing w:line="500" w:lineRule="exact"/>
              <w:rPr>
                <w:color w:val="auto"/>
              </w:rPr>
            </w:pPr>
            <w:r>
              <w:rPr>
                <w:color w:val="auto"/>
              </w:rPr>
              <w:t xml:space="preserve">        接受分包的第三人资质要求：</w:t>
            </w:r>
            <w:r>
              <w:rPr>
                <w:bCs/>
                <w:snapToGrid w:val="0"/>
                <w:color w:val="auto"/>
                <w:kern w:val="0"/>
                <w:szCs w:val="21"/>
                <w:u w:val="single"/>
              </w:rPr>
              <w:t xml:space="preserve">            </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restart"/>
            <w:noWrap w:val="0"/>
            <w:vAlign w:val="center"/>
          </w:tcPr>
          <w:p>
            <w:pPr>
              <w:snapToGrid w:val="0"/>
              <w:spacing w:line="500" w:lineRule="exact"/>
              <w:jc w:val="center"/>
              <w:rPr>
                <w:color w:val="auto"/>
              </w:rPr>
            </w:pPr>
            <w:r>
              <w:rPr>
                <w:color w:val="auto"/>
              </w:rPr>
              <w:t>2.2.1</w:t>
            </w:r>
          </w:p>
        </w:tc>
        <w:tc>
          <w:tcPr>
            <w:tcW w:w="1980" w:type="dxa"/>
            <w:vMerge w:val="restart"/>
            <w:noWrap w:val="0"/>
            <w:vAlign w:val="center"/>
          </w:tcPr>
          <w:p>
            <w:pPr>
              <w:snapToGrid w:val="0"/>
              <w:spacing w:line="500" w:lineRule="exact"/>
              <w:jc w:val="center"/>
              <w:rPr>
                <w:color w:val="auto"/>
              </w:rPr>
            </w:pPr>
            <w:r>
              <w:rPr>
                <w:color w:val="auto"/>
              </w:rPr>
              <w:t>投标人要求澄清招标文件</w:t>
            </w:r>
          </w:p>
        </w:tc>
        <w:tc>
          <w:tcPr>
            <w:tcW w:w="5995" w:type="dxa"/>
            <w:noWrap w:val="0"/>
            <w:vAlign w:val="center"/>
          </w:tcPr>
          <w:p>
            <w:pPr>
              <w:snapToGrid w:val="0"/>
              <w:spacing w:line="500" w:lineRule="exact"/>
              <w:rPr>
                <w:color w:val="auto"/>
                <w:szCs w:val="21"/>
              </w:rPr>
            </w:pPr>
            <w:r>
              <w:rPr>
                <w:bCs/>
                <w:snapToGrid w:val="0"/>
                <w:color w:val="auto"/>
                <w:kern w:val="0"/>
                <w:szCs w:val="21"/>
              </w:rPr>
              <w:t>时间：</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bCs/>
                <w:snapToGrid w:val="0"/>
                <w:color w:val="auto"/>
                <w:kern w:val="0"/>
                <w:szCs w:val="21"/>
              </w:rPr>
              <w:t>日</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bCs/>
                <w:snapToGrid w:val="0"/>
                <w:color w:val="auto"/>
                <w:kern w:val="0"/>
                <w:szCs w:val="21"/>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continue"/>
            <w:noWrap w:val="0"/>
            <w:vAlign w:val="center"/>
          </w:tcPr>
          <w:p>
            <w:pPr>
              <w:snapToGrid w:val="0"/>
              <w:spacing w:line="500" w:lineRule="exact"/>
              <w:jc w:val="center"/>
              <w:rPr>
                <w:color w:val="auto"/>
              </w:rPr>
            </w:pPr>
          </w:p>
        </w:tc>
        <w:tc>
          <w:tcPr>
            <w:tcW w:w="1980" w:type="dxa"/>
            <w:vMerge w:val="continue"/>
            <w:noWrap w:val="0"/>
            <w:vAlign w:val="center"/>
          </w:tcPr>
          <w:p>
            <w:pPr>
              <w:snapToGrid w:val="0"/>
              <w:spacing w:line="500" w:lineRule="exact"/>
              <w:jc w:val="center"/>
              <w:rPr>
                <w:color w:val="auto"/>
              </w:rPr>
            </w:pPr>
          </w:p>
        </w:tc>
        <w:tc>
          <w:tcPr>
            <w:tcW w:w="5995" w:type="dxa"/>
            <w:noWrap w:val="0"/>
            <w:vAlign w:val="center"/>
          </w:tcPr>
          <w:p>
            <w:pPr>
              <w:snapToGrid w:val="0"/>
              <w:spacing w:line="500" w:lineRule="exact"/>
              <w:rPr>
                <w:color w:val="auto"/>
                <w:szCs w:val="21"/>
              </w:rPr>
            </w:pPr>
            <w:r>
              <w:rPr>
                <w:bCs/>
                <w:snapToGrid w:val="0"/>
                <w:color w:val="auto"/>
                <w:kern w:val="0"/>
                <w:szCs w:val="21"/>
              </w:rPr>
              <w:t>形式：相关澄清要求应通过邮箱******@qq.com提交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2.2.2</w:t>
            </w:r>
          </w:p>
        </w:tc>
        <w:tc>
          <w:tcPr>
            <w:tcW w:w="1980" w:type="dxa"/>
            <w:noWrap w:val="0"/>
            <w:vAlign w:val="center"/>
          </w:tcPr>
          <w:p>
            <w:pPr>
              <w:snapToGrid w:val="0"/>
              <w:spacing w:line="500" w:lineRule="exact"/>
              <w:jc w:val="center"/>
              <w:rPr>
                <w:color w:val="auto"/>
              </w:rPr>
            </w:pPr>
            <w:r>
              <w:rPr>
                <w:snapToGrid w:val="0"/>
                <w:color w:val="auto"/>
                <w:kern w:val="0"/>
                <w:szCs w:val="21"/>
              </w:rPr>
              <w:t>招标文件澄清发出的形式</w:t>
            </w:r>
          </w:p>
        </w:tc>
        <w:tc>
          <w:tcPr>
            <w:tcW w:w="5995" w:type="dxa"/>
            <w:noWrap w:val="0"/>
            <w:vAlign w:val="center"/>
          </w:tcPr>
          <w:p>
            <w:pPr>
              <w:snapToGrid w:val="0"/>
              <w:spacing w:line="500" w:lineRule="exact"/>
              <w:rPr>
                <w:color w:val="auto"/>
              </w:rPr>
            </w:pPr>
            <w:r>
              <w:rPr>
                <w:rFonts w:ascii="Times New Roman" w:hAnsi="Times New Roman"/>
                <w:color w:val="auto"/>
              </w:rPr>
              <w:t>通过</w:t>
            </w:r>
            <w:r>
              <w:rPr>
                <w:rFonts w:ascii="Times New Roman" w:hAnsi="Times New Roman"/>
                <w:bCs/>
                <w:snapToGrid w:val="0"/>
                <w:color w:val="auto"/>
                <w:kern w:val="0"/>
                <w:szCs w:val="21"/>
              </w:rPr>
              <w:t>合肥文</w:t>
            </w:r>
            <w:r>
              <w:rPr>
                <w:rFonts w:hint="eastAsia" w:ascii="Times New Roman" w:hAnsi="Times New Roman"/>
                <w:bCs/>
                <w:snapToGrid w:val="0"/>
                <w:color w:val="auto"/>
              </w:rPr>
              <w:t>旅博览集团有限公司网站</w:t>
            </w:r>
            <w:r>
              <w:rPr>
                <w:color w:val="auto"/>
              </w:rPr>
              <w:fldChar w:fldCharType="begin"/>
            </w:r>
            <w:r>
              <w:rPr>
                <w:color w:val="auto"/>
              </w:rPr>
              <w:instrText xml:space="preserve"> HYPERLINK "http://www.zwzcgl.com" </w:instrText>
            </w:r>
            <w:r>
              <w:rPr>
                <w:color w:val="auto"/>
              </w:rPr>
              <w:fldChar w:fldCharType="separate"/>
            </w:r>
            <w:r>
              <w:rPr>
                <w:rFonts w:ascii="Times New Roman" w:hAnsi="Times New Roman"/>
                <w:bCs/>
                <w:snapToGrid w:val="0"/>
                <w:color w:val="auto"/>
              </w:rPr>
              <w:t>http://www.zwzcgl.com</w:t>
            </w:r>
            <w:r>
              <w:rPr>
                <w:rFonts w:ascii="Times New Roman" w:hAnsi="Times New Roman"/>
                <w:bCs/>
                <w:snapToGrid w:val="0"/>
                <w:color w:val="auto"/>
              </w:rPr>
              <w:fldChar w:fldCharType="end"/>
            </w:r>
            <w:r>
              <w:rPr>
                <w:rFonts w:hint="eastAsia" w:ascii="Times New Roman" w:hAnsi="Times New Roman"/>
                <w:bCs/>
                <w:snapToGrid w:val="0"/>
                <w:color w:val="auto"/>
              </w:rPr>
              <w:t>和庐江文旅投资公众号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3.2.1</w:t>
            </w:r>
          </w:p>
        </w:tc>
        <w:tc>
          <w:tcPr>
            <w:tcW w:w="1980" w:type="dxa"/>
            <w:noWrap w:val="0"/>
            <w:vAlign w:val="center"/>
          </w:tcPr>
          <w:p>
            <w:pPr>
              <w:snapToGrid w:val="0"/>
              <w:spacing w:line="500" w:lineRule="exact"/>
              <w:jc w:val="center"/>
              <w:rPr>
                <w:color w:val="auto"/>
              </w:rPr>
            </w:pPr>
            <w:r>
              <w:rPr>
                <w:color w:val="auto"/>
              </w:rPr>
              <w:t>增值税税金的计算方法</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计税方法：</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一般计税方法</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 xml:space="preserve">简易计税方法 </w:t>
            </w:r>
          </w:p>
          <w:p>
            <w:pPr>
              <w:snapToGrid w:val="0"/>
              <w:spacing w:line="500" w:lineRule="exact"/>
              <w:rPr>
                <w:bCs/>
                <w:snapToGrid w:val="0"/>
                <w:color w:val="auto"/>
                <w:kern w:val="0"/>
                <w:szCs w:val="21"/>
              </w:rPr>
            </w:pPr>
            <w:r>
              <w:rPr>
                <w:bCs/>
                <w:snapToGrid w:val="0"/>
                <w:color w:val="auto"/>
                <w:kern w:val="0"/>
                <w:szCs w:val="21"/>
              </w:rPr>
              <w:t>发票类型：</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增值税专用发票</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增值税普通发票</w:t>
            </w:r>
          </w:p>
          <w:p>
            <w:pPr>
              <w:snapToGrid w:val="0"/>
              <w:spacing w:line="500" w:lineRule="exact"/>
              <w:rPr>
                <w:bCs/>
                <w:snapToGrid w:val="0"/>
                <w:color w:val="auto"/>
                <w:kern w:val="0"/>
                <w:szCs w:val="21"/>
              </w:rPr>
            </w:pPr>
            <w:r>
              <w:rPr>
                <w:bCs/>
                <w:snapToGrid w:val="0"/>
                <w:color w:val="auto"/>
                <w:kern w:val="0"/>
                <w:szCs w:val="21"/>
              </w:rPr>
              <w:t>增值税税率按照国家有关规定执行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3.2.4</w:t>
            </w:r>
          </w:p>
        </w:tc>
        <w:tc>
          <w:tcPr>
            <w:tcW w:w="1980" w:type="dxa"/>
            <w:noWrap w:val="0"/>
            <w:vAlign w:val="center"/>
          </w:tcPr>
          <w:p>
            <w:pPr>
              <w:snapToGrid w:val="0"/>
              <w:spacing w:line="500" w:lineRule="exact"/>
              <w:jc w:val="center"/>
              <w:rPr>
                <w:b/>
                <w:bCs/>
                <w:color w:val="auto"/>
              </w:rPr>
            </w:pPr>
            <w:r>
              <w:rPr>
                <w:b/>
                <w:bCs/>
                <w:color w:val="auto"/>
              </w:rPr>
              <w:t>最高投标限价</w:t>
            </w:r>
          </w:p>
        </w:tc>
        <w:tc>
          <w:tcPr>
            <w:tcW w:w="5995" w:type="dxa"/>
            <w:noWrap w:val="0"/>
            <w:vAlign w:val="center"/>
          </w:tcPr>
          <w:p>
            <w:pPr>
              <w:snapToGrid w:val="0"/>
              <w:spacing w:line="500" w:lineRule="exact"/>
              <w:rPr>
                <w:b/>
                <w:bCs/>
                <w:snapToGrid w:val="0"/>
                <w:color w:val="auto"/>
                <w:kern w:val="0"/>
                <w:szCs w:val="21"/>
              </w:rPr>
            </w:pPr>
            <w:r>
              <w:rPr>
                <w:b/>
                <w:bCs/>
                <w:snapToGrid w:val="0"/>
                <w:color w:val="auto"/>
                <w:kern w:val="0"/>
                <w:szCs w:val="21"/>
              </w:rPr>
              <w:t>□无</w:t>
            </w:r>
          </w:p>
          <w:p>
            <w:pPr>
              <w:snapToGrid w:val="0"/>
              <w:spacing w:line="500" w:lineRule="exact"/>
              <w:rPr>
                <w:b/>
                <w:bCs/>
                <w:snapToGrid w:val="0"/>
                <w:color w:val="auto"/>
                <w:kern w:val="0"/>
                <w:szCs w:val="21"/>
              </w:rPr>
            </w:pPr>
            <w:r>
              <w:rPr>
                <w:rFonts w:hint="eastAsia"/>
                <w:b/>
                <w:bCs/>
                <w:snapToGrid w:val="0"/>
                <w:color w:val="auto"/>
                <w:kern w:val="0"/>
                <w:szCs w:val="21"/>
                <w:lang w:eastAsia="zh-CN"/>
              </w:rPr>
              <w:t>☑</w:t>
            </w:r>
            <w:r>
              <w:rPr>
                <w:b/>
                <w:bCs/>
                <w:snapToGrid w:val="0"/>
                <w:color w:val="auto"/>
                <w:kern w:val="0"/>
                <w:szCs w:val="21"/>
              </w:rPr>
              <w:t>有，最高投标限价_</w:t>
            </w:r>
            <w:r>
              <w:rPr>
                <w:rFonts w:hint="eastAsia"/>
                <w:b/>
                <w:bCs/>
                <w:snapToGrid w:val="0"/>
                <w:color w:val="auto"/>
                <w:u w:val="single"/>
                <w:lang w:val="en-US" w:eastAsia="zh-CN"/>
              </w:rPr>
              <w:t>24万</w:t>
            </w:r>
            <w:r>
              <w:rPr>
                <w:b/>
                <w:bCs/>
                <w:snapToGrid w:val="0"/>
                <w:color w:val="auto"/>
                <w:kern w:val="0"/>
                <w:szCs w:val="21"/>
              </w:rPr>
              <w:t>__元</w:t>
            </w:r>
          </w:p>
          <w:p>
            <w:pPr>
              <w:snapToGrid w:val="0"/>
              <w:spacing w:line="500" w:lineRule="exact"/>
              <w:rPr>
                <w:b/>
                <w:bCs/>
                <w:snapToGrid w:val="0"/>
                <w:color w:val="auto"/>
                <w:kern w:val="0"/>
                <w:szCs w:val="21"/>
              </w:rPr>
            </w:pPr>
            <w:r>
              <w:rPr>
                <w:b/>
                <w:bCs/>
                <w:snapToGrid w:val="0"/>
                <w:color w:val="auto"/>
                <w:kern w:val="0"/>
                <w:szCs w:val="21"/>
              </w:rPr>
              <w:t>□有，通过合肥文旅博览集团有限公司官网发布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3.2.5</w:t>
            </w:r>
          </w:p>
        </w:tc>
        <w:tc>
          <w:tcPr>
            <w:tcW w:w="1980" w:type="dxa"/>
            <w:noWrap w:val="0"/>
            <w:vAlign w:val="center"/>
          </w:tcPr>
          <w:p>
            <w:pPr>
              <w:snapToGrid w:val="0"/>
              <w:spacing w:line="500" w:lineRule="exact"/>
              <w:jc w:val="center"/>
              <w:rPr>
                <w:color w:val="auto"/>
              </w:rPr>
            </w:pPr>
            <w:r>
              <w:rPr>
                <w:color w:val="auto"/>
              </w:rPr>
              <w:t>投标报价的其他要求</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投标人的报价应包含</w:t>
            </w:r>
            <w:r>
              <w:rPr>
                <w:rFonts w:hint="eastAsia"/>
                <w:bCs/>
                <w:snapToGrid w:val="0"/>
                <w:color w:val="auto"/>
                <w:kern w:val="0"/>
                <w:szCs w:val="21"/>
              </w:rPr>
              <w:t>但不限于</w:t>
            </w:r>
            <w:r>
              <w:rPr>
                <w:bCs/>
                <w:snapToGrid w:val="0"/>
                <w:color w:val="auto"/>
                <w:kern w:val="0"/>
                <w:szCs w:val="21"/>
              </w:rPr>
              <w:t>所投货物的供货、包装运输及保险、安装（如有）、调试、考核验收、培训、交付后约定期限内免费维修保养服务、税费等所有工作和应有费用。</w:t>
            </w:r>
          </w:p>
          <w:p>
            <w:pPr>
              <w:snapToGrid w:val="0"/>
              <w:spacing w:line="500" w:lineRule="exact"/>
              <w:rPr>
                <w:bCs/>
                <w:snapToGrid w:val="0"/>
                <w:color w:val="auto"/>
                <w:kern w:val="0"/>
                <w:szCs w:val="21"/>
              </w:rPr>
            </w:pPr>
            <w:r>
              <w:rPr>
                <w:bCs/>
                <w:snapToGrid w:val="0"/>
                <w:color w:val="auto"/>
                <w:kern w:val="0"/>
                <w:szCs w:val="21"/>
              </w:rPr>
              <w:t>招标人不能接受的其它实质性条件：</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3.3.1</w:t>
            </w:r>
          </w:p>
        </w:tc>
        <w:tc>
          <w:tcPr>
            <w:tcW w:w="1980" w:type="dxa"/>
            <w:noWrap w:val="0"/>
            <w:vAlign w:val="center"/>
          </w:tcPr>
          <w:p>
            <w:pPr>
              <w:snapToGrid w:val="0"/>
              <w:spacing w:line="500" w:lineRule="exact"/>
              <w:jc w:val="center"/>
              <w:rPr>
                <w:color w:val="auto"/>
              </w:rPr>
            </w:pPr>
            <w:r>
              <w:rPr>
                <w:color w:val="auto"/>
              </w:rPr>
              <w:t>投标有效期</w:t>
            </w:r>
          </w:p>
        </w:tc>
        <w:tc>
          <w:tcPr>
            <w:tcW w:w="5995" w:type="dxa"/>
            <w:noWrap w:val="0"/>
            <w:vAlign w:val="center"/>
          </w:tcPr>
          <w:p>
            <w:pPr>
              <w:snapToGrid w:val="0"/>
              <w:spacing w:line="500" w:lineRule="exact"/>
              <w:rPr>
                <w:snapToGrid w:val="0"/>
                <w:color w:val="auto"/>
                <w:kern w:val="0"/>
                <w:szCs w:val="21"/>
              </w:rPr>
            </w:pPr>
            <w:r>
              <w:rPr>
                <w:snapToGrid w:val="0"/>
                <w:color w:val="auto"/>
                <w:kern w:val="0"/>
                <w:szCs w:val="21"/>
              </w:rPr>
              <w:t>自投标人提交投标文件截止之日起计算120日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3.4.1</w:t>
            </w:r>
          </w:p>
        </w:tc>
        <w:tc>
          <w:tcPr>
            <w:tcW w:w="1980" w:type="dxa"/>
            <w:noWrap w:val="0"/>
            <w:vAlign w:val="center"/>
          </w:tcPr>
          <w:p>
            <w:pPr>
              <w:snapToGrid w:val="0"/>
              <w:spacing w:line="500" w:lineRule="exact"/>
              <w:jc w:val="center"/>
              <w:rPr>
                <w:color w:val="auto"/>
              </w:rPr>
            </w:pPr>
            <w:r>
              <w:rPr>
                <w:color w:val="auto"/>
              </w:rPr>
              <w:t>投标保证金</w:t>
            </w:r>
          </w:p>
        </w:tc>
        <w:tc>
          <w:tcPr>
            <w:tcW w:w="5995" w:type="dxa"/>
            <w:noWrap w:val="0"/>
            <w:vAlign w:val="center"/>
          </w:tcPr>
          <w:p>
            <w:pPr>
              <w:snapToGrid w:val="0"/>
              <w:spacing w:line="500" w:lineRule="exact"/>
              <w:rPr>
                <w:color w:val="auto"/>
              </w:rPr>
            </w:pPr>
            <w:r>
              <w:rPr>
                <w:color w:val="auto"/>
              </w:rPr>
              <w:t>1.是否要求投标人递交投标保证金：</w:t>
            </w:r>
          </w:p>
          <w:p>
            <w:pPr>
              <w:snapToGrid w:val="0"/>
              <w:spacing w:line="500" w:lineRule="exact"/>
              <w:rPr>
                <w:color w:val="auto"/>
              </w:rPr>
            </w:pPr>
            <w:r>
              <w:rPr>
                <w:color w:val="auto"/>
              </w:rPr>
              <w:t xml:space="preserve">□不要求  </w:t>
            </w:r>
            <w:r>
              <w:rPr>
                <w:color w:val="auto"/>
              </w:rPr>
              <w:fldChar w:fldCharType="begin"/>
            </w:r>
            <w:r>
              <w:rPr>
                <w:color w:val="auto"/>
              </w:rPr>
              <w:instrText xml:space="preserve"> eq \o\ac(□,√)</w:instrText>
            </w:r>
            <w:r>
              <w:rPr>
                <w:color w:val="auto"/>
              </w:rPr>
              <w:fldChar w:fldCharType="end"/>
            </w:r>
            <w:r>
              <w:rPr>
                <w:color w:val="auto"/>
              </w:rPr>
              <w:t>要求</w:t>
            </w:r>
          </w:p>
          <w:p>
            <w:pPr>
              <w:snapToGrid w:val="0"/>
              <w:spacing w:line="500" w:lineRule="exact"/>
              <w:rPr>
                <w:color w:val="auto"/>
              </w:rPr>
            </w:pPr>
            <w:r>
              <w:rPr>
                <w:color w:val="auto"/>
              </w:rPr>
              <w:t>投标保证金的形式：</w:t>
            </w:r>
          </w:p>
          <w:p>
            <w:pPr>
              <w:snapToGrid w:val="0"/>
              <w:spacing w:line="500" w:lineRule="exact"/>
              <w:rPr>
                <w:color w:val="auto"/>
              </w:rPr>
            </w:pPr>
            <w:r>
              <w:rPr>
                <w:color w:val="auto"/>
              </w:rPr>
              <w:fldChar w:fldCharType="begin"/>
            </w:r>
            <w:r>
              <w:rPr>
                <w:color w:val="auto"/>
              </w:rPr>
              <w:instrText xml:space="preserve"> eq \o\ac(□,√)</w:instrText>
            </w:r>
            <w:r>
              <w:rPr>
                <w:color w:val="auto"/>
              </w:rPr>
              <w:fldChar w:fldCharType="end"/>
            </w:r>
            <w:r>
              <w:rPr>
                <w:color w:val="auto"/>
              </w:rPr>
              <w:t xml:space="preserve">银行转账  </w:t>
            </w:r>
            <w:r>
              <w:rPr>
                <w:color w:val="auto"/>
              </w:rPr>
              <w:fldChar w:fldCharType="begin"/>
            </w:r>
            <w:r>
              <w:rPr>
                <w:color w:val="auto"/>
              </w:rPr>
              <w:instrText xml:space="preserve"> eq \o\ac(□)</w:instrText>
            </w:r>
            <w:r>
              <w:rPr>
                <w:color w:val="auto"/>
              </w:rPr>
              <w:fldChar w:fldCharType="end"/>
            </w:r>
            <w:r>
              <w:rPr>
                <w:color w:val="auto"/>
              </w:rPr>
              <w:t xml:space="preserve">银行电汇  </w:t>
            </w:r>
          </w:p>
          <w:p>
            <w:pPr>
              <w:snapToGrid w:val="0"/>
              <w:spacing w:line="500" w:lineRule="exact"/>
              <w:rPr>
                <w:i w:val="0"/>
                <w:iCs w:val="0"/>
                <w:color w:val="auto"/>
              </w:rPr>
            </w:pPr>
            <w:r>
              <w:rPr>
                <w:color w:val="auto"/>
              </w:rPr>
              <w:t>投标保证金的金额：</w:t>
            </w:r>
            <w:r>
              <w:rPr>
                <w:i w:val="0"/>
                <w:iCs w:val="0"/>
                <w:color w:val="auto"/>
              </w:rPr>
              <w:t>人民币</w:t>
            </w:r>
            <w:r>
              <w:rPr>
                <w:i w:val="0"/>
                <w:iCs w:val="0"/>
                <w:color w:val="auto"/>
                <w:u w:val="single"/>
              </w:rPr>
              <w:t xml:space="preserve"> </w:t>
            </w:r>
            <w:r>
              <w:rPr>
                <w:rFonts w:hint="eastAsia"/>
                <w:i w:val="0"/>
                <w:iCs w:val="0"/>
                <w:color w:val="auto"/>
                <w:u w:val="single"/>
                <w:lang w:val="en-US" w:eastAsia="zh-CN"/>
              </w:rPr>
              <w:t>0.5</w:t>
            </w:r>
            <w:r>
              <w:rPr>
                <w:i w:val="0"/>
                <w:iCs w:val="0"/>
                <w:color w:val="auto"/>
                <w:u w:val="single"/>
              </w:rPr>
              <w:t xml:space="preserve"> </w:t>
            </w:r>
            <w:r>
              <w:rPr>
                <w:i w:val="0"/>
                <w:iCs w:val="0"/>
                <w:color w:val="auto"/>
              </w:rPr>
              <w:t>万元</w:t>
            </w:r>
          </w:p>
          <w:p>
            <w:pPr>
              <w:snapToGrid w:val="0"/>
              <w:spacing w:line="500" w:lineRule="exact"/>
              <w:rPr>
                <w:color w:val="auto"/>
              </w:rPr>
            </w:pPr>
            <w:r>
              <w:rPr>
                <w:color w:val="auto"/>
              </w:rPr>
              <w:t xml:space="preserve">递交要求： </w:t>
            </w:r>
          </w:p>
          <w:p>
            <w:pPr>
              <w:snapToGrid w:val="0"/>
              <w:spacing w:line="500" w:lineRule="exact"/>
              <w:rPr>
                <w:color w:val="auto"/>
              </w:rPr>
            </w:pPr>
            <w:r>
              <w:rPr>
                <w:color w:val="auto"/>
              </w:rPr>
              <w:t>①投标保证金的到账截止时间：</w:t>
            </w:r>
            <w:r>
              <w:rPr>
                <w:rFonts w:hint="eastAsia"/>
                <w:color w:val="auto"/>
              </w:rPr>
              <w:t>报名</w:t>
            </w:r>
            <w:r>
              <w:rPr>
                <w:color w:val="auto"/>
              </w:rPr>
              <w:t>截止时间。</w:t>
            </w:r>
          </w:p>
          <w:p>
            <w:pPr>
              <w:snapToGrid w:val="0"/>
              <w:spacing w:line="500" w:lineRule="exact"/>
              <w:rPr>
                <w:color w:val="auto"/>
              </w:rPr>
            </w:pPr>
            <w:r>
              <w:rPr>
                <w:color w:val="auto"/>
              </w:rPr>
              <w:t>②投标保证金应当从投标人基本账户转出，转出保证金的账户与投标人投标文件提供的基本账户不一致的，视为未按招标文件规定要求递交投标保证金。</w:t>
            </w:r>
          </w:p>
          <w:p>
            <w:pPr>
              <w:snapToGrid w:val="0"/>
              <w:spacing w:line="500" w:lineRule="exact"/>
              <w:rPr>
                <w:rFonts w:hint="eastAsia"/>
                <w:color w:val="auto"/>
                <w:szCs w:val="21"/>
              </w:rPr>
            </w:pPr>
            <w:r>
              <w:rPr>
                <w:color w:val="auto"/>
              </w:rPr>
              <w:t>③转帐时请备注“××项目投标保证金，并将转账凭证扫描件发送至</w:t>
            </w:r>
            <w:r>
              <w:rPr>
                <w:rFonts w:hint="eastAsia" w:ascii="Times New Roman" w:hAnsi="Times New Roman"/>
                <w:bCs/>
                <w:snapToGrid w:val="0"/>
                <w:color w:val="auto"/>
              </w:rPr>
              <w:t>2</w:t>
            </w:r>
            <w:r>
              <w:rPr>
                <w:rFonts w:hint="eastAsia"/>
                <w:bCs/>
                <w:snapToGrid w:val="0"/>
                <w:color w:val="auto"/>
                <w:lang w:val="en-US" w:eastAsia="zh-CN"/>
              </w:rPr>
              <w:t>507024924</w:t>
            </w:r>
            <w:r>
              <w:rPr>
                <w:rFonts w:hint="eastAsia" w:ascii="Times New Roman" w:hAnsi="Times New Roman"/>
                <w:bCs/>
                <w:snapToGrid w:val="0"/>
                <w:color w:val="auto"/>
              </w:rPr>
              <w:t>@qq.com</w:t>
            </w:r>
            <w:r>
              <w:rPr>
                <w:color w:val="auto"/>
              </w:rPr>
              <w:t>邮箱</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70" w:type="dxa"/>
            <w:noWrap w:val="0"/>
            <w:vAlign w:val="center"/>
          </w:tcPr>
          <w:p>
            <w:pPr>
              <w:snapToGrid w:val="0"/>
              <w:spacing w:line="500" w:lineRule="exact"/>
              <w:jc w:val="center"/>
              <w:rPr>
                <w:color w:val="auto"/>
              </w:rPr>
            </w:pPr>
            <w:r>
              <w:rPr>
                <w:color w:val="auto"/>
              </w:rPr>
              <w:t>3.4.4</w:t>
            </w:r>
          </w:p>
        </w:tc>
        <w:tc>
          <w:tcPr>
            <w:tcW w:w="1980" w:type="dxa"/>
            <w:noWrap w:val="0"/>
            <w:vAlign w:val="center"/>
          </w:tcPr>
          <w:p>
            <w:pPr>
              <w:snapToGrid w:val="0"/>
              <w:spacing w:line="500" w:lineRule="exact"/>
              <w:jc w:val="center"/>
              <w:rPr>
                <w:color w:val="auto"/>
              </w:rPr>
            </w:pPr>
            <w:r>
              <w:rPr>
                <w:color w:val="auto"/>
              </w:rPr>
              <w:t>其他不予退还投标保证金的情形</w:t>
            </w:r>
          </w:p>
        </w:tc>
        <w:tc>
          <w:tcPr>
            <w:tcW w:w="5995" w:type="dxa"/>
            <w:noWrap w:val="0"/>
            <w:vAlign w:val="center"/>
          </w:tcPr>
          <w:p>
            <w:pPr>
              <w:snapToGrid w:val="0"/>
              <w:spacing w:line="500" w:lineRule="exact"/>
              <w:rPr>
                <w:color w:val="auto"/>
              </w:rPr>
            </w:pPr>
            <w:bookmarkStart w:id="8" w:name="_Toc1781"/>
            <w:r>
              <w:rPr>
                <w:color w:val="auto"/>
              </w:rPr>
              <w:t>（1）中标候选人无正当理由放弃中标项目资格的；</w:t>
            </w:r>
            <w:bookmarkEnd w:id="8"/>
          </w:p>
          <w:p>
            <w:pPr>
              <w:snapToGrid w:val="0"/>
              <w:spacing w:line="500" w:lineRule="exact"/>
              <w:rPr>
                <w:color w:val="auto"/>
              </w:rPr>
            </w:pPr>
            <w:r>
              <w:rPr>
                <w:color w:val="auto"/>
              </w:rPr>
              <w:t>（2）投标人存在弄虚作假行为的；</w:t>
            </w:r>
          </w:p>
          <w:p>
            <w:pPr>
              <w:snapToGrid w:val="0"/>
              <w:spacing w:line="500" w:lineRule="exact"/>
              <w:rPr>
                <w:color w:val="auto"/>
              </w:rPr>
            </w:pPr>
            <w:r>
              <w:rPr>
                <w:color w:val="auto"/>
              </w:rPr>
              <w:t>（3）经监管部门认定投标人存在串通投标情形的。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70" w:type="dxa"/>
            <w:noWrap w:val="0"/>
            <w:vAlign w:val="center"/>
          </w:tcPr>
          <w:p>
            <w:pPr>
              <w:snapToGrid w:val="0"/>
              <w:spacing w:line="500" w:lineRule="exact"/>
              <w:jc w:val="center"/>
              <w:rPr>
                <w:color w:val="auto"/>
              </w:rPr>
            </w:pPr>
            <w:r>
              <w:rPr>
                <w:color w:val="auto"/>
              </w:rPr>
              <w:t>3.6.1</w:t>
            </w:r>
          </w:p>
        </w:tc>
        <w:tc>
          <w:tcPr>
            <w:tcW w:w="1980" w:type="dxa"/>
            <w:noWrap w:val="0"/>
            <w:vAlign w:val="center"/>
          </w:tcPr>
          <w:p>
            <w:pPr>
              <w:snapToGrid w:val="0"/>
              <w:spacing w:line="500" w:lineRule="exact"/>
              <w:jc w:val="center"/>
              <w:rPr>
                <w:color w:val="auto"/>
              </w:rPr>
            </w:pPr>
            <w:r>
              <w:rPr>
                <w:color w:val="auto"/>
              </w:rPr>
              <w:t>是否允许递交备选投标方案</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不允许</w:t>
            </w:r>
          </w:p>
          <w:p>
            <w:pPr>
              <w:snapToGrid w:val="0"/>
              <w:spacing w:line="500" w:lineRule="exact"/>
              <w:rPr>
                <w:color w:val="auto"/>
                <w:u w:val="single"/>
              </w:rPr>
            </w:pPr>
            <w:r>
              <w:rPr>
                <w:color w:val="auto"/>
              </w:rPr>
              <w:t>□允许：</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4.2.2</w:t>
            </w:r>
          </w:p>
        </w:tc>
        <w:tc>
          <w:tcPr>
            <w:tcW w:w="1980" w:type="dxa"/>
            <w:noWrap w:val="0"/>
            <w:vAlign w:val="center"/>
          </w:tcPr>
          <w:p>
            <w:pPr>
              <w:snapToGrid w:val="0"/>
              <w:spacing w:line="500" w:lineRule="exact"/>
              <w:jc w:val="center"/>
              <w:rPr>
                <w:color w:val="auto"/>
              </w:rPr>
            </w:pPr>
            <w:r>
              <w:rPr>
                <w:color w:val="auto"/>
              </w:rPr>
              <w:t>是否退还投标文件</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否</w:t>
            </w:r>
          </w:p>
          <w:p>
            <w:pPr>
              <w:snapToGrid w:val="0"/>
              <w:spacing w:line="500" w:lineRule="exact"/>
              <w:rPr>
                <w:color w:val="auto"/>
                <w:u w:val="single"/>
              </w:rPr>
            </w:pPr>
            <w:r>
              <w:rPr>
                <w:color w:val="auto"/>
              </w:rPr>
              <w:t>□是，退还安排：</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5.1</w:t>
            </w:r>
          </w:p>
        </w:tc>
        <w:tc>
          <w:tcPr>
            <w:tcW w:w="1980" w:type="dxa"/>
            <w:noWrap w:val="0"/>
            <w:vAlign w:val="center"/>
          </w:tcPr>
          <w:p>
            <w:pPr>
              <w:snapToGrid w:val="0"/>
              <w:spacing w:line="500" w:lineRule="exact"/>
              <w:jc w:val="center"/>
              <w:rPr>
                <w:color w:val="auto"/>
              </w:rPr>
            </w:pPr>
            <w:r>
              <w:rPr>
                <w:color w:val="auto"/>
              </w:rPr>
              <w:t>开标时间和地点</w:t>
            </w:r>
          </w:p>
        </w:tc>
        <w:tc>
          <w:tcPr>
            <w:tcW w:w="5995" w:type="dxa"/>
            <w:noWrap w:val="0"/>
            <w:vAlign w:val="center"/>
          </w:tcPr>
          <w:p>
            <w:pPr>
              <w:snapToGrid w:val="0"/>
              <w:spacing w:line="500" w:lineRule="exact"/>
              <w:rPr>
                <w:color w:val="auto"/>
              </w:rPr>
            </w:pPr>
            <w:r>
              <w:rPr>
                <w:color w:val="auto"/>
              </w:rPr>
              <w:t>开标时间：见招标公告</w:t>
            </w:r>
          </w:p>
          <w:p>
            <w:pPr>
              <w:snapToGrid w:val="0"/>
              <w:spacing w:line="500" w:lineRule="exact"/>
              <w:rPr>
                <w:color w:val="auto"/>
              </w:rPr>
            </w:pPr>
            <w:r>
              <w:rPr>
                <w:color w:val="auto"/>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5.2</w:t>
            </w:r>
          </w:p>
        </w:tc>
        <w:tc>
          <w:tcPr>
            <w:tcW w:w="1980" w:type="dxa"/>
            <w:noWrap w:val="0"/>
            <w:vAlign w:val="center"/>
          </w:tcPr>
          <w:p>
            <w:pPr>
              <w:snapToGrid w:val="0"/>
              <w:spacing w:line="500" w:lineRule="exact"/>
              <w:jc w:val="center"/>
              <w:rPr>
                <w:color w:val="auto"/>
              </w:rPr>
            </w:pPr>
            <w:r>
              <w:rPr>
                <w:color w:val="auto"/>
              </w:rPr>
              <w:t>开标程序</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□对商务、技术文件评审完成后，根据第三章“评标办法”的规定再开启所有投标人的报价文件，公布投标人名称、标段名称、投标报价及其他内容。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多标段开标顺序：</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6.1.1</w:t>
            </w:r>
          </w:p>
        </w:tc>
        <w:tc>
          <w:tcPr>
            <w:tcW w:w="1980" w:type="dxa"/>
            <w:noWrap w:val="0"/>
            <w:vAlign w:val="center"/>
          </w:tcPr>
          <w:p>
            <w:pPr>
              <w:snapToGrid w:val="0"/>
              <w:spacing w:line="500" w:lineRule="exact"/>
              <w:jc w:val="center"/>
              <w:rPr>
                <w:color w:val="auto"/>
              </w:rPr>
            </w:pPr>
            <w:r>
              <w:rPr>
                <w:color w:val="auto"/>
              </w:rPr>
              <w:t>评标委员会的组建</w:t>
            </w:r>
          </w:p>
        </w:tc>
        <w:tc>
          <w:tcPr>
            <w:tcW w:w="5995" w:type="dxa"/>
            <w:noWrap w:val="0"/>
            <w:vAlign w:val="center"/>
          </w:tcPr>
          <w:p>
            <w:pPr>
              <w:snapToGrid w:val="0"/>
              <w:spacing w:line="500" w:lineRule="exact"/>
              <w:rPr>
                <w:color w:val="auto"/>
              </w:rPr>
            </w:pPr>
            <w:r>
              <w:rPr>
                <w:color w:val="auto"/>
              </w:rPr>
              <w:t>评标委员会构成：</w:t>
            </w:r>
            <w:r>
              <w:rPr>
                <w:color w:val="auto"/>
                <w:szCs w:val="22"/>
                <w:u w:val="single"/>
              </w:rPr>
              <w:t>依法组建</w:t>
            </w:r>
          </w:p>
          <w:p>
            <w:pPr>
              <w:snapToGrid w:val="0"/>
              <w:spacing w:line="500" w:lineRule="exact"/>
              <w:rPr>
                <w:color w:val="auto"/>
              </w:rPr>
            </w:pPr>
            <w:r>
              <w:rPr>
                <w:color w:val="auto"/>
              </w:rPr>
              <w:t>评标专家确定方式：</w:t>
            </w:r>
            <w:r>
              <w:rPr>
                <w:color w:val="auto"/>
                <w:szCs w:val="22"/>
                <w:u w:val="single"/>
              </w:rPr>
              <w:t>依法确定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6.3.2</w:t>
            </w:r>
          </w:p>
        </w:tc>
        <w:tc>
          <w:tcPr>
            <w:tcW w:w="1980" w:type="dxa"/>
            <w:noWrap w:val="0"/>
            <w:vAlign w:val="center"/>
          </w:tcPr>
          <w:p>
            <w:pPr>
              <w:snapToGrid w:val="0"/>
              <w:spacing w:line="500" w:lineRule="exact"/>
              <w:jc w:val="center"/>
              <w:rPr>
                <w:color w:val="auto"/>
              </w:rPr>
            </w:pPr>
            <w:r>
              <w:rPr>
                <w:color w:val="auto"/>
              </w:rPr>
              <w:t>评标委员会推荐中标候选人的人数</w:t>
            </w:r>
          </w:p>
        </w:tc>
        <w:tc>
          <w:tcPr>
            <w:tcW w:w="5995" w:type="dxa"/>
            <w:noWrap w:val="0"/>
            <w:vAlign w:val="center"/>
          </w:tcPr>
          <w:p>
            <w:pPr>
              <w:snapToGrid w:val="0"/>
              <w:spacing w:line="500" w:lineRule="exact"/>
              <w:rPr>
                <w:color w:val="auto"/>
              </w:rPr>
            </w:pPr>
            <w:r>
              <w:rPr>
                <w:color w:val="auto"/>
              </w:rPr>
              <w:t>不多于1家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7.1</w:t>
            </w:r>
          </w:p>
        </w:tc>
        <w:tc>
          <w:tcPr>
            <w:tcW w:w="1980" w:type="dxa"/>
            <w:noWrap w:val="0"/>
            <w:vAlign w:val="center"/>
          </w:tcPr>
          <w:p>
            <w:pPr>
              <w:snapToGrid w:val="0"/>
              <w:spacing w:line="500" w:lineRule="exact"/>
              <w:jc w:val="center"/>
              <w:rPr>
                <w:rFonts w:eastAsia="楷体"/>
                <w:color w:val="auto"/>
              </w:rPr>
            </w:pPr>
            <w:r>
              <w:rPr>
                <w:color w:val="auto"/>
              </w:rPr>
              <w:t>中标候选人公示媒介及期限</w:t>
            </w:r>
          </w:p>
        </w:tc>
        <w:tc>
          <w:tcPr>
            <w:tcW w:w="5995" w:type="dxa"/>
            <w:noWrap w:val="0"/>
            <w:vAlign w:val="center"/>
          </w:tcPr>
          <w:p>
            <w:pPr>
              <w:snapToGrid w:val="0"/>
              <w:spacing w:line="500" w:lineRule="exact"/>
              <w:rPr>
                <w:color w:val="auto"/>
                <w:szCs w:val="22"/>
              </w:rPr>
            </w:pPr>
            <w:r>
              <w:rPr>
                <w:color w:val="auto"/>
                <w:szCs w:val="22"/>
              </w:rPr>
              <w:t>公示媒介：同招标公告发布媒介</w:t>
            </w:r>
          </w:p>
          <w:p>
            <w:pPr>
              <w:spacing w:line="500" w:lineRule="exact"/>
              <w:rPr>
                <w:color w:val="auto"/>
              </w:rPr>
            </w:pPr>
            <w:r>
              <w:rPr>
                <w:color w:val="auto"/>
                <w:szCs w:val="22"/>
              </w:rPr>
              <w:t>公示期限：</w:t>
            </w:r>
            <w:r>
              <w:rPr>
                <w:color w:val="auto"/>
                <w:u w:val="single"/>
              </w:rPr>
              <w:t xml:space="preserve"> 3 </w:t>
            </w:r>
            <w:r>
              <w:rPr>
                <w:color w:val="auto"/>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7.4</w:t>
            </w:r>
          </w:p>
        </w:tc>
        <w:tc>
          <w:tcPr>
            <w:tcW w:w="1980" w:type="dxa"/>
            <w:noWrap w:val="0"/>
            <w:vAlign w:val="center"/>
          </w:tcPr>
          <w:p>
            <w:pPr>
              <w:snapToGrid w:val="0"/>
              <w:spacing w:line="500" w:lineRule="exact"/>
              <w:jc w:val="center"/>
              <w:rPr>
                <w:color w:val="auto"/>
              </w:rPr>
            </w:pPr>
            <w:r>
              <w:rPr>
                <w:color w:val="auto"/>
              </w:rPr>
              <w:t>是否授权评标委员会确定中标人</w:t>
            </w:r>
          </w:p>
        </w:tc>
        <w:tc>
          <w:tcPr>
            <w:tcW w:w="5995" w:type="dxa"/>
            <w:noWrap w:val="0"/>
            <w:vAlign w:val="center"/>
          </w:tcPr>
          <w:p>
            <w:pPr>
              <w:spacing w:line="500" w:lineRule="exact"/>
              <w:rPr>
                <w:color w:val="auto"/>
              </w:rPr>
            </w:pPr>
            <w:r>
              <w:rPr>
                <w:b/>
                <w:color w:val="auto"/>
                <w:sz w:val="24"/>
              </w:rPr>
              <w:sym w:font="Wingdings" w:char="F0FE"/>
            </w:r>
            <w:r>
              <w:rPr>
                <w:color w:val="auto"/>
              </w:rPr>
              <w:t>是</w:t>
            </w:r>
          </w:p>
          <w:p>
            <w:pPr>
              <w:spacing w:line="500" w:lineRule="exact"/>
              <w:rPr>
                <w:color w:val="auto"/>
              </w:rPr>
            </w:pPr>
            <w:r>
              <w:rPr>
                <w:color w:val="auto"/>
                <w:sz w:val="32"/>
              </w:rPr>
              <w:t>□</w:t>
            </w: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7.5</w:t>
            </w:r>
          </w:p>
        </w:tc>
        <w:tc>
          <w:tcPr>
            <w:tcW w:w="1980" w:type="dxa"/>
            <w:noWrap w:val="0"/>
            <w:vAlign w:val="center"/>
          </w:tcPr>
          <w:p>
            <w:pPr>
              <w:snapToGrid w:val="0"/>
              <w:spacing w:line="500" w:lineRule="exact"/>
              <w:jc w:val="center"/>
              <w:rPr>
                <w:rFonts w:eastAsia="楷体"/>
                <w:color w:val="auto"/>
              </w:rPr>
            </w:pPr>
            <w:r>
              <w:rPr>
                <w:color w:val="auto"/>
              </w:rPr>
              <w:t>中标通知书发出的形式</w:t>
            </w:r>
          </w:p>
        </w:tc>
        <w:tc>
          <w:tcPr>
            <w:tcW w:w="5995" w:type="dxa"/>
            <w:noWrap w:val="0"/>
            <w:vAlign w:val="center"/>
          </w:tcPr>
          <w:p>
            <w:pPr>
              <w:snapToGrid w:val="0"/>
              <w:spacing w:line="500" w:lineRule="exact"/>
              <w:rPr>
                <w:color w:val="auto"/>
              </w:rPr>
            </w:pPr>
            <w:r>
              <w:rPr>
                <w:b/>
                <w:bCs/>
                <w:color w:val="auto"/>
                <w:szCs w:val="21"/>
              </w:rPr>
              <w:sym w:font="Wingdings" w:char="00FE"/>
            </w:r>
            <w:r>
              <w:rPr>
                <w:color w:val="auto"/>
              </w:rPr>
              <w:t xml:space="preserve">书面  </w:t>
            </w:r>
            <w:r>
              <w:rPr>
                <w:b/>
                <w:bCs/>
                <w:color w:val="auto"/>
                <w:szCs w:val="21"/>
              </w:rPr>
              <w:sym w:font="Wingdings" w:char="00A8"/>
            </w:r>
            <w:r>
              <w:rPr>
                <w:color w:val="auto"/>
              </w:rPr>
              <w:t>数据电文</w:t>
            </w:r>
          </w:p>
          <w:p>
            <w:pPr>
              <w:snapToGrid w:val="0"/>
              <w:spacing w:line="500" w:lineRule="exact"/>
              <w:rPr>
                <w:color w:val="auto"/>
                <w:sz w:val="32"/>
              </w:rPr>
            </w:pPr>
            <w:r>
              <w:rPr>
                <w:b/>
                <w:bCs/>
                <w:color w:val="auto"/>
              </w:rPr>
              <w:t>特别提醒：招标人确定中标人后，通过书面向中标人发出中标通知书。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7.6</w:t>
            </w:r>
          </w:p>
        </w:tc>
        <w:tc>
          <w:tcPr>
            <w:tcW w:w="1980" w:type="dxa"/>
            <w:noWrap w:val="0"/>
            <w:vAlign w:val="center"/>
          </w:tcPr>
          <w:p>
            <w:pPr>
              <w:snapToGrid w:val="0"/>
              <w:spacing w:line="500" w:lineRule="exact"/>
              <w:jc w:val="center"/>
              <w:rPr>
                <w:rFonts w:eastAsia="楷体"/>
                <w:color w:val="auto"/>
              </w:rPr>
            </w:pPr>
            <w:r>
              <w:rPr>
                <w:color w:val="auto"/>
              </w:rPr>
              <w:t>中标结果公示媒介</w:t>
            </w:r>
          </w:p>
        </w:tc>
        <w:tc>
          <w:tcPr>
            <w:tcW w:w="5995" w:type="dxa"/>
            <w:noWrap w:val="0"/>
            <w:vAlign w:val="center"/>
          </w:tcPr>
          <w:p>
            <w:pPr>
              <w:snapToGrid w:val="0"/>
              <w:spacing w:line="500" w:lineRule="exact"/>
              <w:rPr>
                <w:rFonts w:eastAsia="楷体"/>
                <w:color w:val="auto"/>
              </w:rPr>
            </w:pPr>
            <w:r>
              <w:rPr>
                <w:color w:val="auto"/>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7.7.1</w:t>
            </w:r>
          </w:p>
        </w:tc>
        <w:tc>
          <w:tcPr>
            <w:tcW w:w="1980" w:type="dxa"/>
            <w:noWrap w:val="0"/>
            <w:vAlign w:val="center"/>
          </w:tcPr>
          <w:p>
            <w:pPr>
              <w:snapToGrid w:val="0"/>
              <w:spacing w:line="500" w:lineRule="exact"/>
              <w:jc w:val="center"/>
              <w:rPr>
                <w:color w:val="auto"/>
                <w:szCs w:val="21"/>
              </w:rPr>
            </w:pPr>
            <w:r>
              <w:rPr>
                <w:color w:val="auto"/>
                <w:szCs w:val="21"/>
              </w:rPr>
              <w:t>履约保证金</w:t>
            </w:r>
          </w:p>
        </w:tc>
        <w:tc>
          <w:tcPr>
            <w:tcW w:w="5995" w:type="dxa"/>
            <w:noWrap w:val="0"/>
            <w:vAlign w:val="center"/>
          </w:tcPr>
          <w:p>
            <w:pPr>
              <w:snapToGrid w:val="0"/>
              <w:spacing w:line="500" w:lineRule="exact"/>
              <w:rPr>
                <w:b/>
                <w:bCs/>
                <w:snapToGrid w:val="0"/>
                <w:color w:val="auto"/>
              </w:rPr>
            </w:pPr>
            <w:r>
              <w:rPr>
                <w:b/>
                <w:bCs/>
                <w:snapToGrid w:val="0"/>
                <w:color w:val="auto"/>
              </w:rPr>
              <w:t>是否要求投标人递交</w:t>
            </w:r>
            <w:r>
              <w:rPr>
                <w:b/>
                <w:bCs/>
                <w:color w:val="auto"/>
              </w:rPr>
              <w:t>履约保证金</w:t>
            </w:r>
            <w:r>
              <w:rPr>
                <w:b/>
                <w:bCs/>
                <w:snapToGrid w:val="0"/>
                <w:color w:val="auto"/>
              </w:rPr>
              <w:t>：</w:t>
            </w:r>
          </w:p>
          <w:p>
            <w:pPr>
              <w:snapToGrid w:val="0"/>
              <w:spacing w:line="500" w:lineRule="exact"/>
              <w:rPr>
                <w:b/>
                <w:bCs/>
                <w:snapToGrid w:val="0"/>
                <w:color w:val="auto"/>
              </w:rPr>
            </w:pPr>
            <w:r>
              <w:rPr>
                <w:b/>
                <w:bCs/>
                <w:snapToGrid w:val="0"/>
                <w:color w:val="auto"/>
              </w:rPr>
              <w:t xml:space="preserve">□不要求  </w:t>
            </w:r>
            <w:r>
              <w:rPr>
                <w:color w:val="auto"/>
              </w:rPr>
              <w:t>☑</w:t>
            </w:r>
            <w:r>
              <w:rPr>
                <w:b/>
                <w:bCs/>
                <w:snapToGrid w:val="0"/>
                <w:color w:val="auto"/>
              </w:rPr>
              <w:t>要求</w:t>
            </w:r>
          </w:p>
          <w:p>
            <w:pPr>
              <w:snapToGrid w:val="0"/>
              <w:spacing w:line="500" w:lineRule="exact"/>
              <w:rPr>
                <w:bCs/>
                <w:snapToGrid w:val="0"/>
                <w:color w:val="auto"/>
              </w:rPr>
            </w:pPr>
            <w:r>
              <w:rPr>
                <w:bCs/>
                <w:snapToGrid w:val="0"/>
                <w:color w:val="auto"/>
              </w:rPr>
              <w:t>（1）递交形式：</w:t>
            </w:r>
          </w:p>
          <w:p>
            <w:pPr>
              <w:snapToGrid w:val="0"/>
              <w:spacing w:line="500" w:lineRule="exact"/>
              <w:rPr>
                <w:bCs/>
                <w:snapToGrid w:val="0"/>
                <w:color w:val="auto"/>
              </w:rPr>
            </w:pPr>
            <w:r>
              <w:rPr>
                <w:bCs/>
                <w:snapToGrid w:val="0"/>
                <w:color w:val="auto"/>
              </w:rPr>
              <w:fldChar w:fldCharType="begin"/>
            </w:r>
            <w:r>
              <w:rPr>
                <w:bCs/>
                <w:snapToGrid w:val="0"/>
                <w:color w:val="auto"/>
              </w:rPr>
              <w:instrText xml:space="preserve"> eq \o\ac(□,</w:instrText>
            </w:r>
            <w:r>
              <w:rPr>
                <w:bCs/>
                <w:snapToGrid w:val="0"/>
                <w:color w:val="auto"/>
                <w:position w:val="2"/>
                <w:sz w:val="13"/>
              </w:rPr>
              <w:instrText xml:space="preserve">√</w:instrText>
            </w:r>
            <w:r>
              <w:rPr>
                <w:bCs/>
                <w:snapToGrid w:val="0"/>
                <w:color w:val="auto"/>
              </w:rPr>
              <w:instrText xml:space="preserve">)</w:instrText>
            </w:r>
            <w:r>
              <w:rPr>
                <w:bCs/>
                <w:snapToGrid w:val="0"/>
                <w:color w:val="auto"/>
              </w:rPr>
              <w:fldChar w:fldCharType="end"/>
            </w:r>
            <w:r>
              <w:rPr>
                <w:bCs/>
                <w:snapToGrid w:val="0"/>
                <w:color w:val="auto"/>
              </w:rPr>
              <w:t xml:space="preserve">银行转账  </w:t>
            </w:r>
            <w:r>
              <w:rPr>
                <w:bCs/>
                <w:snapToGrid w:val="0"/>
                <w:color w:val="auto"/>
              </w:rPr>
              <w:fldChar w:fldCharType="begin"/>
            </w:r>
            <w:r>
              <w:rPr>
                <w:bCs/>
                <w:snapToGrid w:val="0"/>
                <w:color w:val="auto"/>
              </w:rPr>
              <w:instrText xml:space="preserve"> eq \o\ac(□)</w:instrText>
            </w:r>
            <w:r>
              <w:rPr>
                <w:bCs/>
                <w:snapToGrid w:val="0"/>
                <w:color w:val="auto"/>
              </w:rPr>
              <w:fldChar w:fldCharType="end"/>
            </w:r>
            <w:r>
              <w:rPr>
                <w:bCs/>
                <w:snapToGrid w:val="0"/>
                <w:color w:val="auto"/>
              </w:rPr>
              <w:t xml:space="preserve">银行电汇  </w:t>
            </w:r>
          </w:p>
          <w:p>
            <w:pPr>
              <w:numPr>
                <w:ilvl w:val="0"/>
                <w:numId w:val="2"/>
              </w:numPr>
              <w:snapToGrid w:val="0"/>
              <w:spacing w:line="500" w:lineRule="exact"/>
              <w:ind w:left="-73" w:leftChars="-35"/>
              <w:rPr>
                <w:color w:val="auto"/>
                <w:szCs w:val="21"/>
              </w:rPr>
            </w:pPr>
            <w:r>
              <w:rPr>
                <w:bCs/>
                <w:snapToGrid w:val="0"/>
                <w:color w:val="auto"/>
              </w:rPr>
              <w:t>递交金额：</w:t>
            </w:r>
            <w:r>
              <w:rPr>
                <w:rFonts w:hint="eastAsia" w:ascii="宋体" w:hAnsi="宋体" w:cs="宋体"/>
                <w:bCs/>
                <w:snapToGrid w:val="0"/>
                <w:color w:val="auto"/>
                <w:lang w:val="en-US" w:eastAsia="zh-CN"/>
              </w:rPr>
              <w:t>2</w:t>
            </w:r>
            <w:r>
              <w:rPr>
                <w:rFonts w:hint="eastAsia" w:ascii="宋体" w:hAnsi="宋体" w:eastAsia="宋体" w:cs="宋体"/>
                <w:bCs/>
                <w:snapToGrid w:val="0"/>
                <w:color w:val="auto"/>
                <w:lang w:val="en-US" w:eastAsia="zh-CN"/>
              </w:rPr>
              <w:t>万元</w:t>
            </w:r>
            <w:r>
              <w:rPr>
                <w:rFonts w:hint="eastAsia" w:ascii="宋体" w:hAnsi="宋体" w:cs="宋体"/>
                <w:bCs/>
                <w:snapToGrid w:val="0"/>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10.1</w:t>
            </w:r>
          </w:p>
        </w:tc>
        <w:tc>
          <w:tcPr>
            <w:tcW w:w="1980" w:type="dxa"/>
            <w:noWrap w:val="0"/>
            <w:vAlign w:val="center"/>
          </w:tcPr>
          <w:p>
            <w:pPr>
              <w:spacing w:line="500" w:lineRule="exact"/>
              <w:jc w:val="center"/>
              <w:rPr>
                <w:bCs/>
                <w:snapToGrid w:val="0"/>
                <w:color w:val="auto"/>
                <w:kern w:val="0"/>
                <w:szCs w:val="21"/>
              </w:rPr>
            </w:pPr>
            <w:r>
              <w:rPr>
                <w:bCs/>
                <w:snapToGrid w:val="0"/>
                <w:color w:val="auto"/>
                <w:kern w:val="0"/>
                <w:szCs w:val="21"/>
              </w:rPr>
              <w:t>重要提示</w:t>
            </w:r>
          </w:p>
        </w:tc>
        <w:tc>
          <w:tcPr>
            <w:tcW w:w="5995" w:type="dxa"/>
            <w:noWrap w:val="0"/>
            <w:vAlign w:val="center"/>
          </w:tcPr>
          <w:p>
            <w:pPr>
              <w:spacing w:line="500" w:lineRule="exact"/>
              <w:rPr>
                <w:color w:val="auto"/>
              </w:rPr>
            </w:pPr>
            <w:r>
              <w:rPr>
                <w:color w:val="auto"/>
              </w:rPr>
              <w:t>（1）项目负责人必须是投标人本单位工作人员。</w:t>
            </w:r>
          </w:p>
          <w:p>
            <w:pPr>
              <w:spacing w:line="500" w:lineRule="exact"/>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rPr>
                <w:color w:val="auto"/>
              </w:rPr>
            </w:pPr>
            <w:r>
              <w:rPr>
                <w:color w:val="auto"/>
              </w:rPr>
              <w:t>（3）中标人应在规定期限内提交履约保证金并与招标人签订合同，若中标人未能在规定期限内提交履约保证金或签订合同，招标人有权取消中标人中标资格。</w:t>
            </w:r>
          </w:p>
          <w:p>
            <w:pPr>
              <w:spacing w:line="500" w:lineRule="exact"/>
              <w:rPr>
                <w:color w:val="auto"/>
              </w:rPr>
            </w:pPr>
            <w:r>
              <w:rPr>
                <w:color w:val="auto"/>
              </w:rPr>
              <w:t>（4）合同签订后，中标人存在规定时间内不组织人员进场开工，不履行合同义务等情况，招标人有权解除合同，并追究违约责任。</w:t>
            </w:r>
          </w:p>
          <w:p>
            <w:pPr>
              <w:spacing w:line="500" w:lineRule="exact"/>
              <w:rPr>
                <w:color w:val="auto"/>
              </w:rPr>
            </w:pPr>
            <w:r>
              <w:rPr>
                <w:color w:val="auto"/>
              </w:rPr>
              <w:t>（5）中标人中标后被监管部门查实存在违法行为，不满足中标条件的，由</w:t>
            </w:r>
            <w:r>
              <w:rPr>
                <w:rFonts w:hint="eastAsia"/>
                <w:color w:val="auto"/>
              </w:rPr>
              <w:t>招标</w:t>
            </w:r>
            <w:r>
              <w:rPr>
                <w:color w:val="auto"/>
              </w:rPr>
              <w:t>人取消中标资格，并做好项目后续工作；</w:t>
            </w:r>
          </w:p>
          <w:p>
            <w:pPr>
              <w:spacing w:line="500" w:lineRule="exact"/>
              <w:rPr>
                <w:bCs/>
                <w:color w:val="auto"/>
              </w:rPr>
            </w:pPr>
            <w:r>
              <w:rPr>
                <w:color w:val="auto"/>
              </w:rPr>
              <w:t>（6）中标人在中标项目发生投诉、信访举报案件、履约存在争议时，拒绝协助配合有关部门调查案件的，招标人可以取消其中标资格或解除合同，并追究其违约责任。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w:t>
            </w:r>
          </w:p>
        </w:tc>
        <w:tc>
          <w:tcPr>
            <w:tcW w:w="1980" w:type="dxa"/>
            <w:noWrap w:val="0"/>
            <w:vAlign w:val="center"/>
          </w:tcPr>
          <w:p>
            <w:pPr>
              <w:spacing w:line="500" w:lineRule="exact"/>
              <w:jc w:val="center"/>
              <w:rPr>
                <w:color w:val="auto"/>
              </w:rPr>
            </w:pPr>
            <w:r>
              <w:rPr>
                <w:color w:val="auto"/>
              </w:rPr>
              <w:t>其他补充说明</w:t>
            </w:r>
          </w:p>
        </w:tc>
        <w:tc>
          <w:tcPr>
            <w:tcW w:w="5995" w:type="dxa"/>
            <w:noWrap w:val="0"/>
            <w:vAlign w:val="center"/>
          </w:tcPr>
          <w:p>
            <w:pPr>
              <w:spacing w:line="500" w:lineRule="exact"/>
              <w:rPr>
                <w:color w:val="auto"/>
              </w:rPr>
            </w:pPr>
            <w:r>
              <w:rPr>
                <w:color w:val="auto"/>
              </w:rPr>
              <w:t xml:space="preserve">   无   </w:t>
            </w:r>
          </w:p>
        </w:tc>
      </w:tr>
    </w:tbl>
    <w:p>
      <w:pPr>
        <w:pStyle w:val="2"/>
        <w:spacing w:before="120" w:beforeLines="50" w:after="120" w:afterLines="50" w:line="500" w:lineRule="exact"/>
        <w:jc w:val="center"/>
        <w:rPr>
          <w:rFonts w:ascii="Times New Roman" w:hAnsi="Times New Roman" w:eastAsia="黑体"/>
          <w:b w:val="0"/>
          <w:color w:val="auto"/>
        </w:rPr>
      </w:pPr>
      <w:r>
        <w:rPr>
          <w:rFonts w:ascii="Times New Roman" w:hAnsi="Times New Roman" w:eastAsia="黑体"/>
          <w:color w:val="auto"/>
          <w:sz w:val="28"/>
          <w:szCs w:val="28"/>
        </w:rPr>
        <w:br w:type="page"/>
      </w:r>
      <w:bookmarkStart w:id="9" w:name="_Toc19747"/>
      <w:bookmarkStart w:id="10" w:name="_Toc460226720"/>
      <w:bookmarkStart w:id="11" w:name="_Toc460226989"/>
      <w:bookmarkStart w:id="12" w:name="_Toc27292"/>
      <w:bookmarkStart w:id="13" w:name="_Toc30945"/>
      <w:bookmarkStart w:id="14" w:name="_Toc460660062"/>
      <w:bookmarkStart w:id="15" w:name="_Toc421916975"/>
      <w:bookmarkStart w:id="16" w:name="_Toc11078137"/>
      <w:bookmarkStart w:id="17" w:name="_Toc283798416"/>
      <w:bookmarkStart w:id="18" w:name="_Toc184635071"/>
      <w:r>
        <w:rPr>
          <w:rFonts w:ascii="Times New Roman" w:hAnsi="Times New Roman" w:eastAsia="黑体"/>
          <w:b w:val="0"/>
          <w:color w:val="auto"/>
          <w:sz w:val="28"/>
          <w:szCs w:val="28"/>
        </w:rPr>
        <w:t>附录1  资格审查条件(资质最低条件)</w:t>
      </w:r>
      <w:bookmarkEnd w:id="9"/>
      <w:bookmarkEnd w:id="10"/>
      <w:bookmarkEnd w:id="11"/>
      <w:bookmarkEnd w:id="12"/>
      <w:bookmarkEnd w:id="13"/>
      <w:bookmarkEnd w:id="14"/>
      <w:bookmarkEnd w:id="15"/>
      <w:bookmarkEnd w:id="16"/>
      <w:bookmarkEnd w:id="17"/>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hint="eastAsia" w:ascii="Times New Roman" w:hAnsi="Times New Roman" w:eastAsia="宋体"/>
                <w:b/>
                <w:bCs/>
                <w:color w:val="auto"/>
                <w:szCs w:val="21"/>
                <w:lang w:eastAsia="zh-CN"/>
              </w:rPr>
            </w:pPr>
            <w:r>
              <w:rPr>
                <w:rFonts w:ascii="Times New Roman" w:hAnsi="Times New Roman"/>
                <w:b/>
                <w:bCs/>
                <w:color w:val="auto"/>
                <w:szCs w:val="21"/>
              </w:rPr>
              <w:t>投标人营业执照</w:t>
            </w:r>
            <w:r>
              <w:rPr>
                <w:rFonts w:hint="eastAsia" w:ascii="Times New Roman" w:hAnsi="Times New Roman"/>
                <w:b/>
                <w:bCs/>
                <w:color w:val="auto"/>
                <w:szCs w:val="21"/>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top"/>
          </w:tcPr>
          <w:p>
            <w:pPr>
              <w:pStyle w:val="106"/>
              <w:adjustRightInd w:val="0"/>
              <w:snapToGrid w:val="0"/>
              <w:spacing w:line="500" w:lineRule="exact"/>
              <w:ind w:left="420"/>
              <w:rPr>
                <w:rFonts w:ascii="Times New Roman" w:hAnsi="Times New Roman"/>
                <w:bCs/>
                <w:snapToGrid w:val="0"/>
                <w:color w:val="auto"/>
                <w:kern w:val="0"/>
                <w:szCs w:val="21"/>
              </w:rPr>
            </w:pPr>
            <w:r>
              <w:rPr>
                <w:rFonts w:ascii="Times New Roman" w:hAnsi="Times New Roman"/>
                <w:bCs/>
                <w:snapToGrid w:val="0"/>
                <w:color w:val="auto"/>
                <w:kern w:val="0"/>
                <w:szCs w:val="21"/>
              </w:rPr>
              <w:t>具备有效的营业执照。</w:t>
            </w:r>
          </w:p>
          <w:p>
            <w:pPr>
              <w:autoSpaceDE w:val="0"/>
              <w:autoSpaceDN w:val="0"/>
              <w:adjustRightInd w:val="0"/>
              <w:snapToGrid w:val="0"/>
              <w:spacing w:line="500" w:lineRule="exact"/>
              <w:rPr>
                <w:rFonts w:ascii="Times New Roman" w:hAnsi="Times New Roman"/>
                <w:bCs/>
                <w:snapToGrid w:val="0"/>
                <w:color w:val="auto"/>
                <w:kern w:val="0"/>
                <w:szCs w:val="21"/>
              </w:rPr>
            </w:pPr>
          </w:p>
          <w:p>
            <w:pPr>
              <w:pStyle w:val="106"/>
              <w:adjustRightInd w:val="0"/>
              <w:snapToGrid w:val="0"/>
              <w:spacing w:line="500" w:lineRule="exact"/>
              <w:ind w:firstLine="420" w:firstLineChars="200"/>
              <w:rPr>
                <w:rFonts w:ascii="Times New Roman" w:hAnsi="Times New Roman"/>
                <w:bCs/>
                <w:snapToGrid w:val="0"/>
                <w:color w:val="auto"/>
                <w:kern w:val="0"/>
                <w:szCs w:val="21"/>
              </w:rPr>
            </w:pPr>
          </w:p>
        </w:tc>
      </w:tr>
    </w:tbl>
    <w:p>
      <w:pPr>
        <w:pStyle w:val="106"/>
        <w:adjustRightInd w:val="0"/>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注：投标人应提供营业执照扫描件。</w:t>
      </w:r>
    </w:p>
    <w:p>
      <w:pPr>
        <w:pStyle w:val="2"/>
        <w:spacing w:before="120" w:beforeLines="50" w:after="120" w:afterLines="50" w:line="500" w:lineRule="exact"/>
        <w:jc w:val="center"/>
        <w:rPr>
          <w:rFonts w:ascii="Times New Roman" w:hAnsi="Times New Roman" w:eastAsia="黑体"/>
          <w:b w:val="0"/>
          <w:color w:val="auto"/>
        </w:rPr>
      </w:pPr>
      <w:bookmarkStart w:id="19" w:name="_Toc460660063"/>
      <w:bookmarkStart w:id="20" w:name="_Toc421916976"/>
      <w:bookmarkStart w:id="21" w:name="_Toc283798417"/>
      <w:bookmarkStart w:id="22" w:name="_Toc460226990"/>
      <w:bookmarkStart w:id="23" w:name="_Toc460226721"/>
      <w:r>
        <w:rPr>
          <w:rFonts w:ascii="Times New Roman" w:hAnsi="Times New Roman" w:eastAsia="仿宋"/>
          <w:b w:val="0"/>
          <w:color w:val="auto"/>
        </w:rPr>
        <w:br w:type="page"/>
      </w:r>
      <w:bookmarkStart w:id="24" w:name="_Toc11078138"/>
      <w:bookmarkStart w:id="25" w:name="_Toc21862"/>
      <w:bookmarkStart w:id="26" w:name="_Toc23207"/>
      <w:bookmarkStart w:id="27" w:name="_Toc24851"/>
      <w:r>
        <w:rPr>
          <w:rFonts w:ascii="Times New Roman" w:hAnsi="Times New Roman" w:eastAsia="黑体"/>
          <w:b w:val="0"/>
          <w:bCs w:val="0"/>
          <w:color w:val="auto"/>
          <w:sz w:val="28"/>
          <w:szCs w:val="28"/>
        </w:rPr>
        <w:t>附录2  资格审查条件(财务最低要求)</w:t>
      </w:r>
      <w:bookmarkEnd w:id="19"/>
      <w:bookmarkEnd w:id="20"/>
      <w:bookmarkEnd w:id="21"/>
      <w:bookmarkEnd w:id="22"/>
      <w:bookmarkEnd w:id="23"/>
      <w:bookmarkEnd w:id="24"/>
      <w:bookmarkEnd w:id="25"/>
      <w:bookmarkEnd w:id="26"/>
      <w:bookmarkEnd w:id="27"/>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ind w:left="3"/>
              <w:jc w:val="center"/>
              <w:rPr>
                <w:rFonts w:hint="eastAsia" w:ascii="Times New Roman" w:hAnsi="Times New Roman" w:eastAsia="宋体"/>
                <w:bCs/>
                <w:color w:val="auto"/>
                <w:szCs w:val="21"/>
                <w:lang w:val="en-US" w:eastAsia="zh-CN"/>
              </w:rPr>
            </w:pPr>
            <w:r>
              <w:rPr>
                <w:rFonts w:hint="eastAsia" w:ascii="Times New Roman" w:hAnsi="Times New Roman"/>
                <w:bCs/>
                <w:color w:val="auto"/>
                <w:szCs w:val="21"/>
                <w:lang w:val="en-US" w:eastAsia="zh-CN"/>
              </w:rPr>
              <w:t>/</w:t>
            </w: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rPr>
                <w:rFonts w:ascii="Times New Roman" w:hAnsi="Times New Roman"/>
                <w:bCs/>
                <w:color w:val="auto"/>
                <w:szCs w:val="21"/>
              </w:rPr>
            </w:pPr>
          </w:p>
        </w:tc>
      </w:tr>
    </w:tbl>
    <w:p>
      <w:pPr>
        <w:pStyle w:val="2"/>
        <w:spacing w:before="120" w:beforeLines="50" w:after="120" w:afterLines="50" w:line="500" w:lineRule="exact"/>
        <w:jc w:val="center"/>
        <w:rPr>
          <w:rFonts w:ascii="Times New Roman" w:hAnsi="Times New Roman" w:eastAsia="黑体"/>
          <w:b w:val="0"/>
          <w:color w:val="auto"/>
        </w:rPr>
      </w:pPr>
      <w:r>
        <w:rPr>
          <w:rFonts w:ascii="Times New Roman" w:hAnsi="Times New Roman"/>
          <w:bCs w:val="0"/>
          <w:color w:val="auto"/>
          <w:kern w:val="0"/>
          <w:szCs w:val="21"/>
        </w:rPr>
        <w:br w:type="page"/>
      </w:r>
      <w:bookmarkStart w:id="28" w:name="_Toc14660"/>
      <w:bookmarkStart w:id="29" w:name="_Toc460660064"/>
      <w:bookmarkStart w:id="30" w:name="_Toc7611"/>
      <w:bookmarkStart w:id="31" w:name="_Toc460226722"/>
      <w:bookmarkStart w:id="32" w:name="_Toc11078139"/>
      <w:bookmarkStart w:id="33" w:name="_Toc460226991"/>
      <w:bookmarkStart w:id="34" w:name="_Toc283798418"/>
      <w:bookmarkStart w:id="35" w:name="_Toc421916977"/>
      <w:bookmarkStart w:id="36" w:name="_Toc15410"/>
      <w:r>
        <w:rPr>
          <w:rFonts w:ascii="Times New Roman" w:hAnsi="Times New Roman" w:eastAsia="黑体"/>
          <w:b w:val="0"/>
          <w:bCs w:val="0"/>
          <w:color w:val="auto"/>
          <w:sz w:val="28"/>
          <w:szCs w:val="28"/>
        </w:rPr>
        <w:t>附录3  资格审查条件(业绩最低要求)</w:t>
      </w:r>
      <w:bookmarkEnd w:id="28"/>
      <w:bookmarkEnd w:id="29"/>
      <w:bookmarkEnd w:id="30"/>
      <w:bookmarkEnd w:id="31"/>
      <w:bookmarkEnd w:id="32"/>
      <w:bookmarkEnd w:id="33"/>
      <w:bookmarkEnd w:id="34"/>
      <w:bookmarkEnd w:id="35"/>
      <w:bookmarkEnd w:id="36"/>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color w:val="auto"/>
                <w:kern w:val="0"/>
                <w:szCs w:val="21"/>
              </w:rPr>
            </w:pPr>
            <w:r>
              <w:rPr>
                <w:bCs/>
                <w:color w:val="auto"/>
                <w:kern w:val="0"/>
                <w:szCs w:val="21"/>
              </w:rPr>
              <w:t>业绩要求见招标公告要求。</w:t>
            </w:r>
          </w:p>
        </w:tc>
      </w:tr>
    </w:tbl>
    <w:p>
      <w:pPr>
        <w:pStyle w:val="2"/>
        <w:spacing w:before="120" w:beforeLines="50" w:after="120" w:afterLines="50" w:line="500" w:lineRule="exact"/>
        <w:jc w:val="center"/>
        <w:rPr>
          <w:rFonts w:ascii="Times New Roman" w:hAnsi="Times New Roman" w:eastAsia="黑体"/>
          <w:b w:val="0"/>
          <w:color w:val="auto"/>
        </w:rPr>
      </w:pPr>
      <w:r>
        <w:rPr>
          <w:rFonts w:ascii="Times New Roman" w:hAnsi="Times New Roman"/>
          <w:b w:val="0"/>
          <w:snapToGrid w:val="0"/>
          <w:color w:val="auto"/>
          <w:kern w:val="0"/>
          <w:sz w:val="21"/>
          <w:szCs w:val="21"/>
        </w:rPr>
        <w:br w:type="page"/>
      </w:r>
      <w:bookmarkStart w:id="37" w:name="_Toc17183"/>
      <w:bookmarkStart w:id="38" w:name="_Toc14971"/>
      <w:bookmarkStart w:id="39" w:name="_Toc11078140"/>
      <w:bookmarkStart w:id="40" w:name="_Toc6460"/>
      <w:bookmarkStart w:id="41" w:name="_Toc460226992"/>
      <w:bookmarkStart w:id="42" w:name="_Toc421916978"/>
      <w:bookmarkStart w:id="43" w:name="_Toc460226723"/>
      <w:r>
        <w:rPr>
          <w:rFonts w:ascii="Times New Roman" w:hAnsi="Times New Roman" w:eastAsia="黑体"/>
          <w:b w:val="0"/>
          <w:bCs w:val="0"/>
          <w:color w:val="auto"/>
          <w:sz w:val="28"/>
          <w:szCs w:val="28"/>
        </w:rPr>
        <w:t>附录4  资格审查条件(信誉最低要求)</w:t>
      </w:r>
      <w:bookmarkEnd w:id="37"/>
      <w:bookmarkEnd w:id="38"/>
      <w:bookmarkEnd w:id="39"/>
      <w:bookmarkEnd w:id="40"/>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snapToGrid w:val="0"/>
                <w:color w:val="auto"/>
                <w:kern w:val="0"/>
                <w:szCs w:val="21"/>
              </w:rPr>
            </w:pPr>
            <w:r>
              <w:rPr>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20" w:firstLineChars="200"/>
              <w:rPr>
                <w:bCs/>
                <w:snapToGrid w:val="0"/>
                <w:color w:val="auto"/>
                <w:kern w:val="0"/>
                <w:szCs w:val="21"/>
              </w:rPr>
            </w:pPr>
          </w:p>
        </w:tc>
      </w:tr>
    </w:tbl>
    <w:p>
      <w:pPr>
        <w:adjustRightInd w:val="0"/>
        <w:snapToGrid w:val="0"/>
        <w:spacing w:line="500" w:lineRule="exact"/>
        <w:ind w:firstLine="420" w:firstLineChars="200"/>
        <w:rPr>
          <w:bCs/>
          <w:snapToGrid w:val="0"/>
          <w:color w:val="auto"/>
          <w:kern w:val="0"/>
          <w:szCs w:val="21"/>
        </w:rPr>
      </w:pPr>
      <w:r>
        <w:rPr>
          <w:bCs/>
          <w:snapToGrid w:val="0"/>
          <w:color w:val="auto"/>
          <w:kern w:val="0"/>
          <w:szCs w:val="21"/>
        </w:rPr>
        <w:t>注：投标人在投标函中承诺，不需要提供相关证明材料。如投标人承诺与实际不符，将视为投标人弄虚作假。</w:t>
      </w:r>
    </w:p>
    <w:p>
      <w:pPr>
        <w:spacing w:line="500" w:lineRule="exact"/>
        <w:rPr>
          <w:color w:val="auto"/>
        </w:rPr>
      </w:pPr>
    </w:p>
    <w:p>
      <w:pPr>
        <w:pStyle w:val="2"/>
        <w:spacing w:before="120" w:beforeLines="50" w:after="120" w:afterLines="50" w:line="500" w:lineRule="exact"/>
        <w:jc w:val="center"/>
        <w:rPr>
          <w:rFonts w:ascii="Times New Roman" w:hAnsi="Times New Roman" w:eastAsia="黑体"/>
          <w:b w:val="0"/>
          <w:color w:val="auto"/>
        </w:rPr>
      </w:pPr>
      <w:r>
        <w:rPr>
          <w:rFonts w:ascii="Times New Roman" w:hAnsi="Times New Roman"/>
          <w:color w:val="auto"/>
          <w:kern w:val="0"/>
          <w:szCs w:val="21"/>
        </w:rPr>
        <w:br w:type="page"/>
      </w:r>
      <w:bookmarkEnd w:id="41"/>
      <w:bookmarkEnd w:id="42"/>
      <w:bookmarkEnd w:id="43"/>
      <w:bookmarkStart w:id="44" w:name="_Toc460226993"/>
      <w:bookmarkStart w:id="45" w:name="_Toc421916979"/>
      <w:bookmarkStart w:id="46" w:name="_Toc460226724"/>
      <w:bookmarkStart w:id="47" w:name="_Toc460660066"/>
      <w:bookmarkStart w:id="48" w:name="_Toc17143"/>
      <w:bookmarkStart w:id="49" w:name="_Toc28437"/>
      <w:bookmarkStart w:id="50" w:name="_Toc7853"/>
      <w:bookmarkStart w:id="51" w:name="_Toc11078142"/>
      <w:r>
        <w:rPr>
          <w:rFonts w:ascii="Times New Roman" w:hAnsi="Times New Roman" w:eastAsia="黑体"/>
          <w:b w:val="0"/>
          <w:bCs w:val="0"/>
          <w:color w:val="auto"/>
          <w:sz w:val="28"/>
          <w:szCs w:val="28"/>
        </w:rPr>
        <w:t xml:space="preserve">附录5  </w:t>
      </w:r>
      <w:bookmarkEnd w:id="44"/>
      <w:bookmarkEnd w:id="45"/>
      <w:bookmarkEnd w:id="46"/>
      <w:bookmarkEnd w:id="47"/>
      <w:r>
        <w:rPr>
          <w:rFonts w:ascii="Times New Roman" w:hAnsi="Times New Roman" w:eastAsia="黑体"/>
          <w:b w:val="0"/>
          <w:bCs w:val="0"/>
          <w:color w:val="auto"/>
          <w:sz w:val="28"/>
          <w:szCs w:val="28"/>
        </w:rPr>
        <w:t>资格审查条件（其他要求）</w:t>
      </w:r>
      <w:bookmarkEnd w:id="48"/>
      <w:bookmarkEnd w:id="49"/>
      <w:bookmarkEnd w:id="50"/>
      <w:bookmarkEnd w:id="51"/>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eastAsia="宋体"/>
                <w:bCs/>
                <w:snapToGrid w:val="0"/>
                <w:color w:val="auto"/>
                <w:kern w:val="0"/>
                <w:szCs w:val="21"/>
                <w:lang w:val="en-US" w:eastAsia="zh-CN"/>
              </w:rPr>
            </w:pPr>
            <w:r>
              <w:rPr>
                <w:rFonts w:hint="eastAsia"/>
                <w:bCs/>
                <w:snapToGrid w:val="0"/>
                <w:color w:val="auto"/>
                <w:kern w:val="0"/>
                <w:szCs w:val="21"/>
                <w:lang w:val="en-US" w:eastAsia="zh-CN"/>
              </w:rPr>
              <w:t>/</w:t>
            </w:r>
          </w:p>
          <w:p>
            <w:pPr>
              <w:spacing w:line="500" w:lineRule="exact"/>
              <w:rPr>
                <w:bCs/>
                <w:color w:val="auto"/>
                <w:szCs w:val="21"/>
              </w:rPr>
            </w:pPr>
          </w:p>
        </w:tc>
      </w:tr>
    </w:tbl>
    <w:p>
      <w:pPr>
        <w:pStyle w:val="2"/>
        <w:spacing w:before="0" w:after="0" w:line="500" w:lineRule="exact"/>
        <w:rPr>
          <w:rFonts w:ascii="Times New Roman" w:hAnsi="Times New Roman" w:eastAsia="黑体"/>
          <w:b w:val="0"/>
          <w:color w:val="auto"/>
        </w:rPr>
      </w:pPr>
      <w:bookmarkStart w:id="52" w:name="_Toc460226994"/>
      <w:bookmarkStart w:id="53" w:name="_Toc283798422"/>
      <w:bookmarkStart w:id="54" w:name="_Toc460226725"/>
      <w:bookmarkStart w:id="55" w:name="_Toc460660067"/>
      <w:bookmarkStart w:id="56" w:name="_Toc15656409"/>
      <w:r>
        <w:rPr>
          <w:rFonts w:ascii="Times New Roman" w:hAnsi="Times New Roman"/>
          <w:color w:val="auto"/>
        </w:rPr>
        <w:br w:type="page"/>
      </w:r>
      <w:bookmarkEnd w:id="18"/>
      <w:bookmarkEnd w:id="52"/>
      <w:bookmarkEnd w:id="53"/>
      <w:bookmarkEnd w:id="54"/>
      <w:bookmarkEnd w:id="55"/>
      <w:bookmarkEnd w:id="56"/>
      <w:bookmarkStart w:id="57" w:name="_Toc152042305"/>
      <w:bookmarkStart w:id="58" w:name="_Toc152045529"/>
      <w:bookmarkStart w:id="59" w:name="_Toc1583"/>
      <w:bookmarkStart w:id="60" w:name="_Toc11558"/>
      <w:bookmarkStart w:id="61" w:name="_Toc14931"/>
      <w:bookmarkStart w:id="62" w:name="_Toc179632546"/>
      <w:bookmarkStart w:id="63" w:name="_Toc144974497"/>
      <w:r>
        <w:rPr>
          <w:rFonts w:ascii="Times New Roman" w:hAnsi="Times New Roman" w:eastAsia="黑体"/>
          <w:b w:val="0"/>
          <w:color w:val="auto"/>
          <w:sz w:val="28"/>
          <w:szCs w:val="28"/>
        </w:rPr>
        <w:t>1. 总则</w:t>
      </w:r>
      <w:bookmarkEnd w:id="57"/>
      <w:bookmarkEnd w:id="58"/>
      <w:bookmarkEnd w:id="59"/>
      <w:bookmarkEnd w:id="60"/>
      <w:bookmarkEnd w:id="61"/>
      <w:bookmarkEnd w:id="62"/>
      <w:bookmarkEnd w:id="63"/>
    </w:p>
    <w:p>
      <w:pPr>
        <w:pStyle w:val="4"/>
        <w:spacing w:before="0" w:after="0" w:line="500" w:lineRule="exact"/>
        <w:rPr>
          <w:rFonts w:ascii="Times New Roman" w:hAnsi="Times New Roman"/>
          <w:snapToGrid w:val="0"/>
          <w:color w:val="auto"/>
          <w:shd w:val="clear" w:color="auto" w:fill="FFFFFF"/>
          <w:lang w:val="zh-CN"/>
        </w:rPr>
      </w:pPr>
      <w:bookmarkStart w:id="64" w:name="_Toc144974498"/>
      <w:bookmarkStart w:id="65" w:name="_Toc179632547"/>
      <w:bookmarkStart w:id="66" w:name="_Toc152042306"/>
      <w:bookmarkStart w:id="67" w:name="_Toc152045530"/>
      <w:r>
        <w:rPr>
          <w:rFonts w:ascii="Times New Roman" w:hAnsi="Times New Roman"/>
          <w:snapToGrid w:val="0"/>
          <w:color w:val="auto"/>
          <w:shd w:val="clear" w:color="auto" w:fill="FFFFFF"/>
          <w:lang w:val="zh-CN"/>
        </w:rPr>
        <w:t>1.1 项目概况</w:t>
      </w:r>
      <w:bookmarkEnd w:id="64"/>
      <w:bookmarkEnd w:id="65"/>
      <w:bookmarkEnd w:id="66"/>
      <w:bookmarkEnd w:id="67"/>
    </w:p>
    <w:p>
      <w:pPr>
        <w:spacing w:line="500" w:lineRule="exact"/>
        <w:ind w:firstLine="420" w:firstLineChars="200"/>
        <w:rPr>
          <w:color w:val="auto"/>
        </w:rPr>
      </w:pPr>
      <w:r>
        <w:rPr>
          <w:color w:val="auto"/>
        </w:rPr>
        <w:t>1.1</w:t>
      </w:r>
      <w:r>
        <w:rPr>
          <w:rFonts w:ascii="Times New Roman" w:hAnsi="Times New Roman" w:eastAsia="宋体" w:cs="Times New Roman"/>
          <w:color w:val="auto"/>
        </w:rPr>
        <w:t>.1根据《</w:t>
      </w:r>
      <w:r>
        <w:rPr>
          <w:rFonts w:hint="eastAsia" w:cs="Times New Roman"/>
          <w:color w:val="auto"/>
          <w:lang w:val="en-US" w:eastAsia="zh-CN"/>
        </w:rPr>
        <w:t>庐江县文旅投资</w:t>
      </w:r>
      <w:r>
        <w:rPr>
          <w:rFonts w:ascii="Times New Roman" w:hAnsi="Times New Roman" w:eastAsia="宋体" w:cs="Times New Roman"/>
          <w:color w:val="auto"/>
        </w:rPr>
        <w:t>有限公司招标采购管理办法》，参照《中华人民共和国招标投标法》《中华人民共和国招标投标法实施条例》等有关法律、法规和规章的规定，本招标项目已具备招标条件，现对本标段货物采</w:t>
      </w:r>
      <w:r>
        <w:rPr>
          <w:color w:val="auto"/>
        </w:rPr>
        <w:t>购（安装）进行招标。</w:t>
      </w:r>
    </w:p>
    <w:p>
      <w:pPr>
        <w:spacing w:line="500" w:lineRule="exact"/>
        <w:ind w:firstLine="420" w:firstLineChars="200"/>
        <w:rPr>
          <w:color w:val="auto"/>
        </w:rPr>
      </w:pPr>
      <w:r>
        <w:rPr>
          <w:color w:val="auto"/>
        </w:rPr>
        <w:t>1.1.2 本招标项目招标人：见投标人须知前附表。</w:t>
      </w:r>
    </w:p>
    <w:p>
      <w:pPr>
        <w:spacing w:line="500" w:lineRule="exact"/>
        <w:ind w:firstLine="420" w:firstLineChars="200"/>
        <w:rPr>
          <w:color w:val="auto"/>
        </w:rPr>
      </w:pPr>
      <w:r>
        <w:rPr>
          <w:color w:val="auto"/>
        </w:rPr>
        <w:t>1.1.</w:t>
      </w:r>
      <w:r>
        <w:rPr>
          <w:rFonts w:hint="eastAsia"/>
          <w:color w:val="auto"/>
        </w:rPr>
        <w:t>3</w:t>
      </w:r>
      <w:r>
        <w:rPr>
          <w:color w:val="auto"/>
        </w:rPr>
        <w:t>本招标项目名称：见投标人须知前附表。</w:t>
      </w:r>
    </w:p>
    <w:p>
      <w:pPr>
        <w:spacing w:line="500" w:lineRule="exact"/>
        <w:ind w:firstLine="420" w:firstLineChars="200"/>
        <w:rPr>
          <w:color w:val="auto"/>
        </w:rPr>
      </w:pPr>
      <w:r>
        <w:rPr>
          <w:color w:val="auto"/>
        </w:rPr>
        <w:t>1.1.</w:t>
      </w:r>
      <w:r>
        <w:rPr>
          <w:rFonts w:hint="eastAsia"/>
          <w:color w:val="auto"/>
        </w:rPr>
        <w:t>4</w:t>
      </w:r>
      <w:r>
        <w:rPr>
          <w:color w:val="auto"/>
        </w:rPr>
        <w:t>本招标项目地点：见投标人须知前附表。</w:t>
      </w:r>
    </w:p>
    <w:p>
      <w:pPr>
        <w:spacing w:line="500" w:lineRule="exact"/>
        <w:ind w:firstLine="420" w:firstLineChars="200"/>
        <w:rPr>
          <w:color w:val="auto"/>
        </w:rPr>
      </w:pPr>
      <w:r>
        <w:rPr>
          <w:color w:val="auto"/>
        </w:rPr>
        <w:t>1.1.</w:t>
      </w:r>
      <w:r>
        <w:rPr>
          <w:rFonts w:hint="eastAsia"/>
          <w:color w:val="auto"/>
        </w:rPr>
        <w:t>5</w:t>
      </w:r>
      <w:r>
        <w:rPr>
          <w:color w:val="auto"/>
        </w:rPr>
        <w:t>本招标项目编号：见投标人须知前附表。</w:t>
      </w:r>
    </w:p>
    <w:p>
      <w:pPr>
        <w:spacing w:line="500" w:lineRule="exact"/>
        <w:ind w:firstLine="420" w:firstLineChars="200"/>
        <w:rPr>
          <w:color w:val="auto"/>
        </w:rPr>
      </w:pPr>
      <w:r>
        <w:rPr>
          <w:color w:val="auto"/>
        </w:rPr>
        <w:t>1.1.</w:t>
      </w:r>
      <w:r>
        <w:rPr>
          <w:rFonts w:hint="eastAsia"/>
          <w:color w:val="auto"/>
        </w:rPr>
        <w:t>6</w:t>
      </w:r>
      <w:r>
        <w:rPr>
          <w:color w:val="auto"/>
        </w:rPr>
        <w:t>本招标项目性质：见投标人须知前附表。</w:t>
      </w:r>
    </w:p>
    <w:p>
      <w:pPr>
        <w:pStyle w:val="4"/>
        <w:spacing w:before="0" w:after="0" w:line="500" w:lineRule="exact"/>
        <w:rPr>
          <w:rFonts w:ascii="Times New Roman" w:hAnsi="Times New Roman"/>
          <w:color w:val="auto"/>
        </w:rPr>
      </w:pPr>
      <w:bookmarkStart w:id="68" w:name="_Toc152042307"/>
      <w:bookmarkStart w:id="69" w:name="_Toc144974499"/>
      <w:bookmarkStart w:id="70" w:name="_Toc179632548"/>
      <w:bookmarkStart w:id="71" w:name="_Toc152045531"/>
      <w:r>
        <w:rPr>
          <w:rFonts w:ascii="Times New Roman" w:hAnsi="Times New Roman"/>
          <w:color w:val="auto"/>
        </w:rPr>
        <w:t>1.2 资金来源和落实情况</w:t>
      </w:r>
      <w:bookmarkEnd w:id="68"/>
      <w:bookmarkEnd w:id="69"/>
      <w:bookmarkEnd w:id="70"/>
      <w:bookmarkEnd w:id="71"/>
    </w:p>
    <w:p>
      <w:pPr>
        <w:spacing w:line="500" w:lineRule="exact"/>
        <w:ind w:firstLine="420" w:firstLineChars="200"/>
        <w:rPr>
          <w:color w:val="auto"/>
        </w:rPr>
      </w:pPr>
      <w:r>
        <w:rPr>
          <w:color w:val="auto"/>
        </w:rPr>
        <w:t>1.2.1 本招标项目的资金来源：见投标人须知前附表。</w:t>
      </w:r>
    </w:p>
    <w:p>
      <w:pPr>
        <w:spacing w:line="500" w:lineRule="exact"/>
        <w:ind w:firstLine="420" w:firstLineChars="200"/>
        <w:rPr>
          <w:color w:val="auto"/>
        </w:rPr>
      </w:pPr>
      <w:r>
        <w:rPr>
          <w:color w:val="auto"/>
        </w:rPr>
        <w:t>1.2.2 本招标项目的资金落实情况：见投标人须知前附表。</w:t>
      </w:r>
    </w:p>
    <w:p>
      <w:pPr>
        <w:pStyle w:val="4"/>
        <w:spacing w:before="0" w:after="0" w:line="500" w:lineRule="exact"/>
        <w:rPr>
          <w:rFonts w:ascii="Times New Roman" w:hAnsi="Times New Roman"/>
          <w:color w:val="auto"/>
        </w:rPr>
      </w:pPr>
      <w:bookmarkStart w:id="72" w:name="_Toc144974500"/>
      <w:bookmarkStart w:id="73" w:name="_Toc152045532"/>
      <w:bookmarkStart w:id="74" w:name="_Toc179632549"/>
      <w:bookmarkStart w:id="75" w:name="_Toc152042308"/>
      <w:r>
        <w:rPr>
          <w:rFonts w:ascii="Times New Roman" w:hAnsi="Times New Roman"/>
          <w:color w:val="auto"/>
        </w:rPr>
        <w:t>1.3 招标范围、交货及安装周期、交货及安装地点和技术性能指标</w:t>
      </w:r>
      <w:bookmarkEnd w:id="72"/>
      <w:bookmarkEnd w:id="73"/>
      <w:bookmarkEnd w:id="74"/>
      <w:bookmarkEnd w:id="75"/>
    </w:p>
    <w:p>
      <w:pPr>
        <w:spacing w:line="500" w:lineRule="exact"/>
        <w:ind w:firstLine="420" w:firstLineChars="200"/>
        <w:rPr>
          <w:color w:val="auto"/>
        </w:rPr>
      </w:pPr>
      <w:r>
        <w:rPr>
          <w:color w:val="auto"/>
        </w:rPr>
        <w:t>1.3.1 本次招标范围：见投标人须知前附表。</w:t>
      </w:r>
    </w:p>
    <w:p>
      <w:pPr>
        <w:spacing w:line="500" w:lineRule="exact"/>
        <w:ind w:firstLine="420" w:firstLineChars="200"/>
        <w:rPr>
          <w:color w:val="auto"/>
        </w:rPr>
      </w:pPr>
      <w:r>
        <w:rPr>
          <w:color w:val="auto"/>
        </w:rPr>
        <w:t>1.3.2交货（安装）周期：见投标人须知前附表。</w:t>
      </w:r>
    </w:p>
    <w:p>
      <w:pPr>
        <w:spacing w:line="500" w:lineRule="exact"/>
        <w:ind w:firstLine="420" w:firstLineChars="200"/>
        <w:rPr>
          <w:color w:val="auto"/>
        </w:rPr>
      </w:pPr>
      <w:r>
        <w:rPr>
          <w:color w:val="auto"/>
        </w:rPr>
        <w:t>1.3.3 交货（安装）地点：见投标人须知前附表。</w:t>
      </w:r>
    </w:p>
    <w:p>
      <w:pPr>
        <w:spacing w:line="500" w:lineRule="exact"/>
        <w:ind w:firstLine="420" w:firstLineChars="200"/>
        <w:rPr>
          <w:color w:val="auto"/>
        </w:rPr>
      </w:pPr>
      <w:r>
        <w:rPr>
          <w:color w:val="auto"/>
        </w:rPr>
        <w:t>1.3.4 技术性能指标：见投标人须知前附表。</w:t>
      </w:r>
    </w:p>
    <w:p>
      <w:pPr>
        <w:pStyle w:val="4"/>
        <w:spacing w:before="0" w:after="0" w:line="500" w:lineRule="exact"/>
        <w:rPr>
          <w:rFonts w:ascii="Times New Roman" w:hAnsi="Times New Roman"/>
          <w:color w:val="auto"/>
        </w:rPr>
      </w:pPr>
      <w:bookmarkStart w:id="76" w:name="_Toc152045534"/>
      <w:bookmarkStart w:id="77" w:name="_Toc152042310"/>
      <w:bookmarkStart w:id="78" w:name="_Toc179632551"/>
      <w:bookmarkStart w:id="79" w:name="_Toc144974502"/>
      <w:r>
        <w:rPr>
          <w:rFonts w:ascii="Times New Roman" w:hAnsi="Times New Roman"/>
          <w:color w:val="auto"/>
        </w:rPr>
        <w:t>1.4 投标人资格要求</w:t>
      </w:r>
      <w:bookmarkEnd w:id="76"/>
      <w:bookmarkEnd w:id="77"/>
      <w:bookmarkEnd w:id="78"/>
      <w:bookmarkEnd w:id="79"/>
    </w:p>
    <w:p>
      <w:pPr>
        <w:spacing w:line="500" w:lineRule="exact"/>
        <w:ind w:firstLine="420" w:firstLineChars="200"/>
        <w:rPr>
          <w:color w:val="auto"/>
        </w:rPr>
      </w:pPr>
      <w:r>
        <w:rPr>
          <w:color w:val="auto"/>
        </w:rPr>
        <w:t>1.4.1投标人应具备承担本招标项目的资质条件、能力和信誉：</w:t>
      </w:r>
    </w:p>
    <w:p>
      <w:pPr>
        <w:spacing w:line="500" w:lineRule="exact"/>
        <w:ind w:firstLine="420" w:firstLineChars="200"/>
        <w:rPr>
          <w:color w:val="auto"/>
        </w:rPr>
      </w:pPr>
      <w:r>
        <w:rPr>
          <w:color w:val="auto"/>
        </w:rPr>
        <w:t xml:space="preserve">（1）资质要求：见投标人须知前附表； </w:t>
      </w:r>
    </w:p>
    <w:p>
      <w:pPr>
        <w:spacing w:line="500" w:lineRule="exact"/>
        <w:ind w:firstLine="420" w:firstLineChars="200"/>
        <w:rPr>
          <w:color w:val="auto"/>
        </w:rPr>
      </w:pPr>
      <w:r>
        <w:rPr>
          <w:color w:val="auto"/>
        </w:rPr>
        <w:t>（2）财务要求：见投标人须知前附表；</w:t>
      </w:r>
    </w:p>
    <w:p>
      <w:pPr>
        <w:spacing w:line="500" w:lineRule="exact"/>
        <w:ind w:firstLine="420" w:firstLineChars="200"/>
        <w:rPr>
          <w:color w:val="auto"/>
        </w:rPr>
      </w:pPr>
      <w:r>
        <w:rPr>
          <w:color w:val="auto"/>
        </w:rPr>
        <w:t>（3）业绩要求：见投标人须知前附表；</w:t>
      </w:r>
    </w:p>
    <w:p>
      <w:pPr>
        <w:spacing w:line="500" w:lineRule="exact"/>
        <w:ind w:firstLine="420" w:firstLineChars="200"/>
        <w:rPr>
          <w:color w:val="auto"/>
        </w:rPr>
      </w:pPr>
      <w:r>
        <w:rPr>
          <w:color w:val="auto"/>
        </w:rPr>
        <w:t>（4）信誉要求：见投标人须知前附表；</w:t>
      </w:r>
    </w:p>
    <w:p>
      <w:pPr>
        <w:spacing w:line="500" w:lineRule="exact"/>
        <w:ind w:firstLine="420" w:firstLineChars="200"/>
        <w:rPr>
          <w:color w:val="auto"/>
        </w:rPr>
      </w:pPr>
      <w:r>
        <w:rPr>
          <w:color w:val="auto"/>
        </w:rPr>
        <w:t>（5）其他要求：见投标人须知前附表。</w:t>
      </w:r>
    </w:p>
    <w:p>
      <w:pPr>
        <w:spacing w:line="500" w:lineRule="exact"/>
        <w:ind w:firstLine="420" w:firstLineChars="200"/>
        <w:rPr>
          <w:color w:val="auto"/>
        </w:rPr>
      </w:pPr>
      <w:r>
        <w:rPr>
          <w:color w:val="auto"/>
        </w:rPr>
        <w:t>投标人为代理经销商的，对投标人的资质要求</w:t>
      </w:r>
      <w:r>
        <w:rPr>
          <w:bCs/>
          <w:snapToGrid w:val="0"/>
          <w:color w:val="auto"/>
          <w:kern w:val="0"/>
          <w:szCs w:val="21"/>
        </w:rPr>
        <w:t>可</w:t>
      </w:r>
      <w:r>
        <w:rPr>
          <w:color w:val="auto"/>
        </w:rPr>
        <w:t>包含对制造商的资质要求，对投标人的业绩要求</w:t>
      </w:r>
      <w:r>
        <w:rPr>
          <w:bCs/>
          <w:snapToGrid w:val="0"/>
          <w:color w:val="auto"/>
          <w:kern w:val="0"/>
          <w:szCs w:val="21"/>
        </w:rPr>
        <w:t>可</w:t>
      </w:r>
      <w:r>
        <w:rPr>
          <w:color w:val="auto"/>
        </w:rPr>
        <w:t>包含对投标货物的业绩要求。</w:t>
      </w:r>
    </w:p>
    <w:p>
      <w:pPr>
        <w:spacing w:line="500" w:lineRule="exact"/>
        <w:ind w:firstLine="420" w:firstLineChars="200"/>
        <w:rPr>
          <w:bCs/>
          <w:snapToGrid w:val="0"/>
          <w:color w:val="auto"/>
          <w:kern w:val="0"/>
          <w:szCs w:val="21"/>
        </w:rPr>
      </w:pPr>
      <w:r>
        <w:rPr>
          <w:bCs/>
          <w:snapToGrid w:val="0"/>
          <w:color w:val="auto"/>
          <w:kern w:val="0"/>
          <w:szCs w:val="21"/>
        </w:rPr>
        <w:t>需要提交的相关证明材料见本章第3.5款的规定。</w:t>
      </w:r>
    </w:p>
    <w:p>
      <w:pPr>
        <w:spacing w:line="500" w:lineRule="exact"/>
        <w:ind w:firstLine="420" w:firstLineChars="200"/>
        <w:rPr>
          <w:color w:val="auto"/>
        </w:rPr>
      </w:pPr>
      <w:r>
        <w:rPr>
          <w:color w:val="auto"/>
        </w:rPr>
        <w:t>1.4.2 投标人须知前附表规定接受联合体投标的，</w:t>
      </w:r>
      <w:r>
        <w:rPr>
          <w:bCs/>
          <w:snapToGrid w:val="0"/>
          <w:color w:val="auto"/>
          <w:kern w:val="0"/>
          <w:szCs w:val="21"/>
        </w:rPr>
        <w:t>联合体</w:t>
      </w:r>
      <w:r>
        <w:rPr>
          <w:color w:val="auto"/>
        </w:rPr>
        <w:t>除应符合本章第1.4.1项和投标人须知前附表的要求外，还应遵守以下规定：</w:t>
      </w:r>
    </w:p>
    <w:p>
      <w:pPr>
        <w:spacing w:line="500" w:lineRule="exact"/>
        <w:ind w:firstLine="420" w:firstLineChars="200"/>
        <w:rPr>
          <w:color w:val="auto"/>
        </w:rPr>
      </w:pPr>
      <w:r>
        <w:rPr>
          <w:color w:val="auto"/>
        </w:rPr>
        <w:t>（1）联合体各方应按招标文件提供的格式签订联合体协议书，明确联合体牵头人和各方权利义务</w:t>
      </w:r>
      <w:r>
        <w:rPr>
          <w:bCs/>
          <w:snapToGrid w:val="0"/>
          <w:color w:val="auto"/>
          <w:kern w:val="0"/>
          <w:szCs w:val="21"/>
        </w:rPr>
        <w:t>，并承诺就中标项目向招标人承担连带责任</w:t>
      </w:r>
      <w:r>
        <w:rPr>
          <w:color w:val="auto"/>
        </w:rPr>
        <w:t xml:space="preserve">； </w:t>
      </w:r>
    </w:p>
    <w:p>
      <w:pPr>
        <w:spacing w:line="500" w:lineRule="exact"/>
        <w:ind w:firstLine="420" w:firstLineChars="200"/>
        <w:rPr>
          <w:color w:val="auto"/>
        </w:rPr>
      </w:pPr>
      <w:r>
        <w:rPr>
          <w:color w:val="auto"/>
        </w:rPr>
        <w:t>（2）由同一专业的单位组成的联合体，按照资质等级较低的单位确定资质等级；</w:t>
      </w:r>
    </w:p>
    <w:p>
      <w:pPr>
        <w:spacing w:line="500" w:lineRule="exact"/>
        <w:ind w:firstLine="420" w:firstLineChars="200"/>
        <w:rPr>
          <w:color w:val="auto"/>
        </w:rPr>
      </w:pPr>
      <w:r>
        <w:rPr>
          <w:color w:val="auto"/>
        </w:rPr>
        <w:t>（3）联合体各方不得再以自己名义单独或参加其他联合体在同一标段中投标。</w:t>
      </w:r>
    </w:p>
    <w:p>
      <w:pPr>
        <w:spacing w:line="500" w:lineRule="exact"/>
        <w:ind w:firstLine="420" w:firstLineChars="200"/>
        <w:rPr>
          <w:bCs/>
          <w:snapToGrid w:val="0"/>
          <w:color w:val="auto"/>
          <w:kern w:val="0"/>
          <w:szCs w:val="21"/>
        </w:rPr>
      </w:pPr>
      <w:r>
        <w:rPr>
          <w:bCs/>
          <w:snapToGrid w:val="0"/>
          <w:color w:val="auto"/>
          <w:kern w:val="0"/>
          <w:szCs w:val="21"/>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500" w:lineRule="exact"/>
        <w:ind w:firstLine="420" w:firstLineChars="200"/>
        <w:rPr>
          <w:bCs/>
          <w:snapToGrid w:val="0"/>
          <w:color w:val="auto"/>
          <w:kern w:val="0"/>
          <w:szCs w:val="21"/>
        </w:rPr>
      </w:pPr>
      <w:r>
        <w:rPr>
          <w:bCs/>
          <w:snapToGrid w:val="0"/>
          <w:color w:val="auto"/>
          <w:kern w:val="0"/>
          <w:szCs w:val="21"/>
        </w:rPr>
        <w:t>（5）尽管委任了联合体牵头人，但联合体各成员在投标、签约与履行合同过程中，仍负有连带的和各自的法律责任。</w:t>
      </w:r>
    </w:p>
    <w:p>
      <w:pPr>
        <w:spacing w:line="500" w:lineRule="exact"/>
        <w:ind w:firstLine="420" w:firstLineChars="200"/>
        <w:rPr>
          <w:snapToGrid w:val="0"/>
          <w:color w:val="auto"/>
          <w:kern w:val="0"/>
          <w:szCs w:val="21"/>
        </w:rPr>
      </w:pPr>
      <w:r>
        <w:rPr>
          <w:snapToGrid w:val="0"/>
          <w:color w:val="auto"/>
          <w:kern w:val="0"/>
          <w:szCs w:val="21"/>
          <w:shd w:val="clear" w:color="auto" w:fill="FFFFFF"/>
        </w:rPr>
        <w:t xml:space="preserve">1.4.3 </w:t>
      </w:r>
      <w:r>
        <w:rPr>
          <w:snapToGrid w:val="0"/>
          <w:color w:val="auto"/>
          <w:kern w:val="0"/>
          <w:szCs w:val="21"/>
          <w:shd w:val="clear" w:color="auto" w:fill="FFFFFF"/>
          <w:lang w:val="zh-CN"/>
        </w:rPr>
        <w:t>投标人（包括联合体各成员</w:t>
      </w:r>
      <w:r>
        <w:rPr>
          <w:snapToGrid w:val="0"/>
          <w:color w:val="auto"/>
          <w:kern w:val="0"/>
          <w:szCs w:val="21"/>
          <w:shd w:val="clear" w:color="auto" w:fill="FFFFFF"/>
        </w:rPr>
        <w:t>）</w:t>
      </w:r>
      <w:r>
        <w:rPr>
          <w:snapToGrid w:val="0"/>
          <w:color w:val="auto"/>
          <w:kern w:val="0"/>
          <w:szCs w:val="21"/>
          <w:shd w:val="clear" w:color="auto" w:fill="FFFFFF"/>
          <w:lang w:val="zh-CN"/>
        </w:rPr>
        <w:t>不得与本标段相关单位存在下列关联关系：</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（1）为招标人不具有独立法人资格的附属机构（单位</w:t>
      </w:r>
      <w:r>
        <w:rPr>
          <w:snapToGrid w:val="0"/>
          <w:color w:val="auto"/>
          <w:kern w:val="0"/>
          <w:szCs w:val="21"/>
          <w:shd w:val="clear" w:color="auto" w:fill="FFFFFF"/>
        </w:rPr>
        <w:t>）；</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（2）与招标人存在利害关系且可能影响招标公正性；</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（3）与本标段的其他投标人同为一个单位负责人；</w:t>
      </w:r>
    </w:p>
    <w:p>
      <w:pPr>
        <w:tabs>
          <w:tab w:val="left" w:pos="1046"/>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（4）与本标段的其他投标人存在控股、管理关系；</w:t>
      </w:r>
    </w:p>
    <w:p>
      <w:pPr>
        <w:spacing w:line="500" w:lineRule="exact"/>
        <w:ind w:firstLine="420" w:firstLineChars="200"/>
        <w:rPr>
          <w:color w:val="auto"/>
          <w:szCs w:val="21"/>
        </w:rPr>
      </w:pPr>
      <w:r>
        <w:rPr>
          <w:color w:val="auto"/>
          <w:szCs w:val="21"/>
        </w:rPr>
        <w:t xml:space="preserve">（5）为本标段前期准备提供过设计、编制技术规范和其他文件的咨询服务； </w:t>
      </w:r>
    </w:p>
    <w:p>
      <w:pPr>
        <w:spacing w:line="500" w:lineRule="exact"/>
        <w:ind w:firstLine="420" w:firstLineChars="200"/>
        <w:rPr>
          <w:snapToGrid w:val="0"/>
          <w:color w:val="auto"/>
          <w:kern w:val="0"/>
          <w:szCs w:val="21"/>
        </w:rPr>
      </w:pPr>
      <w:r>
        <w:rPr>
          <w:snapToGrid w:val="0"/>
          <w:color w:val="auto"/>
          <w:kern w:val="0"/>
          <w:szCs w:val="21"/>
          <w:shd w:val="clear" w:color="auto" w:fill="FFFFFF"/>
          <w:lang w:val="zh-CN"/>
        </w:rPr>
        <w:t>（6）为本标段的代建人；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（7）与本标段的监理人或代建人同为一个法定代表人；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（8）与本标段的监理人或代建人存在控股或参股关系；</w:t>
      </w:r>
    </w:p>
    <w:p>
      <w:pPr>
        <w:tabs>
          <w:tab w:val="left" w:pos="1169"/>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（9）法律法规或投标人须知前附表规定的其他情形。</w:t>
      </w:r>
    </w:p>
    <w:p>
      <w:pPr>
        <w:tabs>
          <w:tab w:val="left" w:pos="3828"/>
        </w:tabs>
        <w:spacing w:line="500" w:lineRule="exact"/>
        <w:ind w:firstLine="420" w:firstLineChars="200"/>
        <w:rPr>
          <w:snapToGrid w:val="0"/>
          <w:color w:val="auto"/>
          <w:kern w:val="0"/>
          <w:szCs w:val="21"/>
        </w:rPr>
      </w:pPr>
      <w:bookmarkStart w:id="80" w:name="_Toc152045535"/>
      <w:bookmarkStart w:id="81" w:name="_Toc144974503"/>
      <w:bookmarkStart w:id="82" w:name="_Toc179632552"/>
      <w:bookmarkStart w:id="83" w:name="_Toc152042311"/>
      <w:r>
        <w:rPr>
          <w:bCs/>
          <w:snapToGrid w:val="0"/>
          <w:color w:val="auto"/>
          <w:kern w:val="0"/>
          <w:szCs w:val="21"/>
        </w:rPr>
        <w:t>1.4.4 投标人（包括联合体各成员）不得存在下列不良状况或不良信用记录：</w:t>
      </w:r>
      <w:r>
        <w:rPr>
          <w:snapToGrid w:val="0"/>
          <w:color w:val="auto"/>
          <w:kern w:val="0"/>
          <w:szCs w:val="21"/>
        </w:rPr>
        <w:t xml:space="preserve"> </w:t>
      </w:r>
    </w:p>
    <w:p>
      <w:pPr>
        <w:tabs>
          <w:tab w:val="left" w:pos="1011"/>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w:t>
      </w:r>
      <w:r>
        <w:rPr>
          <w:bCs/>
          <w:snapToGrid w:val="0"/>
          <w:color w:val="auto"/>
          <w:kern w:val="0"/>
          <w:szCs w:val="21"/>
        </w:rPr>
        <w:t>被设区的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r>
        <w:rPr>
          <w:snapToGrid w:val="0"/>
          <w:color w:val="auto"/>
          <w:kern w:val="0"/>
          <w:szCs w:val="21"/>
        </w:rPr>
        <w:t xml:space="preserve">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（2）被责令停产停业，暂扣或者吊销许可证，暂扣或者吊销执照；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（3）进入清算程序，或被宣告破产，或其他丧失履约能力的情形；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（4）</w:t>
      </w:r>
      <w:r>
        <w:rPr>
          <w:snapToGrid w:val="0"/>
          <w:color w:val="auto"/>
          <w:kern w:val="0"/>
          <w:szCs w:val="21"/>
          <w:shd w:val="clear" w:color="auto" w:fill="FFFFFF"/>
          <w:lang w:val="zh-CN"/>
        </w:rPr>
        <w:t>在近三年内（自投标截止之日向前追溯3年，下同）发生重大产品质量问题（以相关行业主管部门的行政处罚决定或司法机关出具的有关法律文书为准），但前述行政处罚已完成信用修复的，自行政处罚作出机关或信用修复主管部门同意修复之日起满一年的，不受三年期限限制；</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（5）在国家企业信用信息公示系统（http://www.gsxt.gov.cn/）中被列入严重违法失信企业名单； </w:t>
      </w:r>
    </w:p>
    <w:p>
      <w:pPr>
        <w:tabs>
          <w:tab w:val="left" w:pos="1009"/>
        </w:tabs>
        <w:spacing w:line="500" w:lineRule="exact"/>
        <w:ind w:firstLine="420" w:firstLineChars="200"/>
        <w:rPr>
          <w:snapToGrid w:val="0"/>
          <w:color w:val="auto"/>
          <w:kern w:val="0"/>
          <w:szCs w:val="21"/>
        </w:rPr>
      </w:pPr>
      <w:r>
        <w:rPr>
          <w:bCs/>
          <w:snapToGrid w:val="0"/>
          <w:color w:val="auto"/>
          <w:kern w:val="0"/>
          <w:szCs w:val="21"/>
        </w:rPr>
        <w:t>（6）在“信用中国”网站（http://www.creditchina.gov.cn/）中被列入失信被执行人名单；</w:t>
      </w:r>
      <w:r>
        <w:rPr>
          <w:snapToGrid w:val="0"/>
          <w:color w:val="auto"/>
          <w:kern w:val="0"/>
          <w:szCs w:val="21"/>
        </w:rPr>
        <w:t xml:space="preserve"> </w:t>
      </w:r>
    </w:p>
    <w:p>
      <w:pPr>
        <w:tabs>
          <w:tab w:val="left" w:pos="3828"/>
        </w:tabs>
        <w:spacing w:line="500" w:lineRule="exact"/>
        <w:ind w:firstLine="420" w:firstLineChars="200"/>
        <w:rPr>
          <w:bCs/>
          <w:snapToGrid w:val="0"/>
          <w:color w:val="auto"/>
          <w:kern w:val="0"/>
          <w:szCs w:val="21"/>
        </w:rPr>
      </w:pPr>
      <w:r>
        <w:rPr>
          <w:bCs/>
          <w:snapToGrid w:val="0"/>
          <w:color w:val="auto"/>
          <w:kern w:val="0"/>
          <w:szCs w:val="21"/>
        </w:rPr>
        <w:t>（7）在“信用中国”网站（http://www.creditchina.gov.cn/）中被列入重大税收违法失信主体名单；</w:t>
      </w:r>
    </w:p>
    <w:p>
      <w:pPr>
        <w:tabs>
          <w:tab w:val="left" w:pos="1014"/>
        </w:tabs>
        <w:spacing w:line="500" w:lineRule="exact"/>
        <w:ind w:firstLine="420" w:firstLineChars="200"/>
        <w:rPr>
          <w:bCs/>
          <w:snapToGrid w:val="0"/>
          <w:color w:val="auto"/>
          <w:kern w:val="0"/>
          <w:szCs w:val="21"/>
        </w:rPr>
      </w:pPr>
      <w:r>
        <w:rPr>
          <w:bCs/>
          <w:snapToGrid w:val="0"/>
          <w:color w:val="auto"/>
          <w:kern w:val="0"/>
          <w:szCs w:val="21"/>
        </w:rPr>
        <w:t>（8）在近三年内投标人或其法定代表人（单位负责人）有行贿犯罪行为的；</w:t>
      </w:r>
      <w:r>
        <w:rPr>
          <w:color w:val="auto"/>
        </w:rPr>
        <w:t xml:space="preserve"> </w:t>
      </w:r>
    </w:p>
    <w:p>
      <w:pPr>
        <w:tabs>
          <w:tab w:val="left" w:pos="1014"/>
        </w:tabs>
        <w:spacing w:line="500" w:lineRule="exact"/>
        <w:ind w:firstLine="420" w:firstLineChars="200"/>
        <w:rPr>
          <w:rFonts w:eastAsia="楷体"/>
          <w:bCs/>
          <w:snapToGrid w:val="0"/>
          <w:color w:val="auto"/>
          <w:kern w:val="0"/>
          <w:szCs w:val="21"/>
        </w:rPr>
      </w:pPr>
      <w:r>
        <w:rPr>
          <w:color w:val="auto"/>
        </w:rPr>
        <w:t>（9）</w:t>
      </w:r>
      <w:r>
        <w:rPr>
          <w:rFonts w:hint="eastAsia"/>
          <w:bCs/>
          <w:snapToGrid w:val="0"/>
          <w:color w:val="auto"/>
          <w:kern w:val="0"/>
          <w:szCs w:val="21"/>
          <w:lang w:val="en-US" w:eastAsia="zh-CN"/>
        </w:rPr>
        <w:t>投标人近二年未被列入合肥文旅博览集团有限公司信用评价体系黑名单</w:t>
      </w:r>
      <w:r>
        <w:rPr>
          <w:color w:val="auto"/>
        </w:rPr>
        <w:t>。</w:t>
      </w:r>
    </w:p>
    <w:p>
      <w:pPr>
        <w:pStyle w:val="4"/>
        <w:spacing w:before="0" w:after="0" w:line="500" w:lineRule="exact"/>
        <w:rPr>
          <w:rFonts w:ascii="Times New Roman" w:hAnsi="Times New Roman"/>
          <w:color w:val="auto"/>
        </w:rPr>
      </w:pPr>
      <w:r>
        <w:rPr>
          <w:rFonts w:ascii="Times New Roman" w:hAnsi="Times New Roman"/>
          <w:color w:val="auto"/>
        </w:rPr>
        <w:t>1.5 费用承担</w:t>
      </w:r>
      <w:bookmarkEnd w:id="80"/>
      <w:bookmarkEnd w:id="81"/>
      <w:bookmarkEnd w:id="82"/>
      <w:bookmarkEnd w:id="83"/>
    </w:p>
    <w:p>
      <w:pPr>
        <w:spacing w:line="500" w:lineRule="exact"/>
        <w:ind w:firstLine="420" w:firstLineChars="200"/>
        <w:rPr>
          <w:color w:val="auto"/>
        </w:rPr>
      </w:pPr>
      <w:r>
        <w:rPr>
          <w:color w:val="auto"/>
        </w:rPr>
        <w:t>投标人准备和参加投标活动发生的费用自理。</w:t>
      </w:r>
    </w:p>
    <w:p>
      <w:pPr>
        <w:pStyle w:val="4"/>
        <w:spacing w:before="0" w:after="0" w:line="500" w:lineRule="exact"/>
        <w:rPr>
          <w:rFonts w:ascii="Times New Roman" w:hAnsi="Times New Roman"/>
          <w:color w:val="auto"/>
        </w:rPr>
      </w:pPr>
      <w:bookmarkStart w:id="84" w:name="_Toc152042312"/>
      <w:bookmarkStart w:id="85" w:name="_Toc179632553"/>
      <w:bookmarkStart w:id="86" w:name="_Toc144974504"/>
      <w:bookmarkStart w:id="87" w:name="_Toc152045536"/>
      <w:r>
        <w:rPr>
          <w:rFonts w:ascii="Times New Roman" w:hAnsi="Times New Roman"/>
          <w:color w:val="auto"/>
        </w:rPr>
        <w:t>1.6 保密</w:t>
      </w:r>
      <w:bookmarkEnd w:id="84"/>
      <w:bookmarkEnd w:id="85"/>
      <w:bookmarkEnd w:id="86"/>
      <w:bookmarkEnd w:id="87"/>
    </w:p>
    <w:p>
      <w:pPr>
        <w:spacing w:line="500" w:lineRule="exact"/>
        <w:ind w:firstLine="420" w:firstLineChars="200"/>
        <w:rPr>
          <w:color w:val="auto"/>
        </w:rPr>
      </w:pPr>
      <w:bookmarkStart w:id="88" w:name="_Toc144974505"/>
      <w:bookmarkStart w:id="89" w:name="_Toc152042313"/>
      <w:bookmarkStart w:id="90" w:name="_Toc152045537"/>
      <w:bookmarkStart w:id="91" w:name="_Toc179632554"/>
      <w:r>
        <w:rPr>
          <w:color w:val="auto"/>
        </w:rPr>
        <w:t>参与招标投标活动的各方应对招标文件和投标文件中的商业和技术等秘密保密，</w:t>
      </w:r>
      <w:r>
        <w:rPr>
          <w:bCs/>
          <w:snapToGrid w:val="0"/>
          <w:color w:val="auto"/>
          <w:kern w:val="0"/>
          <w:szCs w:val="21"/>
        </w:rPr>
        <w:t>否则应承担相应的法律责任</w:t>
      </w:r>
      <w:r>
        <w:rPr>
          <w:color w:val="auto"/>
        </w:rPr>
        <w:t>。</w:t>
      </w:r>
    </w:p>
    <w:p>
      <w:pPr>
        <w:pStyle w:val="4"/>
        <w:spacing w:before="0" w:after="0" w:line="500" w:lineRule="exact"/>
        <w:rPr>
          <w:rFonts w:ascii="Times New Roman" w:hAnsi="Times New Roman"/>
          <w:color w:val="auto"/>
        </w:rPr>
      </w:pPr>
      <w:r>
        <w:rPr>
          <w:rFonts w:ascii="Times New Roman" w:hAnsi="Times New Roman"/>
          <w:color w:val="auto"/>
        </w:rPr>
        <w:t>1.7 语言</w:t>
      </w:r>
      <w:bookmarkEnd w:id="88"/>
      <w:r>
        <w:rPr>
          <w:rFonts w:ascii="Times New Roman" w:hAnsi="Times New Roman"/>
          <w:color w:val="auto"/>
        </w:rPr>
        <w:t>文字</w:t>
      </w:r>
      <w:bookmarkEnd w:id="89"/>
      <w:bookmarkEnd w:id="90"/>
      <w:bookmarkEnd w:id="91"/>
    </w:p>
    <w:p>
      <w:pPr>
        <w:spacing w:line="500" w:lineRule="exact"/>
        <w:ind w:firstLine="420" w:firstLineChars="200"/>
        <w:rPr>
          <w:color w:val="auto"/>
        </w:rPr>
      </w:pPr>
      <w:bookmarkStart w:id="92" w:name="_Toc152045538"/>
      <w:bookmarkStart w:id="93" w:name="_Toc179632555"/>
      <w:bookmarkStart w:id="94" w:name="_Toc144974506"/>
      <w:bookmarkStart w:id="95" w:name="_Toc152042314"/>
      <w:r>
        <w:rPr>
          <w:bCs/>
          <w:snapToGrid w:val="0"/>
          <w:color w:val="auto"/>
          <w:kern w:val="0"/>
          <w:szCs w:val="21"/>
        </w:rPr>
        <w:t>招标投标文件使用的语言文字为中文。专用术语使用外文的，应附有中文注释。</w:t>
      </w:r>
    </w:p>
    <w:p>
      <w:pPr>
        <w:pStyle w:val="4"/>
        <w:spacing w:before="0" w:after="0" w:line="500" w:lineRule="exact"/>
        <w:rPr>
          <w:rFonts w:ascii="Times New Roman" w:hAnsi="Times New Roman"/>
          <w:color w:val="auto"/>
        </w:rPr>
      </w:pPr>
      <w:r>
        <w:rPr>
          <w:rFonts w:ascii="Times New Roman" w:hAnsi="Times New Roman"/>
          <w:color w:val="auto"/>
        </w:rPr>
        <w:t>1.8 计量单位</w:t>
      </w:r>
      <w:bookmarkEnd w:id="92"/>
      <w:bookmarkEnd w:id="93"/>
      <w:bookmarkEnd w:id="94"/>
      <w:bookmarkEnd w:id="95"/>
    </w:p>
    <w:p>
      <w:pPr>
        <w:spacing w:line="500" w:lineRule="exact"/>
        <w:ind w:firstLine="420" w:firstLineChars="200"/>
        <w:rPr>
          <w:color w:val="auto"/>
        </w:rPr>
      </w:pPr>
      <w:r>
        <w:rPr>
          <w:color w:val="auto"/>
        </w:rPr>
        <w:t>所有计量均采用中华人民共和国法定计量单位。</w:t>
      </w:r>
    </w:p>
    <w:p>
      <w:pPr>
        <w:pStyle w:val="4"/>
        <w:spacing w:before="0" w:after="0" w:line="500" w:lineRule="exact"/>
        <w:rPr>
          <w:rFonts w:ascii="Times New Roman" w:hAnsi="Times New Roman"/>
          <w:color w:val="auto"/>
        </w:rPr>
      </w:pPr>
      <w:bookmarkStart w:id="96" w:name="_Toc152042315"/>
      <w:bookmarkStart w:id="97" w:name="_Toc144974507"/>
      <w:bookmarkStart w:id="98" w:name="_Toc152045539"/>
      <w:bookmarkStart w:id="99" w:name="_Toc179632556"/>
      <w:r>
        <w:rPr>
          <w:rFonts w:ascii="Times New Roman" w:hAnsi="Times New Roman"/>
          <w:color w:val="auto"/>
        </w:rPr>
        <w:t>1.9 踏勘现场</w:t>
      </w:r>
      <w:bookmarkEnd w:id="96"/>
      <w:bookmarkEnd w:id="97"/>
      <w:bookmarkEnd w:id="98"/>
      <w:bookmarkEnd w:id="99"/>
    </w:p>
    <w:p>
      <w:pPr>
        <w:spacing w:line="500" w:lineRule="exact"/>
        <w:ind w:firstLine="420" w:firstLineChars="200"/>
        <w:rPr>
          <w:color w:val="auto"/>
        </w:rPr>
      </w:pPr>
      <w:r>
        <w:rPr>
          <w:color w:val="auto"/>
        </w:rPr>
        <w:t>1.9.1 投标人须知前附表规定组织踏勘现场的，招标人按投标人须知前附表规定的时间、地点组织投标人踏勘项目现场。</w:t>
      </w:r>
      <w:r>
        <w:rPr>
          <w:bCs/>
          <w:snapToGrid w:val="0"/>
          <w:color w:val="auto"/>
          <w:kern w:val="0"/>
          <w:szCs w:val="21"/>
        </w:rPr>
        <w:t>部分投标人未按时参加踏勘现场的，不影响踏勘现场的正常进行。招标人不得组织单个或部分投标人踏勘项目现场。</w:t>
      </w:r>
    </w:p>
    <w:p>
      <w:pPr>
        <w:spacing w:line="500" w:lineRule="exact"/>
        <w:ind w:firstLine="420" w:firstLineChars="200"/>
        <w:rPr>
          <w:color w:val="auto"/>
        </w:rPr>
      </w:pPr>
      <w:r>
        <w:rPr>
          <w:color w:val="auto"/>
        </w:rPr>
        <w:t>1.9.2 投标人踏勘现场发生的费用自理。</w:t>
      </w:r>
    </w:p>
    <w:p>
      <w:pPr>
        <w:spacing w:line="500" w:lineRule="exact"/>
        <w:ind w:firstLine="420" w:firstLineChars="200"/>
        <w:rPr>
          <w:color w:val="auto"/>
        </w:rPr>
      </w:pPr>
      <w:r>
        <w:rPr>
          <w:color w:val="auto"/>
        </w:rPr>
        <w:t>1.9.3 除招标人的原因外，投标人自行负责在踏勘现场中所发生的人员伤亡和财产损失。</w:t>
      </w:r>
    </w:p>
    <w:p>
      <w:pPr>
        <w:spacing w:line="500" w:lineRule="exact"/>
        <w:ind w:firstLine="420" w:firstLineChars="200"/>
        <w:rPr>
          <w:color w:val="auto"/>
        </w:rPr>
      </w:pPr>
      <w:r>
        <w:rPr>
          <w:color w:val="auto"/>
        </w:rPr>
        <w:t>1.9.4 招标人在踏勘现场中介绍的项目场地和相关的周边环境情况，供投标人在编制投标文件时参考，招标人不对投标人据此作出的判断和决策负责。</w:t>
      </w:r>
    </w:p>
    <w:p>
      <w:pPr>
        <w:spacing w:line="500" w:lineRule="exact"/>
        <w:ind w:firstLine="420" w:firstLineChars="200"/>
        <w:rPr>
          <w:bCs/>
          <w:snapToGrid w:val="0"/>
          <w:color w:val="auto"/>
          <w:kern w:val="0"/>
          <w:szCs w:val="21"/>
        </w:rPr>
      </w:pPr>
      <w:r>
        <w:rPr>
          <w:bCs/>
          <w:snapToGrid w:val="0"/>
          <w:color w:val="auto"/>
          <w:kern w:val="0"/>
          <w:szCs w:val="21"/>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4"/>
        <w:spacing w:before="0" w:after="0" w:line="500" w:lineRule="exact"/>
        <w:rPr>
          <w:rFonts w:ascii="Times New Roman" w:hAnsi="Times New Roman"/>
          <w:color w:val="auto"/>
        </w:rPr>
      </w:pPr>
      <w:bookmarkStart w:id="100" w:name="_Toc144974509"/>
      <w:bookmarkStart w:id="101" w:name="_Toc152045541"/>
      <w:bookmarkStart w:id="102" w:name="_Toc152042317"/>
      <w:bookmarkStart w:id="103" w:name="_Toc179632558"/>
      <w:r>
        <w:rPr>
          <w:rFonts w:ascii="Times New Roman" w:hAnsi="Times New Roman"/>
          <w:color w:val="auto"/>
        </w:rPr>
        <w:t>1.10 分包</w:t>
      </w:r>
      <w:bookmarkEnd w:id="100"/>
      <w:bookmarkEnd w:id="101"/>
      <w:bookmarkEnd w:id="102"/>
      <w:bookmarkEnd w:id="103"/>
    </w:p>
    <w:p>
      <w:pPr>
        <w:spacing w:line="500" w:lineRule="exact"/>
        <w:ind w:firstLine="420" w:firstLineChars="200"/>
        <w:rPr>
          <w:color w:val="auto"/>
        </w:rPr>
      </w:pPr>
      <w:r>
        <w:rPr>
          <w:color w:val="auto"/>
        </w:rPr>
        <w:t>1.10.1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500" w:lineRule="exact"/>
        <w:ind w:firstLine="420" w:firstLineChars="200"/>
        <w:rPr>
          <w:color w:val="auto"/>
        </w:rPr>
      </w:pPr>
      <w:r>
        <w:rPr>
          <w:bCs/>
          <w:snapToGrid w:val="0"/>
          <w:color w:val="auto"/>
          <w:kern w:val="0"/>
          <w:szCs w:val="21"/>
        </w:rPr>
        <w:t>1.10.2 中标人不得向他人转让中标项目，接受分包的人不得再次分包。中标人应就分包项目向招标人负责，接受分包的人就分包项目承担连带责任。</w:t>
      </w:r>
    </w:p>
    <w:p>
      <w:pPr>
        <w:pStyle w:val="4"/>
        <w:spacing w:before="0" w:after="0" w:line="500" w:lineRule="exact"/>
        <w:rPr>
          <w:rFonts w:ascii="Times New Roman" w:hAnsi="Times New Roman"/>
          <w:color w:val="auto"/>
        </w:rPr>
      </w:pPr>
      <w:bookmarkStart w:id="104" w:name="_Toc179632559"/>
      <w:r>
        <w:rPr>
          <w:rFonts w:ascii="Times New Roman" w:hAnsi="Times New Roman"/>
          <w:color w:val="auto"/>
        </w:rPr>
        <w:t xml:space="preserve">1.11 </w:t>
      </w:r>
      <w:bookmarkEnd w:id="104"/>
      <w:r>
        <w:rPr>
          <w:rFonts w:ascii="Times New Roman" w:hAnsi="Times New Roman"/>
          <w:color w:val="auto"/>
        </w:rPr>
        <w:t>响应和偏差</w:t>
      </w:r>
    </w:p>
    <w:p>
      <w:pPr>
        <w:spacing w:line="500" w:lineRule="exact"/>
        <w:ind w:firstLine="420" w:firstLineChars="200"/>
        <w:rPr>
          <w:color w:val="auto"/>
        </w:rPr>
      </w:pPr>
      <w:r>
        <w:rPr>
          <w:color w:val="auto"/>
        </w:rPr>
        <w:t>1.11.1投标文件应当对招标文件的实质性要求和条件作出满足性或更有利于招标人的响应，否则，投标人的投标将被否决。实质性要求和条件见投标人须知前附表。</w:t>
      </w:r>
    </w:p>
    <w:p>
      <w:pPr>
        <w:spacing w:line="500" w:lineRule="exact"/>
        <w:ind w:firstLine="420" w:firstLineChars="200"/>
        <w:rPr>
          <w:color w:val="auto"/>
        </w:rPr>
      </w:pPr>
      <w:r>
        <w:rPr>
          <w:color w:val="auto"/>
        </w:rPr>
        <w:t xml:space="preserve">1.11.2 </w:t>
      </w:r>
      <w:r>
        <w:rPr>
          <w:color w:val="auto"/>
          <w:szCs w:val="21"/>
        </w:rPr>
        <w:t>投标人应根据招标文件的要求提供</w:t>
      </w:r>
      <w:r>
        <w:rPr>
          <w:color w:val="auto"/>
        </w:rPr>
        <w:t>投标货物技术性能指标的详细描述、技术支持资料及技术服务和质保期服务计划等内容以对招标文件作出响应。</w:t>
      </w:r>
    </w:p>
    <w:p>
      <w:pPr>
        <w:spacing w:line="500" w:lineRule="exact"/>
        <w:ind w:firstLine="420" w:firstLineChars="200"/>
        <w:rPr>
          <w:color w:val="auto"/>
        </w:rPr>
      </w:pPr>
      <w:r>
        <w:rPr>
          <w:color w:val="auto"/>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500" w:lineRule="exact"/>
        <w:ind w:firstLine="420" w:firstLineChars="200"/>
        <w:rPr>
          <w:color w:val="auto"/>
        </w:rPr>
      </w:pPr>
      <w:r>
        <w:rPr>
          <w:color w:val="auto"/>
        </w:rPr>
        <w:t>1.11.4 投标人须知前附表规定了可以偏差的范围和最高偏差项数的，偏差应当符合投标人须知前附表规定的偏差范围和最高项数，超出偏差范围和最高偏差项数的投标将被否决。</w:t>
      </w:r>
    </w:p>
    <w:p>
      <w:pPr>
        <w:spacing w:line="500" w:lineRule="exact"/>
        <w:ind w:firstLine="420" w:firstLineChars="200"/>
        <w:rPr>
          <w:color w:val="auto"/>
        </w:rPr>
      </w:pPr>
      <w:r>
        <w:rPr>
          <w:color w:val="auto"/>
        </w:rPr>
        <w:t>1.11.5 投标文件对招标文件的全部偏差，均应在投标文件的</w:t>
      </w:r>
      <w:r>
        <w:rPr>
          <w:color w:val="auto"/>
          <w:szCs w:val="21"/>
        </w:rPr>
        <w:t>商务和技术偏差表</w:t>
      </w:r>
      <w:r>
        <w:rPr>
          <w:color w:val="auto"/>
        </w:rPr>
        <w:t>中列明，除</w:t>
      </w:r>
      <w:r>
        <w:rPr>
          <w:color w:val="auto"/>
          <w:szCs w:val="21"/>
        </w:rPr>
        <w:t>列明的内容外，视为投标人响应招标文件的全部要求。</w:t>
      </w:r>
    </w:p>
    <w:p>
      <w:pPr>
        <w:pStyle w:val="2"/>
        <w:spacing w:before="0" w:after="0" w:line="500" w:lineRule="exact"/>
        <w:rPr>
          <w:rFonts w:ascii="Times New Roman" w:hAnsi="Times New Roman" w:eastAsia="黑体"/>
          <w:b w:val="0"/>
          <w:color w:val="auto"/>
          <w:sz w:val="28"/>
          <w:szCs w:val="28"/>
        </w:rPr>
      </w:pPr>
      <w:bookmarkStart w:id="105" w:name="_Toc179632560"/>
      <w:bookmarkStart w:id="106" w:name="_Toc2334"/>
      <w:bookmarkStart w:id="107" w:name="_Toc152042318"/>
      <w:bookmarkStart w:id="108" w:name="_Toc144974510"/>
      <w:bookmarkStart w:id="109" w:name="_Toc11167"/>
      <w:bookmarkStart w:id="110" w:name="_Toc30505"/>
      <w:bookmarkStart w:id="111" w:name="_Toc152045542"/>
      <w:r>
        <w:rPr>
          <w:rFonts w:ascii="Times New Roman" w:hAnsi="Times New Roman" w:eastAsia="黑体"/>
          <w:b w:val="0"/>
          <w:color w:val="auto"/>
          <w:sz w:val="28"/>
          <w:szCs w:val="28"/>
        </w:rPr>
        <w:t>2. 招标文件</w:t>
      </w:r>
      <w:bookmarkEnd w:id="105"/>
      <w:bookmarkEnd w:id="106"/>
      <w:bookmarkEnd w:id="107"/>
      <w:bookmarkEnd w:id="108"/>
      <w:bookmarkEnd w:id="109"/>
      <w:bookmarkEnd w:id="110"/>
      <w:bookmarkEnd w:id="111"/>
    </w:p>
    <w:p>
      <w:pPr>
        <w:pStyle w:val="4"/>
        <w:spacing w:before="0" w:after="0" w:line="500" w:lineRule="exact"/>
        <w:rPr>
          <w:rFonts w:ascii="Times New Roman" w:hAnsi="Times New Roman"/>
          <w:color w:val="auto"/>
        </w:rPr>
      </w:pPr>
      <w:bookmarkStart w:id="112" w:name="_Toc152042319"/>
      <w:bookmarkStart w:id="113" w:name="_Toc179632561"/>
      <w:bookmarkStart w:id="114" w:name="_Toc152045543"/>
      <w:bookmarkStart w:id="115" w:name="_Toc144974511"/>
      <w:r>
        <w:rPr>
          <w:rFonts w:ascii="Times New Roman" w:hAnsi="Times New Roman"/>
          <w:color w:val="auto"/>
        </w:rPr>
        <w:t>2.1 招标文件的组成</w:t>
      </w:r>
      <w:bookmarkEnd w:id="112"/>
      <w:bookmarkEnd w:id="113"/>
      <w:bookmarkEnd w:id="114"/>
      <w:bookmarkEnd w:id="115"/>
    </w:p>
    <w:p>
      <w:pPr>
        <w:spacing w:line="500" w:lineRule="exact"/>
        <w:ind w:firstLine="420" w:firstLineChars="200"/>
        <w:rPr>
          <w:color w:val="auto"/>
        </w:rPr>
      </w:pPr>
      <w:r>
        <w:rPr>
          <w:color w:val="auto"/>
        </w:rPr>
        <w:t>本招标文件包括：</w:t>
      </w:r>
    </w:p>
    <w:p>
      <w:pPr>
        <w:spacing w:line="500" w:lineRule="exact"/>
        <w:ind w:firstLine="420" w:firstLineChars="200"/>
        <w:rPr>
          <w:color w:val="auto"/>
        </w:rPr>
      </w:pPr>
      <w:r>
        <w:rPr>
          <w:color w:val="auto"/>
        </w:rPr>
        <w:t>（1）招标公告（或投标邀请书）；</w:t>
      </w:r>
    </w:p>
    <w:p>
      <w:pPr>
        <w:spacing w:line="500" w:lineRule="exact"/>
        <w:ind w:firstLine="420" w:firstLineChars="200"/>
        <w:rPr>
          <w:color w:val="auto"/>
        </w:rPr>
      </w:pPr>
      <w:r>
        <w:rPr>
          <w:color w:val="auto"/>
        </w:rPr>
        <w:t>（2）投标人须知；</w:t>
      </w:r>
    </w:p>
    <w:p>
      <w:pPr>
        <w:spacing w:line="500" w:lineRule="exact"/>
        <w:ind w:firstLine="420" w:firstLineChars="200"/>
        <w:rPr>
          <w:color w:val="auto"/>
        </w:rPr>
      </w:pPr>
      <w:r>
        <w:rPr>
          <w:color w:val="auto"/>
        </w:rPr>
        <w:t>（3）评标办法；</w:t>
      </w:r>
    </w:p>
    <w:p>
      <w:pPr>
        <w:spacing w:line="500" w:lineRule="exact"/>
        <w:ind w:firstLine="420" w:firstLineChars="200"/>
        <w:rPr>
          <w:color w:val="auto"/>
        </w:rPr>
      </w:pPr>
      <w:r>
        <w:rPr>
          <w:color w:val="auto"/>
        </w:rPr>
        <w:t>（4）合同条款及格式；</w:t>
      </w:r>
    </w:p>
    <w:p>
      <w:pPr>
        <w:spacing w:line="500" w:lineRule="exact"/>
        <w:ind w:firstLine="420" w:firstLineChars="200"/>
        <w:rPr>
          <w:color w:val="auto"/>
        </w:rPr>
      </w:pPr>
      <w:r>
        <w:rPr>
          <w:color w:val="auto"/>
        </w:rPr>
        <w:t>（5）供货要求；</w:t>
      </w:r>
    </w:p>
    <w:p>
      <w:pPr>
        <w:spacing w:line="500" w:lineRule="exact"/>
        <w:ind w:firstLine="420" w:firstLineChars="200"/>
        <w:rPr>
          <w:color w:val="auto"/>
        </w:rPr>
      </w:pPr>
      <w:r>
        <w:rPr>
          <w:color w:val="auto"/>
        </w:rPr>
        <w:t>（6）投标文件格式；</w:t>
      </w:r>
    </w:p>
    <w:p>
      <w:pPr>
        <w:spacing w:line="500" w:lineRule="exact"/>
        <w:ind w:firstLine="420" w:firstLineChars="200"/>
        <w:rPr>
          <w:color w:val="auto"/>
        </w:rPr>
      </w:pPr>
      <w:r>
        <w:rPr>
          <w:color w:val="auto"/>
        </w:rPr>
        <w:t>（7）投标人须知前附表规定的其他资料。</w:t>
      </w:r>
    </w:p>
    <w:p>
      <w:pPr>
        <w:spacing w:line="500" w:lineRule="exact"/>
        <w:ind w:firstLine="420" w:firstLineChars="200"/>
        <w:rPr>
          <w:color w:val="auto"/>
        </w:rPr>
      </w:pPr>
      <w:r>
        <w:rPr>
          <w:color w:val="auto"/>
        </w:rPr>
        <w:t>根据本章第2.3款对招标文件所作的澄清、修改，构成招标文件的组成部分。</w:t>
      </w:r>
    </w:p>
    <w:p>
      <w:pPr>
        <w:spacing w:line="500" w:lineRule="exact"/>
        <w:ind w:firstLine="420" w:firstLineChars="200"/>
        <w:rPr>
          <w:bCs/>
          <w:snapToGrid w:val="0"/>
          <w:color w:val="auto"/>
          <w:kern w:val="0"/>
          <w:szCs w:val="21"/>
        </w:rPr>
      </w:pPr>
      <w:r>
        <w:rPr>
          <w:bCs/>
          <w:snapToGrid w:val="0"/>
          <w:color w:val="auto"/>
          <w:kern w:val="0"/>
          <w:szCs w:val="21"/>
        </w:rPr>
        <w:t>当招标文件、招标文件的澄清或修改等在同一内容的表述上不一致时，以最后发出的文件为准。</w:t>
      </w:r>
    </w:p>
    <w:p>
      <w:pPr>
        <w:pStyle w:val="4"/>
        <w:spacing w:before="0" w:after="0" w:line="500" w:lineRule="exact"/>
        <w:rPr>
          <w:rFonts w:ascii="Times New Roman" w:hAnsi="Times New Roman"/>
          <w:color w:val="auto"/>
        </w:rPr>
      </w:pPr>
      <w:bookmarkStart w:id="116" w:name="_Toc144974512"/>
      <w:bookmarkStart w:id="117" w:name="_Toc152045544"/>
      <w:bookmarkStart w:id="118" w:name="_Toc152042320"/>
      <w:bookmarkStart w:id="119" w:name="_Toc179632562"/>
      <w:r>
        <w:rPr>
          <w:rFonts w:ascii="Times New Roman" w:hAnsi="Times New Roman"/>
          <w:color w:val="auto"/>
        </w:rPr>
        <w:t>2.2 招标文件的澄清</w:t>
      </w:r>
      <w:bookmarkEnd w:id="116"/>
      <w:bookmarkEnd w:id="117"/>
      <w:bookmarkEnd w:id="118"/>
      <w:bookmarkEnd w:id="119"/>
    </w:p>
    <w:p>
      <w:pPr>
        <w:spacing w:line="500" w:lineRule="exact"/>
        <w:ind w:firstLine="420" w:firstLineChars="200"/>
        <w:rPr>
          <w:color w:val="auto"/>
        </w:rPr>
      </w:pPr>
      <w:bookmarkStart w:id="120" w:name="_Toc152042321"/>
      <w:bookmarkStart w:id="121" w:name="_Toc179632563"/>
      <w:bookmarkStart w:id="122" w:name="_Toc152045545"/>
      <w:bookmarkStart w:id="123" w:name="_Toc144974513"/>
      <w:r>
        <w:rPr>
          <w:color w:val="auto"/>
        </w:rPr>
        <w:t xml:space="preserve">2.2.1 </w:t>
      </w:r>
      <w:r>
        <w:rPr>
          <w:bCs/>
          <w:snapToGrid w:val="0"/>
          <w:color w:val="auto"/>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color w:val="auto"/>
        </w:rPr>
      </w:pPr>
      <w:r>
        <w:rPr>
          <w:color w:val="auto"/>
        </w:rPr>
        <w:t>2.2.2</w:t>
      </w:r>
      <w:r>
        <w:rPr>
          <w:color w:val="auto"/>
          <w:szCs w:val="21"/>
        </w:rPr>
        <w:t xml:space="preserve"> </w:t>
      </w:r>
      <w:r>
        <w:rPr>
          <w:bCs/>
          <w:snapToGrid w:val="0"/>
          <w:color w:val="auto"/>
          <w:kern w:val="0"/>
          <w:szCs w:val="21"/>
        </w:rPr>
        <w:t>招标文件的澄清以投标人须知前附表规定的形式发给</w:t>
      </w:r>
      <w:r>
        <w:rPr>
          <w:color w:val="auto"/>
        </w:rPr>
        <w:t>所有获取招标文件的投标人</w:t>
      </w:r>
      <w:r>
        <w:rPr>
          <w:bCs/>
          <w:snapToGrid w:val="0"/>
          <w:color w:val="auto"/>
          <w:kern w:val="0"/>
          <w:szCs w:val="21"/>
        </w:rPr>
        <w:t>，但不指明澄清问题的来源。澄清发出的时间距本章第4.2.1项规定的投标截止时间不足5日，且澄清内容可能影响投标文件编制的，将相应延长投标截止时间。</w:t>
      </w:r>
    </w:p>
    <w:p>
      <w:pPr>
        <w:spacing w:line="500" w:lineRule="exact"/>
        <w:ind w:firstLine="420" w:firstLineChars="200"/>
        <w:rPr>
          <w:rFonts w:eastAsia="隶书"/>
          <w:snapToGrid w:val="0"/>
          <w:color w:val="auto"/>
          <w:kern w:val="0"/>
          <w:szCs w:val="21"/>
          <w:shd w:val="clear" w:color="auto" w:fill="FFFFFF"/>
          <w:lang w:val="zh-CN"/>
        </w:rPr>
      </w:pPr>
      <w:r>
        <w:rPr>
          <w:color w:val="auto"/>
        </w:rPr>
        <w:t xml:space="preserve">2.2.3 </w:t>
      </w:r>
      <w:r>
        <w:rPr>
          <w:bCs/>
          <w:snapToGrid w:val="0"/>
          <w:color w:val="auto"/>
          <w:kern w:val="0"/>
          <w:szCs w:val="21"/>
        </w:rPr>
        <w:t>投标人在收到澄清后，应按投标人须知前附表规定的时间和形式通知招标人，确认已收到该澄清。</w:t>
      </w:r>
    </w:p>
    <w:p>
      <w:pPr>
        <w:spacing w:line="500" w:lineRule="exact"/>
        <w:ind w:firstLine="420" w:firstLineChars="200"/>
        <w:rPr>
          <w:color w:val="auto"/>
        </w:rPr>
      </w:pPr>
      <w:r>
        <w:rPr>
          <w:color w:val="auto"/>
        </w:rPr>
        <w:t xml:space="preserve">2.2.4 </w:t>
      </w:r>
      <w:r>
        <w:rPr>
          <w:bCs/>
          <w:snapToGrid w:val="0"/>
          <w:color w:val="auto"/>
          <w:kern w:val="0"/>
          <w:szCs w:val="21"/>
        </w:rPr>
        <w:t>除非招标人认为确有必要答复，否则，招标人有权拒绝回复投标人在本章第2.2.1项规定的时间后提出的任何澄清要求。</w:t>
      </w:r>
    </w:p>
    <w:p>
      <w:pPr>
        <w:pStyle w:val="4"/>
        <w:spacing w:before="0" w:after="0" w:line="500" w:lineRule="exact"/>
        <w:rPr>
          <w:rFonts w:ascii="Times New Roman" w:hAnsi="Times New Roman"/>
          <w:color w:val="auto"/>
        </w:rPr>
      </w:pPr>
      <w:r>
        <w:rPr>
          <w:rFonts w:ascii="Times New Roman" w:hAnsi="Times New Roman"/>
          <w:color w:val="auto"/>
        </w:rPr>
        <w:t>2.3 招标文件的修改</w:t>
      </w:r>
      <w:bookmarkEnd w:id="120"/>
      <w:bookmarkEnd w:id="121"/>
      <w:bookmarkEnd w:id="122"/>
      <w:bookmarkEnd w:id="123"/>
    </w:p>
    <w:p>
      <w:pPr>
        <w:spacing w:line="500" w:lineRule="exact"/>
        <w:ind w:firstLine="420" w:firstLineChars="200"/>
        <w:rPr>
          <w:color w:val="auto"/>
        </w:rPr>
      </w:pPr>
      <w:r>
        <w:rPr>
          <w:color w:val="auto"/>
        </w:rPr>
        <w:t>2.3.1</w:t>
      </w:r>
      <w:r>
        <w:rPr>
          <w:color w:val="auto"/>
          <w:szCs w:val="21"/>
        </w:rPr>
        <w:t xml:space="preserve"> </w:t>
      </w:r>
      <w:r>
        <w:rPr>
          <w:bCs/>
          <w:snapToGrid w:val="0"/>
          <w:color w:val="auto"/>
          <w:kern w:val="0"/>
          <w:szCs w:val="21"/>
        </w:rPr>
        <w:t>招标人以投标人须知前附表规定的形式修改招标文件，并通知</w:t>
      </w:r>
      <w:r>
        <w:rPr>
          <w:color w:val="auto"/>
        </w:rPr>
        <w:t>所有获取招标文件的投标人</w:t>
      </w:r>
      <w:r>
        <w:rPr>
          <w:bCs/>
          <w:snapToGrid w:val="0"/>
          <w:color w:val="auto"/>
          <w:kern w:val="0"/>
          <w:szCs w:val="21"/>
        </w:rPr>
        <w:t>。修改招标文件的时间距本章第4.2.1项规定的投标截止时间不足5日，且修改内容可能影响投标文件编制的，将相应延长投标截止时间。</w:t>
      </w:r>
    </w:p>
    <w:p>
      <w:pPr>
        <w:spacing w:line="500" w:lineRule="exact"/>
        <w:ind w:firstLine="420" w:firstLineChars="200"/>
        <w:rPr>
          <w:bCs/>
          <w:snapToGrid w:val="0"/>
          <w:color w:val="auto"/>
          <w:kern w:val="0"/>
          <w:szCs w:val="21"/>
        </w:rPr>
      </w:pPr>
      <w:r>
        <w:rPr>
          <w:color w:val="auto"/>
        </w:rPr>
        <w:t xml:space="preserve">2.3.2 </w:t>
      </w:r>
      <w:r>
        <w:rPr>
          <w:bCs/>
          <w:snapToGrid w:val="0"/>
          <w:color w:val="auto"/>
          <w:kern w:val="0"/>
          <w:szCs w:val="21"/>
        </w:rPr>
        <w:t>投标人收到修改内容后，应按投标人须知前附表规定的时间和形式通知招标人，确认已收到该修改。</w:t>
      </w:r>
    </w:p>
    <w:p>
      <w:pPr>
        <w:pStyle w:val="2"/>
        <w:spacing w:before="0" w:after="0" w:line="500" w:lineRule="exact"/>
        <w:rPr>
          <w:rFonts w:ascii="Times New Roman" w:hAnsi="Times New Roman" w:eastAsia="黑体"/>
          <w:b w:val="0"/>
          <w:color w:val="auto"/>
          <w:sz w:val="28"/>
          <w:szCs w:val="28"/>
        </w:rPr>
      </w:pPr>
      <w:bookmarkStart w:id="124" w:name="_Toc6119"/>
      <w:bookmarkStart w:id="125" w:name="_Toc152045546"/>
      <w:bookmarkStart w:id="126" w:name="_Toc152042322"/>
      <w:bookmarkStart w:id="127" w:name="_Toc179632564"/>
      <w:bookmarkStart w:id="128" w:name="_Toc12574"/>
      <w:bookmarkStart w:id="129" w:name="_Toc144974514"/>
      <w:bookmarkStart w:id="130" w:name="_Toc19092"/>
      <w:r>
        <w:rPr>
          <w:rFonts w:ascii="Times New Roman" w:hAnsi="Times New Roman" w:eastAsia="黑体"/>
          <w:b w:val="0"/>
          <w:color w:val="auto"/>
          <w:sz w:val="28"/>
          <w:szCs w:val="28"/>
        </w:rPr>
        <w:t>3. 投标文件</w:t>
      </w:r>
      <w:bookmarkEnd w:id="124"/>
      <w:bookmarkEnd w:id="125"/>
      <w:bookmarkEnd w:id="126"/>
      <w:bookmarkEnd w:id="127"/>
      <w:bookmarkEnd w:id="128"/>
      <w:bookmarkEnd w:id="129"/>
      <w:bookmarkEnd w:id="130"/>
    </w:p>
    <w:p>
      <w:pPr>
        <w:pStyle w:val="4"/>
        <w:spacing w:before="0" w:after="0" w:line="500" w:lineRule="exact"/>
        <w:rPr>
          <w:rFonts w:ascii="Times New Roman" w:hAnsi="Times New Roman"/>
          <w:color w:val="auto"/>
        </w:rPr>
      </w:pPr>
      <w:bookmarkStart w:id="131" w:name="_Toc152045547"/>
      <w:bookmarkStart w:id="132" w:name="_Toc179632565"/>
      <w:bookmarkStart w:id="133" w:name="_Toc152042323"/>
      <w:bookmarkStart w:id="134" w:name="_Toc144974515"/>
      <w:r>
        <w:rPr>
          <w:rFonts w:ascii="Times New Roman" w:hAnsi="Times New Roman"/>
          <w:color w:val="auto"/>
        </w:rPr>
        <w:t>3.1 投标文件的组成</w:t>
      </w:r>
      <w:bookmarkEnd w:id="131"/>
      <w:bookmarkEnd w:id="132"/>
      <w:bookmarkEnd w:id="133"/>
      <w:bookmarkEnd w:id="134"/>
    </w:p>
    <w:p>
      <w:pPr>
        <w:spacing w:line="500" w:lineRule="exact"/>
        <w:ind w:firstLine="420" w:firstLineChars="200"/>
        <w:rPr>
          <w:color w:val="auto"/>
        </w:rPr>
      </w:pPr>
      <w:r>
        <w:rPr>
          <w:color w:val="auto"/>
        </w:rPr>
        <w:t>3.1.1 投标文件应包括下列内容：</w:t>
      </w:r>
    </w:p>
    <w:p>
      <w:pPr>
        <w:spacing w:line="500" w:lineRule="exact"/>
        <w:ind w:firstLine="420" w:firstLineChars="200"/>
        <w:rPr>
          <w:bCs/>
          <w:snapToGrid w:val="0"/>
          <w:color w:val="auto"/>
          <w:kern w:val="0"/>
          <w:szCs w:val="21"/>
        </w:rPr>
      </w:pPr>
      <w:r>
        <w:rPr>
          <w:bCs/>
          <w:snapToGrid w:val="0"/>
          <w:color w:val="auto"/>
          <w:kern w:val="0"/>
          <w:szCs w:val="21"/>
        </w:rPr>
        <w:t>商务及技术文件：</w:t>
      </w:r>
    </w:p>
    <w:p>
      <w:pPr>
        <w:spacing w:line="500" w:lineRule="exact"/>
        <w:ind w:firstLine="420" w:firstLineChars="200"/>
        <w:rPr>
          <w:bCs/>
          <w:snapToGrid w:val="0"/>
          <w:color w:val="auto"/>
          <w:kern w:val="0"/>
          <w:szCs w:val="21"/>
        </w:rPr>
      </w:pPr>
      <w:r>
        <w:rPr>
          <w:bCs/>
          <w:snapToGrid w:val="0"/>
          <w:color w:val="auto"/>
          <w:kern w:val="0"/>
          <w:szCs w:val="21"/>
        </w:rPr>
        <w:t>（1）投标函（不含报价）；</w:t>
      </w:r>
    </w:p>
    <w:p>
      <w:pPr>
        <w:spacing w:line="500" w:lineRule="exact"/>
        <w:ind w:firstLine="420" w:firstLineChars="200"/>
        <w:rPr>
          <w:bCs/>
          <w:snapToGrid w:val="0"/>
          <w:color w:val="auto"/>
          <w:kern w:val="0"/>
          <w:szCs w:val="21"/>
        </w:rPr>
      </w:pPr>
      <w:r>
        <w:rPr>
          <w:bCs/>
          <w:snapToGrid w:val="0"/>
          <w:color w:val="auto"/>
          <w:kern w:val="0"/>
          <w:szCs w:val="21"/>
        </w:rPr>
        <w:t>（2）法定代表人（单位负责人）身份证明或授权委托书；</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（3）联合体协议书；</w:t>
      </w:r>
    </w:p>
    <w:p>
      <w:pPr>
        <w:spacing w:line="500" w:lineRule="exact"/>
        <w:ind w:firstLine="420" w:firstLineChars="200"/>
        <w:rPr>
          <w:bCs/>
          <w:snapToGrid w:val="0"/>
          <w:color w:val="auto"/>
          <w:kern w:val="0"/>
          <w:szCs w:val="21"/>
        </w:rPr>
      </w:pPr>
      <w:r>
        <w:rPr>
          <w:bCs/>
          <w:snapToGrid w:val="0"/>
          <w:color w:val="auto"/>
          <w:kern w:val="0"/>
          <w:szCs w:val="21"/>
        </w:rPr>
        <w:t>（4）投标保证金；</w:t>
      </w:r>
    </w:p>
    <w:p>
      <w:pPr>
        <w:spacing w:line="500" w:lineRule="exact"/>
        <w:ind w:firstLine="420" w:firstLineChars="200"/>
        <w:rPr>
          <w:bCs/>
          <w:snapToGrid w:val="0"/>
          <w:color w:val="auto"/>
          <w:kern w:val="0"/>
          <w:szCs w:val="21"/>
        </w:rPr>
      </w:pPr>
      <w:r>
        <w:rPr>
          <w:bCs/>
          <w:snapToGrid w:val="0"/>
          <w:color w:val="auto"/>
          <w:kern w:val="0"/>
          <w:szCs w:val="21"/>
        </w:rPr>
        <w:t>（5）商务和技术偏差表；</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（6）资格审查资料；</w:t>
      </w:r>
    </w:p>
    <w:p>
      <w:pPr>
        <w:spacing w:line="500" w:lineRule="exact"/>
        <w:ind w:firstLine="420" w:firstLineChars="200"/>
        <w:rPr>
          <w:bCs/>
          <w:snapToGrid w:val="0"/>
          <w:color w:val="auto"/>
          <w:kern w:val="0"/>
          <w:szCs w:val="21"/>
        </w:rPr>
      </w:pPr>
      <w:r>
        <w:rPr>
          <w:bCs/>
          <w:snapToGrid w:val="0"/>
          <w:color w:val="auto"/>
          <w:kern w:val="0"/>
          <w:szCs w:val="21"/>
        </w:rPr>
        <w:t>（7）投标货物技术性能指标的详细描述；</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（8）技术支持资料；</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（9）技术服务和质保期服务计划；</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（10）安装方案（如有）；</w:t>
      </w:r>
    </w:p>
    <w:p>
      <w:pPr>
        <w:spacing w:line="500" w:lineRule="exact"/>
        <w:ind w:firstLine="420" w:firstLineChars="200"/>
        <w:rPr>
          <w:bCs/>
          <w:snapToGrid w:val="0"/>
          <w:color w:val="auto"/>
          <w:kern w:val="0"/>
          <w:szCs w:val="21"/>
        </w:rPr>
      </w:pPr>
      <w:r>
        <w:rPr>
          <w:bCs/>
          <w:snapToGrid w:val="0"/>
          <w:color w:val="auto"/>
          <w:kern w:val="0"/>
          <w:szCs w:val="21"/>
        </w:rPr>
        <w:t>（11）投标人须知前附表规定的其他资料。</w:t>
      </w:r>
    </w:p>
    <w:p>
      <w:pPr>
        <w:spacing w:line="500" w:lineRule="exact"/>
        <w:ind w:firstLine="420" w:firstLineChars="200"/>
        <w:rPr>
          <w:bCs/>
          <w:snapToGrid w:val="0"/>
          <w:color w:val="auto"/>
          <w:kern w:val="0"/>
          <w:szCs w:val="21"/>
        </w:rPr>
      </w:pPr>
      <w:r>
        <w:rPr>
          <w:bCs/>
          <w:snapToGrid w:val="0"/>
          <w:color w:val="auto"/>
          <w:kern w:val="0"/>
          <w:szCs w:val="21"/>
        </w:rPr>
        <w:t>报价文件：</w:t>
      </w:r>
    </w:p>
    <w:p>
      <w:pPr>
        <w:spacing w:line="500" w:lineRule="exact"/>
        <w:ind w:firstLine="420" w:firstLineChars="200"/>
        <w:rPr>
          <w:bCs/>
          <w:snapToGrid w:val="0"/>
          <w:color w:val="auto"/>
          <w:kern w:val="0"/>
          <w:szCs w:val="21"/>
        </w:rPr>
      </w:pPr>
      <w:r>
        <w:rPr>
          <w:bCs/>
          <w:snapToGrid w:val="0"/>
          <w:color w:val="auto"/>
          <w:kern w:val="0"/>
          <w:szCs w:val="21"/>
        </w:rPr>
        <w:t>（1）投标函（含报价）；</w:t>
      </w:r>
    </w:p>
    <w:p>
      <w:pPr>
        <w:spacing w:line="500" w:lineRule="exact"/>
        <w:ind w:firstLine="420" w:firstLineChars="200"/>
        <w:rPr>
          <w:bCs/>
          <w:snapToGrid w:val="0"/>
          <w:color w:val="auto"/>
          <w:kern w:val="0"/>
          <w:szCs w:val="21"/>
        </w:rPr>
      </w:pPr>
      <w:r>
        <w:rPr>
          <w:bCs/>
          <w:snapToGrid w:val="0"/>
          <w:color w:val="auto"/>
          <w:kern w:val="0"/>
          <w:szCs w:val="21"/>
        </w:rPr>
        <w:t>（2）分项报价表。</w:t>
      </w:r>
    </w:p>
    <w:p>
      <w:pPr>
        <w:spacing w:line="500" w:lineRule="exact"/>
        <w:ind w:firstLine="420" w:firstLineChars="200"/>
        <w:rPr>
          <w:color w:val="auto"/>
        </w:rPr>
      </w:pPr>
      <w:r>
        <w:rPr>
          <w:color w:val="auto"/>
        </w:rPr>
        <w:t>3.1.2 投标人须知前附表规定不接受联合体投标的，或投标人没有组成联合体的，投标文件不包括本章第3.1.1（3）目所指的联合体协议书。</w:t>
      </w:r>
    </w:p>
    <w:p>
      <w:pPr>
        <w:spacing w:line="500" w:lineRule="exact"/>
        <w:ind w:firstLine="420" w:firstLineChars="200"/>
        <w:rPr>
          <w:rFonts w:eastAsia="楷体"/>
          <w:color w:val="auto"/>
        </w:rPr>
      </w:pPr>
      <w:r>
        <w:rPr>
          <w:color w:val="auto"/>
        </w:rPr>
        <w:t xml:space="preserve">3.1.3 </w:t>
      </w:r>
      <w:r>
        <w:rPr>
          <w:bCs/>
          <w:snapToGrid w:val="0"/>
          <w:color w:val="auto"/>
          <w:kern w:val="0"/>
          <w:szCs w:val="21"/>
        </w:rPr>
        <w:t>投标人须知前附表未要求提交投标保证金的，投标文件不包括本章第3.1.1（4）目所指的投标保证金。</w:t>
      </w:r>
    </w:p>
    <w:p>
      <w:pPr>
        <w:pStyle w:val="4"/>
        <w:spacing w:before="0" w:after="0" w:line="500" w:lineRule="exact"/>
        <w:rPr>
          <w:rFonts w:ascii="Times New Roman" w:hAnsi="Times New Roman"/>
          <w:color w:val="auto"/>
        </w:rPr>
      </w:pPr>
      <w:bookmarkStart w:id="135" w:name="_Toc144974516"/>
      <w:bookmarkStart w:id="136" w:name="_Toc152042324"/>
      <w:bookmarkStart w:id="137" w:name="_Toc179632566"/>
      <w:bookmarkStart w:id="138" w:name="_Toc152045548"/>
      <w:r>
        <w:rPr>
          <w:rFonts w:ascii="Times New Roman" w:hAnsi="Times New Roman"/>
          <w:color w:val="auto"/>
        </w:rPr>
        <w:t>3.2 投标报价</w:t>
      </w:r>
      <w:bookmarkEnd w:id="135"/>
      <w:bookmarkEnd w:id="136"/>
      <w:bookmarkEnd w:id="137"/>
      <w:bookmarkEnd w:id="138"/>
    </w:p>
    <w:p>
      <w:pPr>
        <w:spacing w:line="500" w:lineRule="exact"/>
        <w:ind w:firstLine="420" w:firstLineChars="200"/>
        <w:rPr>
          <w:bCs/>
          <w:snapToGrid w:val="0"/>
          <w:color w:val="auto"/>
          <w:kern w:val="0"/>
          <w:szCs w:val="21"/>
        </w:rPr>
      </w:pPr>
      <w:bookmarkStart w:id="139" w:name="_Toc152045549"/>
      <w:bookmarkStart w:id="140" w:name="_Toc179632567"/>
      <w:bookmarkStart w:id="141" w:name="_Toc152042325"/>
      <w:bookmarkStart w:id="142" w:name="_Toc144974517"/>
      <w:r>
        <w:rPr>
          <w:color w:val="auto"/>
        </w:rPr>
        <w:t xml:space="preserve">3.2.1 </w:t>
      </w:r>
      <w:r>
        <w:rPr>
          <w:bCs/>
          <w:snapToGrid w:val="0"/>
          <w:color w:val="auto"/>
          <w:kern w:val="0"/>
          <w:szCs w:val="21"/>
        </w:rPr>
        <w:t>投标报价应包括国家规定的增值税税金，除投标人须知前附表另有规定外，增值税税金按一般计税方法计算。投标人应按第六章“投标文件格式”的要求在投标函中进行报价并填写分项报价表。</w:t>
      </w:r>
    </w:p>
    <w:p>
      <w:pPr>
        <w:spacing w:line="500" w:lineRule="exact"/>
        <w:ind w:firstLine="420" w:firstLineChars="200"/>
        <w:rPr>
          <w:bCs/>
          <w:snapToGrid w:val="0"/>
          <w:color w:val="auto"/>
          <w:kern w:val="0"/>
          <w:szCs w:val="21"/>
        </w:rPr>
      </w:pPr>
      <w:r>
        <w:rPr>
          <w:color w:val="auto"/>
        </w:rPr>
        <w:t xml:space="preserve">3.2.2 </w:t>
      </w:r>
      <w:r>
        <w:rPr>
          <w:bCs/>
          <w:snapToGrid w:val="0"/>
          <w:color w:val="auto"/>
          <w:kern w:val="0"/>
          <w:szCs w:val="21"/>
        </w:rPr>
        <w:t>投标人应充分了解本项目的总体情况以及影响投标报价的其他要素。</w:t>
      </w:r>
    </w:p>
    <w:p>
      <w:pPr>
        <w:spacing w:line="500" w:lineRule="exact"/>
        <w:ind w:firstLine="420" w:firstLineChars="200"/>
        <w:rPr>
          <w:color w:val="auto"/>
        </w:rPr>
      </w:pPr>
      <w:r>
        <w:rPr>
          <w:color w:val="auto"/>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500" w:lineRule="exact"/>
        <w:ind w:firstLine="420" w:firstLineChars="200"/>
        <w:jc w:val="left"/>
        <w:rPr>
          <w:bCs/>
          <w:snapToGrid w:val="0"/>
          <w:color w:val="auto"/>
          <w:kern w:val="0"/>
          <w:szCs w:val="21"/>
        </w:rPr>
      </w:pPr>
      <w:r>
        <w:rPr>
          <w:color w:val="auto"/>
        </w:rPr>
        <w:t>3.2.4</w:t>
      </w:r>
      <w:r>
        <w:rPr>
          <w:bCs/>
          <w:snapToGrid w:val="0"/>
          <w:color w:val="auto"/>
          <w:kern w:val="0"/>
          <w:szCs w:val="21"/>
        </w:rPr>
        <w:t>招标人设有最高投标限价的，投标人的投标报价不得超过最高投标限价，最高投标限价在投标人须知前附表中载明。</w:t>
      </w:r>
    </w:p>
    <w:p>
      <w:pPr>
        <w:spacing w:line="500" w:lineRule="exact"/>
        <w:ind w:firstLine="420" w:firstLineChars="200"/>
        <w:rPr>
          <w:bCs/>
          <w:snapToGrid w:val="0"/>
          <w:color w:val="auto"/>
          <w:kern w:val="0"/>
          <w:szCs w:val="21"/>
        </w:rPr>
      </w:pPr>
      <w:r>
        <w:rPr>
          <w:color w:val="auto"/>
        </w:rPr>
        <w:t xml:space="preserve">3.2.5 </w:t>
      </w:r>
      <w:r>
        <w:rPr>
          <w:bCs/>
          <w:snapToGrid w:val="0"/>
          <w:color w:val="auto"/>
          <w:kern w:val="0"/>
          <w:szCs w:val="21"/>
        </w:rPr>
        <w:t>投标报价的其他要求见投标人须知前附表。</w:t>
      </w:r>
    </w:p>
    <w:p>
      <w:pPr>
        <w:pStyle w:val="4"/>
        <w:spacing w:before="0" w:after="0" w:line="500" w:lineRule="exact"/>
        <w:rPr>
          <w:rFonts w:ascii="Times New Roman" w:hAnsi="Times New Roman"/>
          <w:color w:val="auto"/>
        </w:rPr>
      </w:pPr>
      <w:r>
        <w:rPr>
          <w:rFonts w:ascii="Times New Roman" w:hAnsi="Times New Roman"/>
          <w:color w:val="auto"/>
        </w:rPr>
        <w:t>3.3 投标有效期</w:t>
      </w:r>
      <w:bookmarkEnd w:id="139"/>
      <w:bookmarkEnd w:id="140"/>
      <w:bookmarkEnd w:id="141"/>
      <w:bookmarkEnd w:id="142"/>
    </w:p>
    <w:p>
      <w:pPr>
        <w:spacing w:line="500" w:lineRule="exact"/>
        <w:ind w:firstLine="420" w:firstLineChars="200"/>
        <w:jc w:val="left"/>
        <w:rPr>
          <w:color w:val="auto"/>
        </w:rPr>
      </w:pPr>
      <w:bookmarkStart w:id="143" w:name="_Toc144974518"/>
      <w:bookmarkStart w:id="144" w:name="_Toc179632568"/>
      <w:bookmarkStart w:id="145" w:name="_Toc152045550"/>
      <w:bookmarkStart w:id="146" w:name="_Toc152042326"/>
      <w:r>
        <w:rPr>
          <w:snapToGrid w:val="0"/>
          <w:color w:val="auto"/>
          <w:kern w:val="0"/>
          <w:szCs w:val="21"/>
          <w:shd w:val="clear" w:color="auto" w:fill="FFFFFF"/>
        </w:rPr>
        <w:t>3.3.1</w:t>
      </w:r>
      <w:r>
        <w:rPr>
          <w:color w:val="auto"/>
        </w:rPr>
        <w:t xml:space="preserve"> </w:t>
      </w:r>
      <w:r>
        <w:rPr>
          <w:bCs/>
          <w:snapToGrid w:val="0"/>
          <w:color w:val="auto"/>
          <w:kern w:val="0"/>
          <w:szCs w:val="21"/>
        </w:rPr>
        <w:t>除投标人须知前附表另有规定外，投标有效期为120日。</w:t>
      </w:r>
    </w:p>
    <w:p>
      <w:pPr>
        <w:spacing w:line="500" w:lineRule="exact"/>
        <w:ind w:firstLine="420" w:firstLineChars="200"/>
        <w:rPr>
          <w:color w:val="auto"/>
        </w:rPr>
      </w:pPr>
      <w:r>
        <w:rPr>
          <w:color w:val="auto"/>
        </w:rPr>
        <w:t xml:space="preserve">3.3.2 </w:t>
      </w:r>
      <w:r>
        <w:rPr>
          <w:bCs/>
          <w:snapToGrid w:val="0"/>
          <w:color w:val="auto"/>
          <w:kern w:val="0"/>
          <w:szCs w:val="21"/>
        </w:rPr>
        <w:t>在投标有效期内，投标人撤销投标文件的，应承担招标文件和法律规定的责任。</w:t>
      </w:r>
    </w:p>
    <w:p>
      <w:pPr>
        <w:spacing w:line="500" w:lineRule="exact"/>
        <w:ind w:firstLine="420" w:firstLineChars="200"/>
        <w:jc w:val="left"/>
        <w:rPr>
          <w:color w:val="auto"/>
        </w:rPr>
      </w:pPr>
      <w:r>
        <w:rPr>
          <w:color w:val="auto"/>
        </w:rPr>
        <w:t xml:space="preserve">3.3.3 </w:t>
      </w:r>
      <w:r>
        <w:rPr>
          <w:bCs/>
          <w:snapToGrid w:val="0"/>
          <w:color w:val="auto"/>
          <w:kern w:val="0"/>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4"/>
        <w:spacing w:before="0" w:after="0" w:line="500" w:lineRule="exact"/>
        <w:rPr>
          <w:rFonts w:ascii="Times New Roman" w:hAnsi="Times New Roman"/>
          <w:color w:val="auto"/>
        </w:rPr>
      </w:pPr>
      <w:r>
        <w:rPr>
          <w:rFonts w:ascii="Times New Roman" w:hAnsi="Times New Roman"/>
          <w:color w:val="auto"/>
        </w:rPr>
        <w:t>3.4 投标保证金</w:t>
      </w:r>
      <w:bookmarkEnd w:id="143"/>
      <w:bookmarkEnd w:id="144"/>
      <w:bookmarkEnd w:id="145"/>
      <w:bookmarkEnd w:id="146"/>
    </w:p>
    <w:p>
      <w:pPr>
        <w:spacing w:line="500" w:lineRule="exact"/>
        <w:ind w:firstLine="420" w:firstLineChars="200"/>
        <w:rPr>
          <w:color w:val="auto"/>
        </w:rPr>
      </w:pPr>
      <w:r>
        <w:rPr>
          <w:color w:val="auto"/>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500" w:lineRule="exact"/>
        <w:ind w:firstLine="420" w:firstLineChars="200"/>
        <w:rPr>
          <w:bCs/>
          <w:snapToGrid w:val="0"/>
          <w:color w:val="auto"/>
          <w:kern w:val="0"/>
          <w:szCs w:val="21"/>
        </w:rPr>
      </w:pPr>
      <w:r>
        <w:rPr>
          <w:bCs/>
          <w:snapToGrid w:val="0"/>
          <w:color w:val="auto"/>
          <w:kern w:val="0"/>
          <w:szCs w:val="21"/>
        </w:rPr>
        <w:t>无论采取何种形式的投标保证金，投标保证金有效期均应与投标有效期一致。招标人如果按本章第3.3.3项的规定延长了投标有效期，则投标保证金的有效期也相应延长。</w:t>
      </w:r>
    </w:p>
    <w:p>
      <w:pPr>
        <w:spacing w:line="500" w:lineRule="exact"/>
        <w:ind w:firstLine="420" w:firstLineChars="200"/>
        <w:rPr>
          <w:color w:val="auto"/>
        </w:rPr>
      </w:pPr>
      <w:r>
        <w:rPr>
          <w:color w:val="auto"/>
        </w:rPr>
        <w:t>3.4.2 投标人不按本章第3.4.1项要求提交投标保证金的，评标委员会将否决其投标。</w:t>
      </w:r>
    </w:p>
    <w:p>
      <w:pPr>
        <w:spacing w:line="500" w:lineRule="exact"/>
        <w:ind w:firstLine="420" w:firstLineChars="200"/>
        <w:rPr>
          <w:bCs/>
          <w:snapToGrid w:val="0"/>
          <w:color w:val="auto"/>
          <w:kern w:val="0"/>
          <w:szCs w:val="21"/>
        </w:rPr>
      </w:pPr>
      <w:r>
        <w:rPr>
          <w:color w:val="auto"/>
        </w:rPr>
        <w:t xml:space="preserve">3.4.3 </w:t>
      </w:r>
      <w:r>
        <w:rPr>
          <w:bCs/>
          <w:snapToGrid w:val="0"/>
          <w:color w:val="auto"/>
          <w:kern w:val="0"/>
          <w:szCs w:val="21"/>
        </w:rPr>
        <w:t>招标人最迟将在中标通知书发出后5日内向中标候选人以外的其他投标人退还投标保证金，与中标人签订合同后5日内向中标人和其他中标候选人退还投标保证金。</w:t>
      </w:r>
    </w:p>
    <w:p>
      <w:pPr>
        <w:spacing w:line="500" w:lineRule="exact"/>
        <w:ind w:firstLine="420" w:firstLineChars="200"/>
        <w:rPr>
          <w:color w:val="auto"/>
        </w:rPr>
      </w:pPr>
      <w:bookmarkStart w:id="147" w:name="_Toc179632570"/>
      <w:bookmarkStart w:id="148" w:name="_Toc144974520"/>
      <w:bookmarkStart w:id="149" w:name="_Toc152045552"/>
      <w:bookmarkStart w:id="150" w:name="_Toc152042328"/>
      <w:r>
        <w:rPr>
          <w:color w:val="auto"/>
        </w:rPr>
        <w:t xml:space="preserve">3.4.4 有下列情形之一的，投标保证金将不予退还： </w:t>
      </w:r>
    </w:p>
    <w:p>
      <w:pPr>
        <w:spacing w:line="500" w:lineRule="exact"/>
        <w:ind w:firstLine="420" w:firstLineChars="200"/>
        <w:rPr>
          <w:color w:val="auto"/>
        </w:rPr>
      </w:pPr>
      <w:r>
        <w:rPr>
          <w:color w:val="auto"/>
        </w:rPr>
        <w:t>（1）投标人在规定的投标有效期内撤销其投标文件；</w:t>
      </w:r>
    </w:p>
    <w:p>
      <w:pPr>
        <w:spacing w:line="500" w:lineRule="exact"/>
        <w:ind w:firstLine="420" w:firstLineChars="200"/>
        <w:rPr>
          <w:color w:val="auto"/>
        </w:rPr>
      </w:pPr>
      <w:r>
        <w:rPr>
          <w:color w:val="auto"/>
        </w:rPr>
        <w:t>（2）中标人在收到中标通知书后，无正当理由不与招标人订立合同，在签订合同时向招标人提出附加条件，或不按照招标文件要求提交履约保证金；</w:t>
      </w:r>
    </w:p>
    <w:p>
      <w:pPr>
        <w:spacing w:line="500" w:lineRule="exact"/>
        <w:ind w:firstLine="420" w:firstLineChars="200"/>
        <w:rPr>
          <w:color w:val="auto"/>
        </w:rPr>
      </w:pPr>
      <w:r>
        <w:rPr>
          <w:color w:val="auto"/>
        </w:rPr>
        <w:t>（3）发生投标人须知前附表规定的其他可以不予退还投标保证金的情形。</w:t>
      </w:r>
    </w:p>
    <w:p>
      <w:pPr>
        <w:pStyle w:val="4"/>
        <w:spacing w:before="0" w:after="0" w:line="500" w:lineRule="exact"/>
        <w:rPr>
          <w:rFonts w:ascii="Times New Roman" w:hAnsi="Times New Roman"/>
          <w:color w:val="auto"/>
        </w:rPr>
      </w:pPr>
      <w:r>
        <w:rPr>
          <w:rFonts w:ascii="Times New Roman" w:hAnsi="Times New Roman"/>
          <w:color w:val="auto"/>
        </w:rPr>
        <w:t>3.5 资格审查资料</w:t>
      </w:r>
      <w:bookmarkEnd w:id="147"/>
      <w:bookmarkEnd w:id="148"/>
      <w:bookmarkEnd w:id="149"/>
      <w:bookmarkEnd w:id="150"/>
    </w:p>
    <w:p>
      <w:pPr>
        <w:spacing w:line="500" w:lineRule="exact"/>
        <w:ind w:firstLine="420" w:firstLineChars="200"/>
        <w:rPr>
          <w:bCs/>
          <w:snapToGrid w:val="0"/>
          <w:color w:val="auto"/>
          <w:kern w:val="0"/>
          <w:szCs w:val="21"/>
        </w:rPr>
      </w:pPr>
      <w:r>
        <w:rPr>
          <w:bCs/>
          <w:snapToGrid w:val="0"/>
          <w:color w:val="auto"/>
          <w:kern w:val="0"/>
          <w:szCs w:val="21"/>
        </w:rPr>
        <w:t>3.5.1 投标人应按投标人须知前附表附录要求提供资格审查资料，内容及格式见第六章“投标文件格式”要求。</w:t>
      </w:r>
    </w:p>
    <w:p>
      <w:pPr>
        <w:spacing w:line="500" w:lineRule="exact"/>
        <w:ind w:firstLine="420" w:firstLineChars="200"/>
        <w:rPr>
          <w:bCs/>
          <w:snapToGrid w:val="0"/>
          <w:color w:val="auto"/>
          <w:kern w:val="0"/>
          <w:szCs w:val="21"/>
        </w:rPr>
      </w:pPr>
      <w:r>
        <w:rPr>
          <w:bCs/>
          <w:snapToGrid w:val="0"/>
          <w:color w:val="auto"/>
          <w:kern w:val="0"/>
          <w:szCs w:val="21"/>
        </w:rPr>
        <w:t>3.5.2 投标人须知前附表规定接受联合体投标的，资格审查资料应包括联合体各方相关情况。</w:t>
      </w:r>
    </w:p>
    <w:p>
      <w:pPr>
        <w:spacing w:line="500" w:lineRule="exact"/>
        <w:ind w:firstLine="420" w:firstLineChars="200"/>
        <w:rPr>
          <w:bCs/>
          <w:snapToGrid w:val="0"/>
          <w:color w:val="auto"/>
          <w:kern w:val="0"/>
          <w:szCs w:val="21"/>
        </w:rPr>
      </w:pPr>
      <w:r>
        <w:rPr>
          <w:bCs/>
          <w:snapToGrid w:val="0"/>
          <w:color w:val="auto"/>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pPr>
        <w:pStyle w:val="4"/>
        <w:spacing w:before="0" w:after="0" w:line="500" w:lineRule="exact"/>
        <w:rPr>
          <w:rFonts w:ascii="Times New Roman" w:hAnsi="Times New Roman"/>
          <w:color w:val="auto"/>
        </w:rPr>
      </w:pPr>
      <w:r>
        <w:rPr>
          <w:rFonts w:ascii="Times New Roman" w:hAnsi="Times New Roman"/>
          <w:color w:val="auto"/>
        </w:rPr>
        <w:t>3.6 备选投标方案</w:t>
      </w:r>
    </w:p>
    <w:p>
      <w:pPr>
        <w:spacing w:line="500" w:lineRule="exact"/>
        <w:ind w:firstLine="420" w:firstLineChars="200"/>
        <w:rPr>
          <w:color w:val="auto"/>
        </w:rPr>
      </w:pPr>
      <w:r>
        <w:rPr>
          <w:color w:val="auto"/>
        </w:rPr>
        <w:t>3.6.1 除投标人须知前附表规定允许外，投标人不得递交备选投标方案，否则其投标将被否决。</w:t>
      </w:r>
    </w:p>
    <w:p>
      <w:pPr>
        <w:spacing w:line="500" w:lineRule="exact"/>
        <w:ind w:firstLine="420" w:firstLineChars="200"/>
        <w:rPr>
          <w:color w:val="auto"/>
        </w:rPr>
      </w:pPr>
      <w:r>
        <w:rPr>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500" w:lineRule="exact"/>
        <w:ind w:firstLine="420" w:firstLineChars="200"/>
        <w:rPr>
          <w:color w:val="auto"/>
        </w:rPr>
      </w:pPr>
      <w:r>
        <w:rPr>
          <w:color w:val="auto"/>
        </w:rPr>
        <w:t>3.6.3 投标人提供两个或两个以上投标报价，或者在投标文件中提供一个报价，但同时提供两个或两个以上</w:t>
      </w:r>
      <w:bookmarkStart w:id="151" w:name="_Toc247513974"/>
      <w:bookmarkStart w:id="152" w:name="_Toc300834971"/>
      <w:bookmarkStart w:id="153" w:name="_Toc29902"/>
      <w:bookmarkStart w:id="154" w:name="_Toc361508607"/>
      <w:bookmarkStart w:id="155" w:name="_Toc369531538"/>
      <w:bookmarkStart w:id="156" w:name="_Toc247527575"/>
      <w:bookmarkStart w:id="157" w:name="_Toc352691495"/>
      <w:bookmarkStart w:id="158" w:name="_Toc384308232"/>
      <w:r>
        <w:rPr>
          <w:color w:val="auto"/>
        </w:rPr>
        <w:t>技术方案的</w:t>
      </w:r>
      <w:bookmarkEnd w:id="151"/>
      <w:bookmarkEnd w:id="152"/>
      <w:bookmarkEnd w:id="153"/>
      <w:bookmarkEnd w:id="154"/>
      <w:bookmarkEnd w:id="155"/>
      <w:bookmarkEnd w:id="156"/>
      <w:bookmarkEnd w:id="157"/>
      <w:bookmarkEnd w:id="158"/>
      <w:r>
        <w:rPr>
          <w:color w:val="auto"/>
        </w:rPr>
        <w:t>，视为提供备选方案。</w:t>
      </w:r>
    </w:p>
    <w:p>
      <w:pPr>
        <w:pStyle w:val="4"/>
        <w:spacing w:before="0" w:after="0" w:line="500" w:lineRule="exact"/>
        <w:rPr>
          <w:rFonts w:ascii="Times New Roman" w:hAnsi="Times New Roman"/>
          <w:color w:val="auto"/>
        </w:rPr>
      </w:pPr>
      <w:bookmarkStart w:id="159" w:name="_Toc144974522"/>
      <w:bookmarkStart w:id="160" w:name="_Toc152042330"/>
      <w:bookmarkStart w:id="161" w:name="_Toc179632572"/>
      <w:bookmarkStart w:id="162" w:name="_Toc152045554"/>
      <w:r>
        <w:rPr>
          <w:rFonts w:ascii="Times New Roman" w:hAnsi="Times New Roman"/>
          <w:color w:val="auto"/>
        </w:rPr>
        <w:t>3.7 投标文件的编制</w:t>
      </w:r>
      <w:bookmarkEnd w:id="159"/>
      <w:bookmarkEnd w:id="160"/>
      <w:bookmarkEnd w:id="161"/>
      <w:bookmarkEnd w:id="162"/>
    </w:p>
    <w:p>
      <w:pPr>
        <w:spacing w:line="500" w:lineRule="exact"/>
        <w:ind w:firstLine="420" w:firstLineChars="200"/>
        <w:rPr>
          <w:color w:val="auto"/>
        </w:rPr>
      </w:pPr>
      <w:r>
        <w:rPr>
          <w:color w:val="auto"/>
        </w:rPr>
        <w:t>3.7.1 投标文件应按第六章“投标文件格式”进行编写，如有必要，可以增加附页，作为投标文件的组成部分。</w:t>
      </w:r>
    </w:p>
    <w:p>
      <w:pPr>
        <w:spacing w:line="500" w:lineRule="exact"/>
        <w:ind w:firstLine="420" w:firstLineChars="200"/>
        <w:rPr>
          <w:color w:val="auto"/>
        </w:rPr>
      </w:pPr>
      <w:r>
        <w:rPr>
          <w:color w:val="auto"/>
        </w:rPr>
        <w:t>3.7.2 投标文件应当对招标文件有关交货（安装）周期、投标有效期、供货要求、招标范围等实质性内容作出响应。投标文件在满足招标文件实质性要求的基础上，可以提出比招标文件要求更有利于招标人的承诺。</w:t>
      </w:r>
    </w:p>
    <w:p>
      <w:pPr>
        <w:spacing w:line="500" w:lineRule="exact"/>
        <w:ind w:firstLine="420" w:firstLineChars="200"/>
        <w:rPr>
          <w:snapToGrid w:val="0"/>
          <w:color w:val="auto"/>
          <w:kern w:val="0"/>
          <w:szCs w:val="21"/>
          <w:shd w:val="clear" w:color="auto" w:fill="FFFFFF"/>
        </w:rPr>
      </w:pPr>
      <w:r>
        <w:rPr>
          <w:rFonts w:eastAsia="楷体"/>
          <w:snapToGrid w:val="0"/>
          <w:color w:val="auto"/>
          <w:kern w:val="0"/>
          <w:szCs w:val="21"/>
          <w:shd w:val="clear" w:color="auto" w:fill="FFFFFF"/>
        </w:rPr>
        <w:t xml:space="preserve">3.7.3 </w:t>
      </w:r>
      <w:r>
        <w:rPr>
          <w:color w:val="auto"/>
        </w:rPr>
        <w:t>本项目要求提供纸质版投标文件，投标</w:t>
      </w:r>
      <w:r>
        <w:rPr>
          <w:snapToGrid w:val="0"/>
          <w:color w:val="auto"/>
          <w:kern w:val="0"/>
          <w:szCs w:val="21"/>
          <w:shd w:val="clear" w:color="auto" w:fill="FFFFFF"/>
        </w:rPr>
        <w:t>文件的制作应满足以下规定：</w:t>
      </w:r>
    </w:p>
    <w:p>
      <w:pPr>
        <w:spacing w:line="500" w:lineRule="exact"/>
        <w:ind w:firstLine="420" w:firstLineChars="200"/>
        <w:rPr>
          <w:color w:val="auto"/>
        </w:rPr>
      </w:pPr>
      <w:r>
        <w:rPr>
          <w:color w:val="auto"/>
        </w:rPr>
        <w:t>（1）投标文件应装订成册、密封，并在封面注明招标编号、投标项目等，同时在密封处加盖骑缝章；投标文件要求：正、副本各一份。</w:t>
      </w:r>
    </w:p>
    <w:p>
      <w:pPr>
        <w:spacing w:line="500" w:lineRule="exact"/>
        <w:ind w:firstLine="420" w:firstLineChars="200"/>
        <w:rPr>
          <w:color w:val="auto"/>
        </w:rPr>
      </w:pPr>
      <w:r>
        <w:rPr>
          <w:color w:val="auto"/>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pPr>
        <w:spacing w:line="500" w:lineRule="exact"/>
        <w:ind w:firstLine="420" w:firstLineChars="200"/>
        <w:rPr>
          <w:color w:val="auto"/>
        </w:rPr>
      </w:pPr>
      <w:r>
        <w:rPr>
          <w:color w:val="auto"/>
        </w:rPr>
        <w:t>（3）投标文件制作完成后，投标人应对投标文件进行装订成册、密封，形成密封的投标文件，否则引起的责任由投标人自行承担。</w:t>
      </w:r>
    </w:p>
    <w:p>
      <w:pPr>
        <w:spacing w:line="500" w:lineRule="exact"/>
        <w:ind w:firstLine="420" w:firstLineChars="200"/>
        <w:rPr>
          <w:rFonts w:eastAsia="等线"/>
          <w:color w:val="auto"/>
          <w:sz w:val="24"/>
          <w:highlight w:val="yellow"/>
        </w:rPr>
      </w:pPr>
      <w:r>
        <w:rPr>
          <w:snapToGrid w:val="0"/>
          <w:color w:val="auto"/>
          <w:kern w:val="0"/>
          <w:szCs w:val="21"/>
          <w:shd w:val="clear" w:color="auto" w:fill="FFFFFF"/>
        </w:rPr>
        <w:t xml:space="preserve">3.7.4 </w:t>
      </w:r>
      <w:r>
        <w:rPr>
          <w:color w:val="auto"/>
        </w:rPr>
        <w:t>因投标人自身原因而导致投标文件无法开标、评标，该投标视为无效投标，投标人自行承担由此导致的全部责任。</w:t>
      </w:r>
    </w:p>
    <w:p>
      <w:pPr>
        <w:pStyle w:val="2"/>
        <w:spacing w:before="0" w:after="0" w:line="500" w:lineRule="exact"/>
        <w:rPr>
          <w:rFonts w:ascii="Times New Roman" w:hAnsi="Times New Roman" w:eastAsia="黑体"/>
          <w:b w:val="0"/>
          <w:color w:val="auto"/>
          <w:sz w:val="28"/>
          <w:szCs w:val="28"/>
        </w:rPr>
      </w:pPr>
      <w:bookmarkStart w:id="163" w:name="_Toc144974523"/>
      <w:bookmarkStart w:id="164" w:name="_Toc27208"/>
      <w:bookmarkStart w:id="165" w:name="_Toc179632573"/>
      <w:bookmarkStart w:id="166" w:name="_Toc152042331"/>
      <w:bookmarkStart w:id="167" w:name="_Toc20257"/>
      <w:bookmarkStart w:id="168" w:name="_Toc22300"/>
      <w:bookmarkStart w:id="169" w:name="_Toc152045555"/>
      <w:r>
        <w:rPr>
          <w:rFonts w:ascii="Times New Roman" w:hAnsi="Times New Roman" w:eastAsia="黑体"/>
          <w:b w:val="0"/>
          <w:color w:val="auto"/>
          <w:sz w:val="28"/>
          <w:szCs w:val="28"/>
        </w:rPr>
        <w:t>4. 投标</w:t>
      </w:r>
      <w:bookmarkEnd w:id="163"/>
      <w:bookmarkEnd w:id="164"/>
      <w:bookmarkEnd w:id="165"/>
      <w:bookmarkEnd w:id="166"/>
      <w:bookmarkEnd w:id="167"/>
      <w:bookmarkEnd w:id="168"/>
      <w:bookmarkEnd w:id="169"/>
    </w:p>
    <w:p>
      <w:pPr>
        <w:pStyle w:val="4"/>
        <w:spacing w:before="0" w:after="0" w:line="500" w:lineRule="exact"/>
        <w:rPr>
          <w:rFonts w:ascii="Times New Roman" w:hAnsi="Times New Roman"/>
          <w:color w:val="auto"/>
        </w:rPr>
      </w:pPr>
      <w:bookmarkStart w:id="170" w:name="_Toc152045556"/>
      <w:bookmarkStart w:id="171" w:name="_Toc152042332"/>
      <w:bookmarkStart w:id="172" w:name="_Toc144974524"/>
      <w:bookmarkStart w:id="173" w:name="_Toc179632574"/>
      <w:r>
        <w:rPr>
          <w:rFonts w:ascii="Times New Roman" w:hAnsi="Times New Roman"/>
          <w:color w:val="auto"/>
        </w:rPr>
        <w:t>4.1 投标文件的加密（密封）和标记</w:t>
      </w:r>
      <w:bookmarkEnd w:id="170"/>
      <w:bookmarkEnd w:id="171"/>
      <w:bookmarkEnd w:id="172"/>
      <w:bookmarkEnd w:id="173"/>
    </w:p>
    <w:p>
      <w:pPr>
        <w:spacing w:line="500" w:lineRule="exact"/>
        <w:ind w:firstLine="420" w:firstLineChars="200"/>
        <w:rPr>
          <w:color w:val="auto"/>
        </w:rPr>
      </w:pPr>
      <w:r>
        <w:rPr>
          <w:color w:val="auto"/>
        </w:rPr>
        <w:t xml:space="preserve"> </w:t>
      </w:r>
      <w:r>
        <w:rPr>
          <w:bCs/>
          <w:snapToGrid w:val="0"/>
          <w:color w:val="auto"/>
          <w:kern w:val="0"/>
          <w:szCs w:val="21"/>
        </w:rPr>
        <w:t>投标文件应按照本章第 3.7.3 项要求制作并加密，未按要求加密的投标文件将被拒绝接收。</w:t>
      </w:r>
    </w:p>
    <w:p>
      <w:pPr>
        <w:pStyle w:val="4"/>
        <w:spacing w:before="0" w:after="0" w:line="500" w:lineRule="exact"/>
        <w:rPr>
          <w:rFonts w:ascii="Times New Roman" w:hAnsi="Times New Roman"/>
          <w:color w:val="auto"/>
        </w:rPr>
      </w:pPr>
      <w:bookmarkStart w:id="174" w:name="_Toc152045557"/>
      <w:bookmarkStart w:id="175" w:name="_Toc144974525"/>
      <w:bookmarkStart w:id="176" w:name="_Toc152042333"/>
      <w:bookmarkStart w:id="177" w:name="_Toc179632575"/>
      <w:r>
        <w:rPr>
          <w:rFonts w:ascii="Times New Roman" w:hAnsi="Times New Roman"/>
          <w:color w:val="auto"/>
        </w:rPr>
        <w:t>4.2 投标文件的递交</w:t>
      </w:r>
      <w:bookmarkEnd w:id="174"/>
      <w:bookmarkEnd w:id="175"/>
      <w:bookmarkEnd w:id="176"/>
      <w:bookmarkEnd w:id="177"/>
    </w:p>
    <w:p>
      <w:pPr>
        <w:spacing w:line="500" w:lineRule="exact"/>
        <w:ind w:firstLine="420" w:firstLineChars="200"/>
        <w:rPr>
          <w:snapToGrid w:val="0"/>
          <w:color w:val="auto"/>
          <w:kern w:val="0"/>
          <w:szCs w:val="21"/>
          <w:lang w:bidi="en-US"/>
        </w:rPr>
      </w:pPr>
      <w:r>
        <w:rPr>
          <w:color w:val="auto"/>
        </w:rPr>
        <w:t>4.2.1</w:t>
      </w:r>
      <w:r>
        <w:rPr>
          <w:snapToGrid w:val="0"/>
          <w:color w:val="auto"/>
          <w:kern w:val="0"/>
          <w:szCs w:val="21"/>
          <w:lang w:bidi="en-US"/>
        </w:rPr>
        <w:t xml:space="preserve"> 投标人应当在第一章“招标公告”规定的投标截止时间前，将封装的投标文件送到指定开标地点。</w:t>
      </w:r>
    </w:p>
    <w:p>
      <w:pPr>
        <w:spacing w:line="500" w:lineRule="exact"/>
        <w:ind w:firstLine="420" w:firstLineChars="200"/>
        <w:rPr>
          <w:color w:val="auto"/>
        </w:rPr>
      </w:pPr>
      <w:r>
        <w:rPr>
          <w:color w:val="auto"/>
        </w:rPr>
        <w:t>4.2.2 除投标人须知前附表另有规定外，投标人所递交的投标文件不予退还。</w:t>
      </w:r>
    </w:p>
    <w:p>
      <w:pPr>
        <w:pStyle w:val="4"/>
        <w:spacing w:before="0" w:after="0" w:line="500" w:lineRule="exact"/>
        <w:rPr>
          <w:rFonts w:ascii="Times New Roman" w:hAnsi="Times New Roman"/>
          <w:color w:val="auto"/>
        </w:rPr>
      </w:pPr>
      <w:bookmarkStart w:id="178" w:name="_Toc179632576"/>
      <w:bookmarkStart w:id="179" w:name="_Toc152042334"/>
      <w:bookmarkStart w:id="180" w:name="_Toc152045558"/>
      <w:bookmarkStart w:id="181" w:name="_Toc144974526"/>
      <w:r>
        <w:rPr>
          <w:rFonts w:ascii="Times New Roman" w:hAnsi="Times New Roman"/>
          <w:color w:val="auto"/>
        </w:rPr>
        <w:t>4.3 投标文件的修改与撤回</w:t>
      </w:r>
      <w:bookmarkEnd w:id="178"/>
      <w:bookmarkEnd w:id="179"/>
      <w:bookmarkEnd w:id="180"/>
      <w:bookmarkEnd w:id="181"/>
    </w:p>
    <w:p>
      <w:pPr>
        <w:spacing w:line="500" w:lineRule="exact"/>
        <w:ind w:firstLine="420" w:firstLineChars="200"/>
        <w:rPr>
          <w:color w:val="auto"/>
        </w:rPr>
      </w:pPr>
      <w:r>
        <w:rPr>
          <w:bCs/>
          <w:snapToGrid w:val="0"/>
          <w:color w:val="auto"/>
          <w:kern w:val="0"/>
          <w:szCs w:val="21"/>
        </w:rPr>
        <w:t>在本章第4.2.1项规定的投标截止时间前，投标人可以修改或撤回已递交的投标文件。投标截止时间前未提交投标文件的，视为无效投标文件。未按规定密封或投标截止时间后送达的投标文件，应当拒收。</w:t>
      </w:r>
    </w:p>
    <w:p>
      <w:pPr>
        <w:pStyle w:val="2"/>
        <w:spacing w:before="0" w:after="0" w:line="500" w:lineRule="exact"/>
        <w:rPr>
          <w:rFonts w:ascii="Times New Roman" w:hAnsi="Times New Roman" w:eastAsia="黑体"/>
          <w:b w:val="0"/>
          <w:color w:val="auto"/>
          <w:sz w:val="28"/>
          <w:szCs w:val="28"/>
        </w:rPr>
      </w:pPr>
      <w:bookmarkStart w:id="182" w:name="_Toc29283"/>
      <w:bookmarkStart w:id="183" w:name="_Toc32671"/>
      <w:bookmarkStart w:id="184" w:name="_Toc152042335"/>
      <w:bookmarkStart w:id="185" w:name="_Toc152045559"/>
      <w:bookmarkStart w:id="186" w:name="_Toc144974527"/>
      <w:bookmarkStart w:id="187" w:name="_Toc179632577"/>
      <w:bookmarkStart w:id="188" w:name="_Toc31172"/>
      <w:r>
        <w:rPr>
          <w:rFonts w:ascii="Times New Roman" w:hAnsi="Times New Roman" w:eastAsia="黑体"/>
          <w:b w:val="0"/>
          <w:color w:val="auto"/>
          <w:sz w:val="28"/>
          <w:szCs w:val="28"/>
        </w:rPr>
        <w:t>5. 开标</w:t>
      </w:r>
      <w:bookmarkEnd w:id="182"/>
      <w:bookmarkEnd w:id="183"/>
      <w:bookmarkEnd w:id="184"/>
      <w:bookmarkEnd w:id="185"/>
      <w:bookmarkEnd w:id="186"/>
      <w:bookmarkEnd w:id="187"/>
      <w:bookmarkEnd w:id="188"/>
    </w:p>
    <w:p>
      <w:pPr>
        <w:pStyle w:val="4"/>
        <w:spacing w:before="0" w:after="0" w:line="500" w:lineRule="exact"/>
        <w:rPr>
          <w:rFonts w:ascii="Times New Roman" w:hAnsi="Times New Roman"/>
          <w:color w:val="auto"/>
        </w:rPr>
      </w:pPr>
      <w:bookmarkStart w:id="189" w:name="_Toc144974528"/>
      <w:bookmarkStart w:id="190" w:name="_Toc152042336"/>
      <w:bookmarkStart w:id="191" w:name="_Toc152045560"/>
      <w:bookmarkStart w:id="192" w:name="_Toc179632578"/>
      <w:r>
        <w:rPr>
          <w:rFonts w:ascii="Times New Roman" w:hAnsi="Times New Roman"/>
          <w:color w:val="auto"/>
        </w:rPr>
        <w:t>5.1 开标时间和地点</w:t>
      </w:r>
      <w:bookmarkEnd w:id="189"/>
      <w:bookmarkEnd w:id="190"/>
      <w:bookmarkEnd w:id="191"/>
      <w:bookmarkEnd w:id="192"/>
    </w:p>
    <w:p>
      <w:pPr>
        <w:spacing w:line="500" w:lineRule="exact"/>
        <w:ind w:firstLine="420" w:firstLineChars="200"/>
        <w:rPr>
          <w:color w:val="auto"/>
        </w:rPr>
      </w:pPr>
      <w:r>
        <w:rPr>
          <w:bCs/>
          <w:snapToGrid w:val="0"/>
          <w:color w:val="auto"/>
          <w:kern w:val="0"/>
          <w:szCs w:val="21"/>
        </w:rPr>
        <w:t>招标人在本章第4.2.1项规定的投标截止时间（开标时间）和地点组织公开开标，所有投标人的法定代表人（单位负责人）或其委托代理人应当准时参加。</w:t>
      </w:r>
    </w:p>
    <w:p>
      <w:pPr>
        <w:pStyle w:val="4"/>
        <w:spacing w:before="0" w:after="0" w:line="500" w:lineRule="exact"/>
        <w:rPr>
          <w:rFonts w:ascii="Times New Roman" w:hAnsi="Times New Roman"/>
          <w:color w:val="auto"/>
        </w:rPr>
      </w:pPr>
      <w:bookmarkStart w:id="193" w:name="_Toc179632579"/>
      <w:bookmarkStart w:id="194" w:name="_Toc152042337"/>
      <w:bookmarkStart w:id="195" w:name="_Toc152045561"/>
      <w:bookmarkStart w:id="196" w:name="_Toc144974529"/>
      <w:r>
        <w:rPr>
          <w:rFonts w:ascii="Times New Roman" w:hAnsi="Times New Roman"/>
          <w:color w:val="auto"/>
        </w:rPr>
        <w:t>5.2 开标程序</w:t>
      </w:r>
      <w:bookmarkEnd w:id="193"/>
      <w:bookmarkEnd w:id="194"/>
      <w:bookmarkEnd w:id="195"/>
      <w:bookmarkEnd w:id="196"/>
    </w:p>
    <w:p>
      <w:pPr>
        <w:spacing w:line="500" w:lineRule="exact"/>
        <w:ind w:firstLine="420" w:firstLineChars="200"/>
        <w:rPr>
          <w:bCs/>
          <w:snapToGrid w:val="0"/>
          <w:color w:val="auto"/>
          <w:kern w:val="0"/>
          <w:szCs w:val="21"/>
        </w:rPr>
      </w:pPr>
      <w:r>
        <w:rPr>
          <w:bCs/>
          <w:snapToGrid w:val="0"/>
          <w:color w:val="auto"/>
          <w:kern w:val="0"/>
          <w:szCs w:val="21"/>
        </w:rPr>
        <w:t>开标时，招标人现场公布开标结果，公布内容包括投标人名称、投标价格及招标文件规定的内容。</w:t>
      </w:r>
    </w:p>
    <w:p>
      <w:pPr>
        <w:spacing w:line="500" w:lineRule="exact"/>
        <w:ind w:firstLine="420" w:firstLineChars="200"/>
        <w:rPr>
          <w:bCs/>
          <w:snapToGrid w:val="0"/>
          <w:color w:val="auto"/>
          <w:kern w:val="0"/>
          <w:szCs w:val="21"/>
        </w:rPr>
      </w:pPr>
      <w:r>
        <w:rPr>
          <w:bCs/>
          <w:snapToGrid w:val="0"/>
          <w:color w:val="auto"/>
          <w:kern w:val="0"/>
          <w:szCs w:val="21"/>
        </w:rPr>
        <w:t>招标人将对开标过程进行记录，由参加开标的各投标人代表和相关工作人员签字确认，并存档备查。</w:t>
      </w:r>
    </w:p>
    <w:p>
      <w:pPr>
        <w:pStyle w:val="4"/>
        <w:spacing w:before="0" w:after="0" w:line="500" w:lineRule="exact"/>
        <w:rPr>
          <w:rFonts w:ascii="Times New Roman" w:hAnsi="Times New Roman"/>
          <w:color w:val="auto"/>
        </w:rPr>
      </w:pPr>
      <w:r>
        <w:rPr>
          <w:rFonts w:ascii="Times New Roman" w:hAnsi="Times New Roman"/>
          <w:color w:val="auto"/>
        </w:rPr>
        <w:t>5.3 开标异议</w:t>
      </w:r>
    </w:p>
    <w:p>
      <w:pPr>
        <w:spacing w:line="500" w:lineRule="exact"/>
        <w:ind w:firstLine="420" w:firstLineChars="200"/>
        <w:rPr>
          <w:bCs/>
          <w:snapToGrid w:val="0"/>
          <w:color w:val="auto"/>
          <w:kern w:val="0"/>
          <w:szCs w:val="21"/>
        </w:rPr>
      </w:pPr>
      <w:r>
        <w:rPr>
          <w:bCs/>
          <w:snapToGrid w:val="0"/>
          <w:color w:val="auto"/>
          <w:kern w:val="0"/>
          <w:szCs w:val="21"/>
        </w:rPr>
        <w:t>投标人对开标有异议的，应当在开标过程中提出；招标人当场对异议作出答复，并记入开标记录。</w:t>
      </w:r>
    </w:p>
    <w:p>
      <w:pPr>
        <w:pStyle w:val="2"/>
        <w:spacing w:before="0" w:after="0" w:line="500" w:lineRule="exact"/>
        <w:rPr>
          <w:rFonts w:ascii="Times New Roman" w:hAnsi="Times New Roman" w:eastAsia="黑体"/>
          <w:b w:val="0"/>
          <w:color w:val="auto"/>
          <w:sz w:val="28"/>
          <w:szCs w:val="28"/>
        </w:rPr>
      </w:pPr>
      <w:bookmarkStart w:id="197" w:name="_Toc152045562"/>
      <w:bookmarkStart w:id="198" w:name="_Toc13412"/>
      <w:bookmarkStart w:id="199" w:name="_Toc152042338"/>
      <w:bookmarkStart w:id="200" w:name="_Toc19864"/>
      <w:bookmarkStart w:id="201" w:name="_Toc179632580"/>
      <w:bookmarkStart w:id="202" w:name="_Toc22475"/>
      <w:bookmarkStart w:id="203" w:name="_Toc144974530"/>
      <w:r>
        <w:rPr>
          <w:rFonts w:ascii="Times New Roman" w:hAnsi="Times New Roman" w:eastAsia="黑体"/>
          <w:b w:val="0"/>
          <w:color w:val="auto"/>
          <w:sz w:val="28"/>
          <w:szCs w:val="28"/>
        </w:rPr>
        <w:t>6. 评标</w:t>
      </w:r>
      <w:bookmarkEnd w:id="197"/>
      <w:bookmarkEnd w:id="198"/>
      <w:bookmarkEnd w:id="199"/>
      <w:bookmarkEnd w:id="200"/>
      <w:bookmarkEnd w:id="201"/>
      <w:bookmarkEnd w:id="202"/>
      <w:bookmarkEnd w:id="203"/>
    </w:p>
    <w:p>
      <w:pPr>
        <w:pStyle w:val="4"/>
        <w:spacing w:before="0" w:after="0" w:line="500" w:lineRule="exact"/>
        <w:rPr>
          <w:rFonts w:ascii="Times New Roman" w:hAnsi="Times New Roman"/>
          <w:color w:val="auto"/>
        </w:rPr>
      </w:pPr>
      <w:bookmarkStart w:id="204" w:name="_Toc179632581"/>
      <w:bookmarkStart w:id="205" w:name="_Toc152042339"/>
      <w:bookmarkStart w:id="206" w:name="_Toc152045563"/>
      <w:bookmarkStart w:id="207" w:name="_Toc144974531"/>
      <w:r>
        <w:rPr>
          <w:rFonts w:ascii="Times New Roman" w:hAnsi="Times New Roman"/>
          <w:color w:val="auto"/>
        </w:rPr>
        <w:t>6.1 评标委员会</w:t>
      </w:r>
      <w:bookmarkEnd w:id="204"/>
      <w:bookmarkEnd w:id="205"/>
      <w:bookmarkEnd w:id="206"/>
      <w:bookmarkEnd w:id="207"/>
    </w:p>
    <w:p>
      <w:pPr>
        <w:spacing w:line="500" w:lineRule="exact"/>
        <w:ind w:firstLine="420" w:firstLineChars="200"/>
        <w:rPr>
          <w:color w:val="auto"/>
        </w:rPr>
      </w:pPr>
      <w:r>
        <w:rPr>
          <w:color w:val="auto"/>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500" w:lineRule="exact"/>
        <w:ind w:firstLine="420" w:firstLineChars="200"/>
        <w:rPr>
          <w:color w:val="auto"/>
        </w:rPr>
      </w:pPr>
      <w:r>
        <w:rPr>
          <w:color w:val="auto"/>
        </w:rPr>
        <w:t>6.1.2 评标委员会成员有下列情形之一的，应当主动提出回避：</w:t>
      </w:r>
    </w:p>
    <w:p>
      <w:pPr>
        <w:spacing w:line="500" w:lineRule="exact"/>
        <w:ind w:firstLine="420" w:firstLineChars="200"/>
        <w:rPr>
          <w:color w:val="auto"/>
        </w:rPr>
      </w:pPr>
      <w:bookmarkStart w:id="208" w:name="_Toc152042340"/>
      <w:bookmarkStart w:id="209" w:name="_Toc179632582"/>
      <w:bookmarkStart w:id="210" w:name="_Toc144974532"/>
      <w:bookmarkStart w:id="211" w:name="_Toc152045564"/>
      <w:r>
        <w:rPr>
          <w:color w:val="auto"/>
        </w:rPr>
        <w:t>（1）</w:t>
      </w:r>
      <w:r>
        <w:rPr>
          <w:bCs/>
          <w:snapToGrid w:val="0"/>
          <w:color w:val="auto"/>
          <w:kern w:val="0"/>
          <w:szCs w:val="21"/>
        </w:rPr>
        <w:t>投标人</w:t>
      </w:r>
      <w:r>
        <w:rPr>
          <w:color w:val="auto"/>
        </w:rPr>
        <w:t xml:space="preserve">或投标人的主要负责人的近亲属； </w:t>
      </w:r>
    </w:p>
    <w:p>
      <w:pPr>
        <w:spacing w:line="500" w:lineRule="exact"/>
        <w:ind w:firstLine="420" w:firstLineChars="200"/>
        <w:rPr>
          <w:color w:val="auto"/>
        </w:rPr>
      </w:pPr>
      <w:r>
        <w:rPr>
          <w:color w:val="auto"/>
        </w:rPr>
        <w:t>（2）项目主管部门或者行政监督部门的人员；</w:t>
      </w:r>
    </w:p>
    <w:p>
      <w:pPr>
        <w:spacing w:line="500" w:lineRule="exact"/>
        <w:ind w:firstLine="420" w:firstLineChars="200"/>
        <w:rPr>
          <w:color w:val="auto"/>
        </w:rPr>
      </w:pPr>
      <w:r>
        <w:rPr>
          <w:color w:val="auto"/>
        </w:rPr>
        <w:t>（3）与投标人有经济利益关系，可能影响对投标公正评审的；</w:t>
      </w:r>
    </w:p>
    <w:p>
      <w:pPr>
        <w:spacing w:line="500" w:lineRule="exact"/>
        <w:ind w:firstLine="420" w:firstLineChars="200"/>
        <w:rPr>
          <w:color w:val="auto"/>
        </w:rPr>
      </w:pPr>
      <w:r>
        <w:rPr>
          <w:color w:val="auto"/>
        </w:rPr>
        <w:t>（4）曾因在招标、评标以及其他与招标投标有关活动中从事违法行为而受过行政处罚或刑事处罚的；</w:t>
      </w:r>
    </w:p>
    <w:p>
      <w:pPr>
        <w:spacing w:line="500" w:lineRule="exact"/>
        <w:ind w:firstLine="420" w:firstLineChars="200"/>
        <w:rPr>
          <w:bCs/>
          <w:snapToGrid w:val="0"/>
          <w:color w:val="auto"/>
          <w:kern w:val="0"/>
          <w:szCs w:val="21"/>
        </w:rPr>
      </w:pPr>
      <w:r>
        <w:rPr>
          <w:bCs/>
          <w:snapToGrid w:val="0"/>
          <w:color w:val="auto"/>
          <w:kern w:val="0"/>
          <w:szCs w:val="21"/>
        </w:rPr>
        <w:t>（5）与投标人有其他利害关系。</w:t>
      </w:r>
    </w:p>
    <w:p>
      <w:pPr>
        <w:spacing w:line="500" w:lineRule="exact"/>
        <w:ind w:firstLine="420" w:firstLineChars="200"/>
        <w:rPr>
          <w:bCs/>
          <w:snapToGrid w:val="0"/>
          <w:color w:val="auto"/>
          <w:kern w:val="0"/>
          <w:szCs w:val="21"/>
        </w:rPr>
      </w:pPr>
      <w:r>
        <w:rPr>
          <w:color w:val="auto"/>
        </w:rPr>
        <w:t xml:space="preserve">6.1.3 </w:t>
      </w:r>
      <w:r>
        <w:rPr>
          <w:bCs/>
          <w:snapToGrid w:val="0"/>
          <w:color w:val="auto"/>
          <w:kern w:val="0"/>
          <w:szCs w:val="21"/>
        </w:rPr>
        <w:t>评标过程中，评标委员会成员有回避事由、擅离职守或因健康等原因不能继续评标的，招标人有权更换。被更换的评标委员会成员作出的评审结论无效，由更换后的评标委员会成员重新进行评审。</w:t>
      </w:r>
    </w:p>
    <w:p>
      <w:pPr>
        <w:pStyle w:val="4"/>
        <w:spacing w:before="0" w:after="0" w:line="500" w:lineRule="exact"/>
        <w:rPr>
          <w:rFonts w:ascii="Times New Roman" w:hAnsi="Times New Roman"/>
          <w:color w:val="auto"/>
        </w:rPr>
      </w:pPr>
      <w:r>
        <w:rPr>
          <w:rFonts w:ascii="Times New Roman" w:hAnsi="Times New Roman"/>
          <w:color w:val="auto"/>
        </w:rPr>
        <w:t>6.2 评标原则</w:t>
      </w:r>
      <w:bookmarkEnd w:id="208"/>
      <w:bookmarkEnd w:id="209"/>
      <w:bookmarkEnd w:id="210"/>
      <w:bookmarkEnd w:id="211"/>
    </w:p>
    <w:p>
      <w:pPr>
        <w:spacing w:line="500" w:lineRule="exact"/>
        <w:ind w:firstLine="420" w:firstLineChars="200"/>
        <w:rPr>
          <w:color w:val="auto"/>
        </w:rPr>
      </w:pPr>
      <w:r>
        <w:rPr>
          <w:color w:val="auto"/>
        </w:rPr>
        <w:t>评标活动遵循公平、公正、科学和择优的原则。</w:t>
      </w:r>
    </w:p>
    <w:p>
      <w:pPr>
        <w:pStyle w:val="4"/>
        <w:spacing w:before="0" w:after="0" w:line="500" w:lineRule="exact"/>
        <w:rPr>
          <w:rFonts w:ascii="Times New Roman" w:hAnsi="Times New Roman"/>
          <w:color w:val="auto"/>
        </w:rPr>
      </w:pPr>
      <w:bookmarkStart w:id="212" w:name="_Toc144974533"/>
      <w:bookmarkStart w:id="213" w:name="_Toc152042341"/>
      <w:bookmarkStart w:id="214" w:name="_Toc152045565"/>
      <w:bookmarkStart w:id="215" w:name="_Toc179632583"/>
      <w:r>
        <w:rPr>
          <w:rFonts w:ascii="Times New Roman" w:hAnsi="Times New Roman"/>
          <w:color w:val="auto"/>
        </w:rPr>
        <w:t>6.3 评标</w:t>
      </w:r>
      <w:bookmarkEnd w:id="212"/>
      <w:bookmarkEnd w:id="213"/>
      <w:bookmarkEnd w:id="214"/>
      <w:bookmarkEnd w:id="215"/>
    </w:p>
    <w:p>
      <w:pPr>
        <w:spacing w:line="500" w:lineRule="exact"/>
        <w:ind w:firstLine="420" w:firstLineChars="200"/>
        <w:rPr>
          <w:color w:val="auto"/>
        </w:rPr>
      </w:pPr>
      <w:r>
        <w:rPr>
          <w:color w:val="auto"/>
        </w:rPr>
        <w:t>6.3.1 评标委员会按照第三章“评标办法”规定的方法、评审因素、标准和程序对投标文件进行评审。第三章“评标办法”没有规定的方法、评审因素和标准，不作为评标依据。</w:t>
      </w:r>
    </w:p>
    <w:p>
      <w:pPr>
        <w:spacing w:line="500" w:lineRule="exact"/>
        <w:ind w:firstLine="420" w:firstLineChars="200"/>
        <w:rPr>
          <w:color w:val="auto"/>
        </w:rPr>
      </w:pPr>
      <w:bookmarkStart w:id="216" w:name="_Toc152045566"/>
      <w:bookmarkStart w:id="217" w:name="_Toc152042342"/>
      <w:bookmarkStart w:id="218" w:name="_Toc179632584"/>
      <w:bookmarkStart w:id="219" w:name="_Toc144974534"/>
      <w:r>
        <w:rPr>
          <w:color w:val="auto"/>
        </w:rPr>
        <w:t xml:space="preserve">6.3.2 </w:t>
      </w:r>
      <w:r>
        <w:rPr>
          <w:bCs/>
          <w:snapToGrid w:val="0"/>
          <w:color w:val="auto"/>
          <w:kern w:val="0"/>
          <w:szCs w:val="21"/>
        </w:rPr>
        <w:t>评标完成后，评标委员会应向招标人提交书面评标报告和中标候选人名单。评标委员会推荐中标候选人的人数见投标人须知前附表。</w:t>
      </w:r>
    </w:p>
    <w:bookmarkEnd w:id="216"/>
    <w:bookmarkEnd w:id="217"/>
    <w:bookmarkEnd w:id="218"/>
    <w:bookmarkEnd w:id="219"/>
    <w:p>
      <w:pPr>
        <w:pStyle w:val="2"/>
        <w:spacing w:before="0" w:after="0" w:line="500" w:lineRule="exact"/>
        <w:rPr>
          <w:rFonts w:ascii="Times New Roman" w:hAnsi="Times New Roman" w:eastAsia="黑体"/>
          <w:b w:val="0"/>
          <w:bCs w:val="0"/>
          <w:color w:val="auto"/>
          <w:sz w:val="28"/>
          <w:szCs w:val="28"/>
        </w:rPr>
      </w:pPr>
      <w:bookmarkStart w:id="220" w:name="_Toc2937"/>
      <w:bookmarkStart w:id="221" w:name="_Toc8209"/>
      <w:bookmarkStart w:id="222" w:name="_Toc152045571"/>
      <w:bookmarkStart w:id="223" w:name="_Toc21046"/>
      <w:bookmarkStart w:id="224" w:name="_Toc30747"/>
      <w:bookmarkStart w:id="225" w:name="_Toc144974539"/>
      <w:bookmarkStart w:id="226" w:name="_Toc179632589"/>
      <w:bookmarkStart w:id="227" w:name="_Toc152042347"/>
      <w:r>
        <w:rPr>
          <w:rFonts w:ascii="Times New Roman" w:hAnsi="Times New Roman" w:eastAsia="黑体"/>
          <w:b w:val="0"/>
          <w:bCs w:val="0"/>
          <w:color w:val="auto"/>
          <w:sz w:val="28"/>
          <w:szCs w:val="28"/>
        </w:rPr>
        <w:t>7. 合同授予</w:t>
      </w:r>
      <w:bookmarkEnd w:id="220"/>
      <w:bookmarkEnd w:id="221"/>
    </w:p>
    <w:p>
      <w:pPr>
        <w:pStyle w:val="4"/>
        <w:spacing w:before="0" w:after="0" w:line="500" w:lineRule="exact"/>
        <w:rPr>
          <w:rFonts w:ascii="Times New Roman" w:hAnsi="Times New Roman"/>
          <w:color w:val="auto"/>
        </w:rPr>
      </w:pPr>
      <w:r>
        <w:rPr>
          <w:rFonts w:ascii="Times New Roman" w:hAnsi="Times New Roman"/>
          <w:color w:val="auto"/>
        </w:rPr>
        <w:t>7.1 中标候选人公示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招标人在收到评标报告之日起3日内，按照投标人须知前附表规定的公示媒介和期限依法公示中标候选人，公示期不得少于3日。</w:t>
      </w:r>
    </w:p>
    <w:p>
      <w:pPr>
        <w:pStyle w:val="4"/>
        <w:spacing w:before="0" w:after="0" w:line="500" w:lineRule="exact"/>
        <w:rPr>
          <w:rFonts w:ascii="Times New Roman" w:hAnsi="Times New Roman"/>
          <w:color w:val="auto"/>
        </w:rPr>
      </w:pPr>
      <w:r>
        <w:rPr>
          <w:rFonts w:ascii="Times New Roman" w:hAnsi="Times New Roman"/>
          <w:color w:val="auto"/>
        </w:rPr>
        <w:t>7.2 评标结果异议</w:t>
      </w:r>
    </w:p>
    <w:p>
      <w:pPr>
        <w:spacing w:line="500" w:lineRule="exact"/>
        <w:ind w:firstLine="420" w:firstLineChars="200"/>
        <w:rPr>
          <w:color w:val="auto"/>
        </w:rPr>
      </w:pPr>
      <w:r>
        <w:rPr>
          <w:color w:val="auto"/>
        </w:rPr>
        <w:t>投标人或者其他利</w:t>
      </w:r>
      <w:bookmarkStart w:id="228" w:name="_Toc352691505"/>
      <w:bookmarkStart w:id="229" w:name="_Toc361508618"/>
      <w:bookmarkStart w:id="230" w:name="_Toc300834982"/>
      <w:bookmarkStart w:id="231" w:name="_Toc384308243"/>
      <w:bookmarkStart w:id="232" w:name="_Toc369531549"/>
      <w:bookmarkStart w:id="233" w:name="_Toc30095"/>
      <w:bookmarkStart w:id="234" w:name="_Toc247527586"/>
      <w:bookmarkStart w:id="235" w:name="_Toc247513985"/>
      <w:r>
        <w:rPr>
          <w:color w:val="auto"/>
        </w:rPr>
        <w:t>害关系人对评标结</w:t>
      </w:r>
      <w:bookmarkEnd w:id="228"/>
      <w:bookmarkEnd w:id="229"/>
      <w:bookmarkEnd w:id="230"/>
      <w:bookmarkEnd w:id="231"/>
      <w:bookmarkEnd w:id="232"/>
      <w:bookmarkEnd w:id="233"/>
      <w:bookmarkEnd w:id="234"/>
      <w:bookmarkEnd w:id="235"/>
      <w:r>
        <w:rPr>
          <w:color w:val="auto"/>
        </w:rPr>
        <w:t>果有异议的，应当在中标候选人公示期间提出。招标人将在收到异议之日起3日内作出答复；作出答复前，将暂停招标投标活动。</w:t>
      </w:r>
    </w:p>
    <w:p>
      <w:pPr>
        <w:pStyle w:val="4"/>
        <w:spacing w:before="0" w:after="0" w:line="500" w:lineRule="exact"/>
        <w:rPr>
          <w:rFonts w:ascii="Times New Roman" w:hAnsi="Times New Roman"/>
          <w:color w:val="auto"/>
        </w:rPr>
      </w:pPr>
      <w:r>
        <w:rPr>
          <w:rFonts w:ascii="Times New Roman" w:hAnsi="Times New Roman"/>
          <w:color w:val="auto"/>
        </w:rPr>
        <w:t>7.3 中标候选人履约能力审查</w:t>
      </w:r>
    </w:p>
    <w:p>
      <w:pPr>
        <w:spacing w:line="500" w:lineRule="exact"/>
        <w:ind w:firstLine="420" w:firstLineChars="200"/>
        <w:rPr>
          <w:color w:val="auto"/>
        </w:rPr>
      </w:pPr>
      <w:r>
        <w:rPr>
          <w:color w:val="auto"/>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before="0" w:after="0" w:line="500" w:lineRule="exact"/>
        <w:rPr>
          <w:rFonts w:ascii="Times New Roman" w:hAnsi="Times New Roman"/>
          <w:color w:val="auto"/>
        </w:rPr>
      </w:pPr>
      <w:r>
        <w:rPr>
          <w:rFonts w:ascii="Times New Roman" w:hAnsi="Times New Roman"/>
          <w:color w:val="auto"/>
        </w:rPr>
        <w:t>7.4 定标</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spacing w:before="0" w:after="0" w:line="500" w:lineRule="exact"/>
        <w:rPr>
          <w:rFonts w:ascii="Times New Roman" w:hAnsi="Times New Roman"/>
          <w:color w:val="auto"/>
        </w:rPr>
      </w:pPr>
      <w:r>
        <w:rPr>
          <w:rFonts w:ascii="Times New Roman" w:hAnsi="Times New Roman"/>
          <w:color w:val="auto"/>
        </w:rPr>
        <w:t>7.5 中标通知</w:t>
      </w:r>
    </w:p>
    <w:p>
      <w:pPr>
        <w:spacing w:line="500" w:lineRule="exact"/>
        <w:ind w:firstLine="420" w:firstLineChars="200"/>
        <w:rPr>
          <w:color w:val="auto"/>
        </w:rPr>
      </w:pPr>
      <w:r>
        <w:rPr>
          <w:color w:val="auto"/>
        </w:rPr>
        <w:t>在本章第3.3款规定的投标有效期内，</w:t>
      </w:r>
      <w:bookmarkStart w:id="236" w:name="_Toc369531550"/>
      <w:bookmarkStart w:id="237" w:name="_Toc352691506"/>
      <w:bookmarkStart w:id="238" w:name="_Toc300834983"/>
      <w:bookmarkStart w:id="239" w:name="_Toc5668"/>
      <w:bookmarkStart w:id="240" w:name="_Toc361508619"/>
      <w:bookmarkStart w:id="241" w:name="_Toc384308244"/>
      <w:r>
        <w:rPr>
          <w:color w:val="auto"/>
        </w:rPr>
        <w:t>招标人按投标人须知前附表规定的形式向中标人发出中标通知书，同时将中</w:t>
      </w:r>
      <w:bookmarkEnd w:id="236"/>
      <w:bookmarkEnd w:id="237"/>
      <w:bookmarkEnd w:id="238"/>
      <w:bookmarkEnd w:id="239"/>
      <w:bookmarkEnd w:id="240"/>
      <w:bookmarkEnd w:id="241"/>
      <w:r>
        <w:rPr>
          <w:color w:val="auto"/>
        </w:rPr>
        <w:t>标结果通知未中标的投标人。</w:t>
      </w:r>
    </w:p>
    <w:p>
      <w:pPr>
        <w:pStyle w:val="4"/>
        <w:spacing w:before="0" w:after="0" w:line="500" w:lineRule="exact"/>
        <w:rPr>
          <w:rFonts w:ascii="Times New Roman" w:hAnsi="Times New Roman"/>
          <w:color w:val="auto"/>
        </w:rPr>
      </w:pPr>
      <w:r>
        <w:rPr>
          <w:rFonts w:ascii="Times New Roman" w:hAnsi="Times New Roman"/>
          <w:snapToGrid w:val="0"/>
          <w:color w:val="auto"/>
        </w:rPr>
        <w:t>7.6 中标结果公示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招标人在确定中标人之日起3日内，按照投标人须知前附表规定的公示媒介和期限依法公示中标结果。</w:t>
      </w:r>
    </w:p>
    <w:p>
      <w:pPr>
        <w:pStyle w:val="4"/>
        <w:spacing w:before="0" w:after="0" w:line="500" w:lineRule="exact"/>
        <w:rPr>
          <w:rFonts w:ascii="Times New Roman" w:hAnsi="Times New Roman"/>
          <w:color w:val="auto"/>
        </w:rPr>
      </w:pPr>
      <w:r>
        <w:rPr>
          <w:rFonts w:ascii="Times New Roman" w:hAnsi="Times New Roman"/>
          <w:color w:val="auto"/>
        </w:rPr>
        <w:t>7.7履约保证金</w:t>
      </w:r>
    </w:p>
    <w:p>
      <w:pPr>
        <w:spacing w:line="500" w:lineRule="exact"/>
        <w:ind w:firstLine="420" w:firstLineChars="200"/>
        <w:rPr>
          <w:color w:val="auto"/>
        </w:rPr>
      </w:pPr>
      <w:r>
        <w:rPr>
          <w:color w:val="auto"/>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500" w:lineRule="exact"/>
        <w:ind w:firstLine="420" w:firstLineChars="200"/>
        <w:rPr>
          <w:color w:val="auto"/>
        </w:rPr>
      </w:pPr>
      <w:r>
        <w:rPr>
          <w:color w:val="auto"/>
        </w:rPr>
        <w:t>7.7.2 中标人不能按本章第7.7.1项要求提交履约保证金的，视为放弃中标，其投标保证金不予退还，给招标人造成的损失超过投标保证金数额的，中标人还应当对超过部分予以赔偿。</w:t>
      </w:r>
    </w:p>
    <w:p>
      <w:pPr>
        <w:pStyle w:val="4"/>
        <w:spacing w:before="0" w:after="0" w:line="500" w:lineRule="exact"/>
        <w:rPr>
          <w:rFonts w:ascii="Times New Roman" w:hAnsi="Times New Roman"/>
          <w:color w:val="auto"/>
        </w:rPr>
      </w:pPr>
      <w:r>
        <w:rPr>
          <w:rFonts w:ascii="Times New Roman" w:hAnsi="Times New Roman"/>
          <w:color w:val="auto"/>
        </w:rPr>
        <w:t>7.8 签订合同</w:t>
      </w:r>
    </w:p>
    <w:p>
      <w:pPr>
        <w:spacing w:line="500" w:lineRule="exact"/>
        <w:ind w:firstLine="420" w:firstLineChars="200"/>
        <w:rPr>
          <w:color w:val="auto"/>
        </w:rPr>
      </w:pPr>
      <w:r>
        <w:rPr>
          <w:color w:val="auto"/>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500" w:lineRule="exact"/>
        <w:ind w:firstLine="420" w:firstLineChars="200"/>
        <w:rPr>
          <w:color w:val="auto"/>
        </w:rPr>
      </w:pPr>
      <w:r>
        <w:rPr>
          <w:color w:val="auto"/>
        </w:rPr>
        <w:t>7.8.2 发出中标通知书后，招标人无正当理由拒签合同，或者在签订合同时向中标人提出附加条件的，招标人向中标人退还投标保证金；给中标人造成损失的，还应当赔偿损失。</w:t>
      </w:r>
    </w:p>
    <w:p>
      <w:pPr>
        <w:spacing w:line="500" w:lineRule="exact"/>
        <w:ind w:firstLine="420" w:firstLineChars="200"/>
        <w:rPr>
          <w:color w:val="auto"/>
          <w:szCs w:val="21"/>
        </w:rPr>
      </w:pPr>
      <w:r>
        <w:rPr>
          <w:color w:val="auto"/>
        </w:rPr>
        <w:t xml:space="preserve">7.8.3 </w:t>
      </w:r>
      <w:r>
        <w:rPr>
          <w:color w:val="auto"/>
          <w:szCs w:val="21"/>
        </w:rPr>
        <w:t>联合体中标的，联合体各方应当共同与招标人签订合同，就中标项目向招标人承担连带责任。</w:t>
      </w:r>
    </w:p>
    <w:p>
      <w:pPr>
        <w:pStyle w:val="2"/>
        <w:spacing w:before="0" w:after="0" w:line="500" w:lineRule="exact"/>
        <w:rPr>
          <w:rFonts w:ascii="Times New Roman" w:hAnsi="Times New Roman" w:eastAsia="黑体"/>
          <w:b w:val="0"/>
          <w:bCs w:val="0"/>
          <w:color w:val="auto"/>
          <w:sz w:val="28"/>
          <w:szCs w:val="28"/>
        </w:rPr>
      </w:pPr>
      <w:bookmarkStart w:id="242" w:name="_Toc27547"/>
      <w:r>
        <w:rPr>
          <w:rFonts w:ascii="Times New Roman" w:hAnsi="Times New Roman" w:eastAsia="黑体"/>
          <w:b w:val="0"/>
          <w:bCs w:val="0"/>
          <w:color w:val="auto"/>
          <w:sz w:val="28"/>
          <w:szCs w:val="28"/>
        </w:rPr>
        <w:t>8. 重新招标和不再招标</w:t>
      </w:r>
      <w:bookmarkEnd w:id="222"/>
      <w:bookmarkEnd w:id="223"/>
      <w:bookmarkEnd w:id="224"/>
      <w:bookmarkEnd w:id="225"/>
      <w:bookmarkEnd w:id="226"/>
      <w:bookmarkEnd w:id="227"/>
      <w:bookmarkEnd w:id="242"/>
    </w:p>
    <w:p>
      <w:pPr>
        <w:pStyle w:val="4"/>
        <w:spacing w:before="0" w:after="0" w:line="500" w:lineRule="exact"/>
        <w:rPr>
          <w:rFonts w:ascii="Times New Roman" w:hAnsi="Times New Roman"/>
          <w:color w:val="auto"/>
        </w:rPr>
      </w:pPr>
      <w:bookmarkStart w:id="243" w:name="_Toc144974540"/>
      <w:bookmarkStart w:id="244" w:name="_Toc179632590"/>
      <w:bookmarkStart w:id="245" w:name="_Toc152045572"/>
      <w:bookmarkStart w:id="246" w:name="_Toc152042348"/>
      <w:r>
        <w:rPr>
          <w:rFonts w:ascii="Times New Roman" w:hAnsi="Times New Roman"/>
          <w:color w:val="auto"/>
        </w:rPr>
        <w:t>8.1 重新招标</w:t>
      </w:r>
      <w:bookmarkEnd w:id="243"/>
      <w:bookmarkEnd w:id="244"/>
      <w:bookmarkEnd w:id="245"/>
      <w:bookmarkEnd w:id="246"/>
    </w:p>
    <w:p>
      <w:pPr>
        <w:spacing w:line="500" w:lineRule="exact"/>
        <w:ind w:firstLine="420" w:firstLineChars="200"/>
        <w:rPr>
          <w:color w:val="auto"/>
        </w:rPr>
      </w:pPr>
      <w:r>
        <w:rPr>
          <w:color w:val="auto"/>
        </w:rPr>
        <w:t>依法必须招标的项目有下列情形之一的，招标人将重新招标：</w:t>
      </w:r>
    </w:p>
    <w:p>
      <w:pPr>
        <w:spacing w:line="500" w:lineRule="exact"/>
        <w:ind w:firstLine="420" w:firstLineChars="200"/>
        <w:rPr>
          <w:color w:val="auto"/>
        </w:rPr>
      </w:pPr>
      <w:r>
        <w:rPr>
          <w:color w:val="auto"/>
        </w:rPr>
        <w:t>（1）投标截止时间止，投标人少于3个的；</w:t>
      </w:r>
    </w:p>
    <w:p>
      <w:pPr>
        <w:spacing w:line="500" w:lineRule="exact"/>
        <w:ind w:firstLine="420" w:firstLineChars="200"/>
        <w:rPr>
          <w:color w:val="auto"/>
        </w:rPr>
      </w:pPr>
      <w:r>
        <w:rPr>
          <w:color w:val="auto"/>
        </w:rPr>
        <w:t>（2）经评标委员会评审后否决所有投标的；</w:t>
      </w:r>
    </w:p>
    <w:p>
      <w:pPr>
        <w:spacing w:line="500" w:lineRule="exact"/>
        <w:ind w:firstLine="420" w:firstLineChars="200"/>
        <w:rPr>
          <w:bCs/>
          <w:snapToGrid w:val="0"/>
          <w:color w:val="auto"/>
          <w:kern w:val="0"/>
          <w:szCs w:val="21"/>
        </w:rPr>
      </w:pPr>
      <w:r>
        <w:rPr>
          <w:bCs/>
          <w:snapToGrid w:val="0"/>
          <w:color w:val="auto"/>
          <w:kern w:val="0"/>
          <w:szCs w:val="21"/>
        </w:rPr>
        <w:t>（3）中标候选人均未与招标人签订合同的；</w:t>
      </w:r>
    </w:p>
    <w:p>
      <w:pPr>
        <w:spacing w:line="500" w:lineRule="exact"/>
        <w:ind w:firstLine="420" w:firstLineChars="200"/>
        <w:rPr>
          <w:bCs/>
          <w:snapToGrid w:val="0"/>
          <w:color w:val="auto"/>
          <w:kern w:val="0"/>
          <w:szCs w:val="21"/>
        </w:rPr>
      </w:pPr>
      <w:r>
        <w:rPr>
          <w:bCs/>
          <w:snapToGrid w:val="0"/>
          <w:color w:val="auto"/>
          <w:kern w:val="0"/>
          <w:szCs w:val="21"/>
        </w:rPr>
        <w:t>（4）法律、法规规定的其他情形。</w:t>
      </w:r>
    </w:p>
    <w:p>
      <w:pPr>
        <w:pStyle w:val="4"/>
        <w:spacing w:before="0" w:after="0" w:line="500" w:lineRule="exact"/>
        <w:rPr>
          <w:rFonts w:ascii="Times New Roman" w:hAnsi="Times New Roman"/>
          <w:color w:val="auto"/>
        </w:rPr>
      </w:pPr>
      <w:bookmarkStart w:id="247" w:name="_Toc179632591"/>
      <w:bookmarkStart w:id="248" w:name="_Toc152042349"/>
      <w:bookmarkStart w:id="249" w:name="_Toc152045573"/>
      <w:bookmarkStart w:id="250" w:name="_Toc144974541"/>
      <w:r>
        <w:rPr>
          <w:rFonts w:ascii="Times New Roman" w:hAnsi="Times New Roman"/>
          <w:color w:val="auto"/>
        </w:rPr>
        <w:t>8.2 不再招标</w:t>
      </w:r>
      <w:bookmarkEnd w:id="247"/>
      <w:bookmarkEnd w:id="248"/>
      <w:bookmarkEnd w:id="249"/>
      <w:bookmarkEnd w:id="250"/>
    </w:p>
    <w:p>
      <w:pPr>
        <w:spacing w:line="500" w:lineRule="exact"/>
        <w:ind w:firstLine="420" w:firstLineChars="200"/>
        <w:rPr>
          <w:color w:val="auto"/>
        </w:rPr>
      </w:pPr>
      <w:r>
        <w:rPr>
          <w:color w:val="auto"/>
        </w:rPr>
        <w:t>重新招标后投标人仍少于3个或者所有投标被否决的，属于必须审批或核准的项目，经原审批或核准部门批准后不再进行招标。</w:t>
      </w:r>
    </w:p>
    <w:p>
      <w:pPr>
        <w:pStyle w:val="2"/>
        <w:spacing w:before="0" w:after="0" w:line="500" w:lineRule="exact"/>
        <w:rPr>
          <w:rFonts w:ascii="Times New Roman" w:hAnsi="Times New Roman" w:eastAsia="黑体"/>
          <w:b w:val="0"/>
          <w:color w:val="auto"/>
          <w:sz w:val="28"/>
          <w:szCs w:val="28"/>
        </w:rPr>
      </w:pPr>
      <w:bookmarkStart w:id="251" w:name="_Toc31132"/>
      <w:bookmarkStart w:id="252" w:name="_Toc144974542"/>
      <w:bookmarkStart w:id="253" w:name="_Toc5562"/>
      <w:bookmarkStart w:id="254" w:name="_Toc152045574"/>
      <w:bookmarkStart w:id="255" w:name="_Toc4377"/>
      <w:bookmarkStart w:id="256" w:name="_Toc152042350"/>
      <w:bookmarkStart w:id="257" w:name="_Toc179632592"/>
      <w:r>
        <w:rPr>
          <w:rFonts w:ascii="Times New Roman" w:hAnsi="Times New Roman" w:eastAsia="黑体"/>
          <w:b w:val="0"/>
          <w:color w:val="auto"/>
          <w:sz w:val="28"/>
          <w:szCs w:val="28"/>
        </w:rPr>
        <w:t>9. 纪律和监督</w:t>
      </w:r>
      <w:bookmarkEnd w:id="251"/>
      <w:bookmarkEnd w:id="252"/>
      <w:bookmarkEnd w:id="253"/>
      <w:bookmarkEnd w:id="254"/>
      <w:bookmarkEnd w:id="255"/>
      <w:bookmarkEnd w:id="256"/>
      <w:bookmarkEnd w:id="257"/>
    </w:p>
    <w:p>
      <w:pPr>
        <w:pStyle w:val="4"/>
        <w:spacing w:before="0" w:after="0" w:line="500" w:lineRule="exact"/>
        <w:rPr>
          <w:rFonts w:ascii="Times New Roman" w:hAnsi="Times New Roman"/>
          <w:color w:val="auto"/>
        </w:rPr>
      </w:pPr>
      <w:bookmarkStart w:id="258" w:name="_Toc144974543"/>
      <w:bookmarkStart w:id="259" w:name="_Toc152045575"/>
      <w:bookmarkStart w:id="260" w:name="_Toc179632593"/>
      <w:bookmarkStart w:id="261" w:name="_Toc152042351"/>
      <w:r>
        <w:rPr>
          <w:rFonts w:ascii="Times New Roman" w:hAnsi="Times New Roman"/>
          <w:color w:val="auto"/>
        </w:rPr>
        <w:t>9.1 对招标人的纪律要求</w:t>
      </w:r>
      <w:bookmarkEnd w:id="258"/>
      <w:bookmarkEnd w:id="259"/>
      <w:bookmarkEnd w:id="260"/>
      <w:bookmarkEnd w:id="261"/>
    </w:p>
    <w:p>
      <w:pPr>
        <w:spacing w:line="500" w:lineRule="exact"/>
        <w:ind w:firstLine="420" w:firstLineChars="200"/>
        <w:rPr>
          <w:color w:val="auto"/>
        </w:rPr>
      </w:pPr>
      <w:r>
        <w:rPr>
          <w:color w:val="auto"/>
        </w:rPr>
        <w:t>招标人不得泄漏招标投标活动中应当保密的情况和资料，不得与投标人串通损害国家利益、社会公共利益或者他人合法权益。</w:t>
      </w:r>
    </w:p>
    <w:p>
      <w:pPr>
        <w:pStyle w:val="4"/>
        <w:spacing w:before="0" w:after="0" w:line="500" w:lineRule="exact"/>
        <w:rPr>
          <w:rFonts w:ascii="Times New Roman" w:hAnsi="Times New Roman"/>
          <w:color w:val="auto"/>
        </w:rPr>
      </w:pPr>
      <w:bookmarkStart w:id="262" w:name="_Toc144974544"/>
      <w:bookmarkStart w:id="263" w:name="_Toc179632594"/>
      <w:bookmarkStart w:id="264" w:name="_Toc152045576"/>
      <w:bookmarkStart w:id="265" w:name="_Toc152042352"/>
      <w:r>
        <w:rPr>
          <w:rFonts w:ascii="Times New Roman" w:hAnsi="Times New Roman"/>
          <w:color w:val="auto"/>
        </w:rPr>
        <w:t>9.2 对投标人的纪律要求</w:t>
      </w:r>
      <w:bookmarkEnd w:id="262"/>
      <w:bookmarkEnd w:id="263"/>
      <w:bookmarkEnd w:id="264"/>
      <w:bookmarkEnd w:id="265"/>
    </w:p>
    <w:p>
      <w:pPr>
        <w:spacing w:line="500" w:lineRule="exact"/>
        <w:ind w:firstLine="420" w:firstLineChars="200"/>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0" w:after="0" w:line="500" w:lineRule="exact"/>
        <w:rPr>
          <w:rFonts w:ascii="Times New Roman" w:hAnsi="Times New Roman"/>
          <w:color w:val="auto"/>
        </w:rPr>
      </w:pPr>
      <w:bookmarkStart w:id="266" w:name="_Toc152042353"/>
      <w:bookmarkStart w:id="267" w:name="_Toc179632595"/>
      <w:bookmarkStart w:id="268" w:name="_Toc152045577"/>
      <w:bookmarkStart w:id="269" w:name="_Toc144974545"/>
      <w:r>
        <w:rPr>
          <w:rFonts w:ascii="Times New Roman" w:hAnsi="Times New Roman"/>
          <w:color w:val="auto"/>
        </w:rPr>
        <w:t>9.3 对评标委员会成员的纪律要求</w:t>
      </w:r>
      <w:bookmarkEnd w:id="266"/>
      <w:bookmarkEnd w:id="267"/>
      <w:bookmarkEnd w:id="268"/>
      <w:bookmarkEnd w:id="269"/>
    </w:p>
    <w:p>
      <w:pPr>
        <w:spacing w:line="500" w:lineRule="exact"/>
        <w:ind w:firstLine="420" w:firstLineChars="200"/>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0" w:after="0" w:line="500" w:lineRule="exact"/>
        <w:rPr>
          <w:rFonts w:ascii="Times New Roman" w:hAnsi="Times New Roman"/>
          <w:color w:val="auto"/>
        </w:rPr>
      </w:pPr>
      <w:bookmarkStart w:id="270" w:name="_Toc152042354"/>
      <w:bookmarkStart w:id="271" w:name="_Toc179632596"/>
      <w:bookmarkStart w:id="272" w:name="_Toc152045578"/>
      <w:bookmarkStart w:id="273" w:name="_Toc144974546"/>
      <w:r>
        <w:rPr>
          <w:rFonts w:ascii="Times New Roman" w:hAnsi="Times New Roman"/>
          <w:color w:val="auto"/>
        </w:rPr>
        <w:t>9.4 对与评标活动有关的工作人员的纪律要求</w:t>
      </w:r>
      <w:bookmarkEnd w:id="270"/>
      <w:bookmarkEnd w:id="271"/>
      <w:bookmarkEnd w:id="272"/>
    </w:p>
    <w:p>
      <w:pPr>
        <w:spacing w:line="500" w:lineRule="exact"/>
        <w:ind w:firstLine="420" w:firstLineChars="200"/>
        <w:rPr>
          <w:color w:val="auto"/>
        </w:rPr>
      </w:pPr>
      <w:bookmarkStart w:id="274" w:name="_Toc152042355"/>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74"/>
    </w:p>
    <w:p>
      <w:pPr>
        <w:pStyle w:val="4"/>
        <w:spacing w:before="0" w:after="0" w:line="500" w:lineRule="exact"/>
        <w:rPr>
          <w:rFonts w:ascii="Times New Roman" w:hAnsi="Times New Roman"/>
          <w:color w:val="auto"/>
        </w:rPr>
      </w:pPr>
      <w:bookmarkStart w:id="275" w:name="_Toc152045579"/>
      <w:bookmarkStart w:id="276" w:name="_Toc152042356"/>
      <w:bookmarkStart w:id="277" w:name="_Toc179632597"/>
      <w:r>
        <w:rPr>
          <w:rFonts w:ascii="Times New Roman" w:hAnsi="Times New Roman"/>
          <w:color w:val="auto"/>
        </w:rPr>
        <w:t>9.5 投诉</w:t>
      </w:r>
      <w:bookmarkEnd w:id="273"/>
      <w:bookmarkEnd w:id="275"/>
      <w:bookmarkEnd w:id="276"/>
      <w:bookmarkEnd w:id="277"/>
    </w:p>
    <w:p>
      <w:pPr>
        <w:spacing w:line="500" w:lineRule="exact"/>
        <w:ind w:firstLine="420" w:firstLineChars="200"/>
        <w:rPr>
          <w:bCs/>
          <w:snapToGrid w:val="0"/>
          <w:color w:val="auto"/>
          <w:kern w:val="0"/>
          <w:szCs w:val="21"/>
        </w:rPr>
      </w:pPr>
      <w:bookmarkStart w:id="278" w:name="_Toc144974547"/>
      <w:bookmarkStart w:id="279" w:name="_Toc152045580"/>
      <w:bookmarkStart w:id="280" w:name="_Toc179632598"/>
      <w:bookmarkStart w:id="281" w:name="_Toc152042357"/>
      <w:r>
        <w:rPr>
          <w:bCs/>
          <w:snapToGrid w:val="0"/>
          <w:color w:val="auto"/>
          <w:kern w:val="0"/>
          <w:szCs w:val="21"/>
        </w:rPr>
        <w:t>投标人或者其他利害关系人认为招标投标活动不符合法律、行政法规规定的，可以自知道或者应当知道之日起5日内向</w:t>
      </w:r>
      <w:r>
        <w:rPr>
          <w:rFonts w:hint="eastAsia"/>
          <w:bCs/>
          <w:snapToGrid w:val="0"/>
          <w:color w:val="auto"/>
          <w:kern w:val="0"/>
          <w:szCs w:val="21"/>
        </w:rPr>
        <w:t>招标人监察部门</w:t>
      </w:r>
      <w:r>
        <w:rPr>
          <w:bCs/>
          <w:snapToGrid w:val="0"/>
          <w:color w:val="auto"/>
          <w:kern w:val="0"/>
          <w:szCs w:val="21"/>
        </w:rPr>
        <w:t>投诉。投诉应当有明确的请求和必要的证明材料。投诉受理方式见投标人须知前附表。</w:t>
      </w:r>
    </w:p>
    <w:p>
      <w:pPr>
        <w:pStyle w:val="2"/>
        <w:spacing w:before="0" w:after="0" w:line="500" w:lineRule="exact"/>
        <w:rPr>
          <w:rFonts w:ascii="Times New Roman" w:hAnsi="Times New Roman" w:eastAsia="黑体"/>
          <w:b w:val="0"/>
          <w:color w:val="auto"/>
          <w:sz w:val="28"/>
          <w:szCs w:val="28"/>
        </w:rPr>
      </w:pPr>
      <w:bookmarkStart w:id="282" w:name="_Toc9393"/>
      <w:bookmarkStart w:id="283" w:name="_Toc19401"/>
      <w:bookmarkStart w:id="284" w:name="_Toc31091"/>
      <w:r>
        <w:rPr>
          <w:rFonts w:ascii="Times New Roman" w:hAnsi="Times New Roman" w:eastAsia="黑体"/>
          <w:b w:val="0"/>
          <w:color w:val="auto"/>
          <w:sz w:val="28"/>
          <w:szCs w:val="28"/>
        </w:rPr>
        <w:t>10. 需要补充的其他内容</w:t>
      </w:r>
      <w:bookmarkEnd w:id="278"/>
      <w:bookmarkEnd w:id="279"/>
      <w:bookmarkEnd w:id="280"/>
      <w:bookmarkEnd w:id="281"/>
      <w:bookmarkEnd w:id="282"/>
      <w:bookmarkEnd w:id="283"/>
      <w:bookmarkEnd w:id="284"/>
    </w:p>
    <w:p>
      <w:pPr>
        <w:pStyle w:val="4"/>
        <w:spacing w:before="0" w:after="0" w:line="500" w:lineRule="exact"/>
        <w:rPr>
          <w:rFonts w:ascii="Times New Roman" w:hAnsi="Times New Roman"/>
          <w:color w:val="auto"/>
        </w:rPr>
      </w:pPr>
      <w:r>
        <w:rPr>
          <w:rFonts w:ascii="Times New Roman" w:hAnsi="Times New Roman"/>
          <w:color w:val="auto"/>
        </w:rPr>
        <w:t>10.1重要提示</w:t>
      </w:r>
    </w:p>
    <w:p>
      <w:pPr>
        <w:spacing w:line="500" w:lineRule="exact"/>
        <w:ind w:firstLine="420" w:firstLineChars="200"/>
        <w:rPr>
          <w:color w:val="auto"/>
        </w:rPr>
      </w:pPr>
      <w:r>
        <w:rPr>
          <w:color w:val="auto"/>
        </w:rPr>
        <w:t>（1）项目负责人必须是投标人本单位工作人员。</w:t>
      </w:r>
    </w:p>
    <w:p>
      <w:pPr>
        <w:spacing w:line="500" w:lineRule="exact"/>
        <w:ind w:firstLine="420" w:firstLineChars="200"/>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ind w:firstLine="420" w:firstLineChars="200"/>
        <w:rPr>
          <w:color w:val="auto"/>
        </w:rPr>
      </w:pPr>
      <w:r>
        <w:rPr>
          <w:color w:val="auto"/>
        </w:rPr>
        <w:t>（3）中标人应在规定期限内提交履约担保并与招标人签订合同，若中标人未能在规定期限内提交履约担保或签订合同，招标人有权取消中标人中标资格；</w:t>
      </w:r>
    </w:p>
    <w:p>
      <w:pPr>
        <w:spacing w:line="500" w:lineRule="exact"/>
        <w:ind w:firstLine="420" w:firstLineChars="200"/>
        <w:rPr>
          <w:color w:val="auto"/>
        </w:rPr>
      </w:pPr>
      <w:r>
        <w:rPr>
          <w:color w:val="auto"/>
        </w:rPr>
        <w:t>（4）合同签订后，中标人存在规定时间内不组织人员进场开工，不履行供货、安装或服务义务等情况，招标人有权解除合同，并追究违约责任；</w:t>
      </w:r>
    </w:p>
    <w:p>
      <w:pPr>
        <w:spacing w:line="500" w:lineRule="exact"/>
        <w:ind w:firstLine="420" w:firstLineChars="200"/>
        <w:rPr>
          <w:color w:val="auto"/>
        </w:rPr>
      </w:pPr>
      <w:r>
        <w:rPr>
          <w:color w:val="auto"/>
        </w:rPr>
        <w:t>（5）中标人中标后被监管部门查实存在违法行为，不满足中标条件的，由招标人取消中标资格，并做好项目后续工作；</w:t>
      </w:r>
    </w:p>
    <w:p>
      <w:pPr>
        <w:spacing w:line="500" w:lineRule="exact"/>
        <w:ind w:firstLine="420" w:firstLineChars="200"/>
        <w:rPr>
          <w:color w:val="auto"/>
        </w:rPr>
      </w:pPr>
      <w:r>
        <w:rPr>
          <w:color w:val="auto"/>
        </w:rPr>
        <w:t>（6）中标人在中标项目发生投诉、信访举报案件、履约存在争议时，拒绝协助配合执法部门调查案件的，招标人可以取消其中标资格或解除合同，并追究其违约责任。</w:t>
      </w:r>
    </w:p>
    <w:p>
      <w:pPr>
        <w:spacing w:line="500" w:lineRule="exact"/>
        <w:ind w:firstLine="420" w:firstLineChars="200"/>
        <w:rPr>
          <w:color w:val="auto"/>
        </w:rPr>
      </w:pPr>
      <w:r>
        <w:rPr>
          <w:color w:val="auto"/>
        </w:rPr>
        <w:t>需要补充的其他内容：见投标人须知前附表。</w:t>
      </w:r>
    </w:p>
    <w:p>
      <w:pPr>
        <w:pStyle w:val="3"/>
        <w:spacing w:before="240" w:beforeLines="100" w:after="240" w:afterLines="100" w:line="500" w:lineRule="exact"/>
        <w:jc w:val="center"/>
        <w:rPr>
          <w:rFonts w:hint="eastAsia" w:eastAsia="黑体"/>
          <w:color w:val="auto"/>
          <w:kern w:val="2"/>
          <w:szCs w:val="32"/>
          <w:lang w:eastAsia="zh-CN"/>
        </w:rPr>
      </w:pPr>
      <w:r>
        <w:rPr>
          <w:color w:val="auto"/>
          <w:sz w:val="24"/>
        </w:rPr>
        <w:br w:type="page"/>
      </w:r>
      <w:bookmarkStart w:id="285" w:name="_Toc28504"/>
      <w:bookmarkStart w:id="286" w:name="_Toc7214"/>
      <w:bookmarkStart w:id="287" w:name="_Toc19032"/>
      <w:bookmarkStart w:id="288" w:name="_Toc10214"/>
      <w:r>
        <w:rPr>
          <w:rFonts w:eastAsia="黑体"/>
          <w:color w:val="auto"/>
          <w:kern w:val="2"/>
          <w:szCs w:val="32"/>
        </w:rPr>
        <w:t>第三章  评标办法</w:t>
      </w:r>
    </w:p>
    <w:p>
      <w:pPr>
        <w:pStyle w:val="3"/>
        <w:spacing w:before="240" w:beforeLines="100" w:after="240" w:afterLines="100" w:line="500" w:lineRule="exact"/>
        <w:jc w:val="center"/>
        <w:rPr>
          <w:rFonts w:eastAsia="黑体"/>
          <w:bCs w:val="0"/>
          <w:color w:val="auto"/>
        </w:rPr>
      </w:pPr>
      <w:r>
        <w:rPr>
          <w:rFonts w:eastAsia="黑体"/>
          <w:b w:val="0"/>
          <w:color w:val="auto"/>
        </w:rPr>
        <w:t>（综合评估法（有效价格））</w:t>
      </w:r>
      <w:bookmarkEnd w:id="285"/>
      <w:bookmarkEnd w:id="286"/>
      <w:bookmarkEnd w:id="287"/>
      <w:bookmarkEnd w:id="288"/>
    </w:p>
    <w:p>
      <w:pPr>
        <w:keepNext/>
        <w:keepLines/>
        <w:spacing w:before="120" w:beforeLines="50" w:after="120" w:afterLines="50" w:line="500" w:lineRule="exact"/>
        <w:jc w:val="center"/>
        <w:outlineLvl w:val="1"/>
        <w:rPr>
          <w:rFonts w:eastAsia="黑体"/>
          <w:color w:val="auto"/>
          <w:sz w:val="28"/>
          <w:szCs w:val="20"/>
        </w:rPr>
      </w:pPr>
      <w:bookmarkStart w:id="289" w:name="_Toc3300"/>
      <w:bookmarkStart w:id="290" w:name="_Toc2621"/>
      <w:bookmarkStart w:id="291" w:name="_Toc23184"/>
      <w:bookmarkStart w:id="292" w:name="_Toc2596"/>
      <w:bookmarkStart w:id="293" w:name="_Toc29260"/>
      <w:r>
        <w:rPr>
          <w:rFonts w:eastAsia="黑体"/>
          <w:color w:val="auto"/>
          <w:sz w:val="28"/>
          <w:szCs w:val="20"/>
        </w:rPr>
        <w:t>评标办法前附表</w:t>
      </w:r>
      <w:bookmarkEnd w:id="289"/>
      <w:bookmarkEnd w:id="290"/>
      <w:bookmarkEnd w:id="291"/>
      <w:bookmarkEnd w:id="292"/>
      <w:bookmarkEnd w:id="293"/>
    </w:p>
    <w:tbl>
      <w:tblPr>
        <w:tblStyle w:val="5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color w:val="auto"/>
                <w:kern w:val="0"/>
                <w:szCs w:val="21"/>
              </w:rPr>
            </w:pPr>
            <w:r>
              <w:rPr>
                <w:b/>
                <w:bCs/>
                <w:color w:val="auto"/>
                <w:kern w:val="0"/>
                <w:szCs w:val="21"/>
              </w:rPr>
              <w:t>条款号</w:t>
            </w:r>
          </w:p>
        </w:tc>
        <w:tc>
          <w:tcPr>
            <w:tcW w:w="1525" w:type="dxa"/>
            <w:noWrap w:val="0"/>
            <w:vAlign w:val="center"/>
          </w:tcPr>
          <w:p>
            <w:pPr>
              <w:snapToGrid w:val="0"/>
              <w:spacing w:line="500" w:lineRule="exact"/>
              <w:jc w:val="center"/>
              <w:rPr>
                <w:b/>
                <w:color w:val="auto"/>
                <w:kern w:val="0"/>
                <w:szCs w:val="21"/>
              </w:rPr>
            </w:pPr>
            <w:r>
              <w:rPr>
                <w:b/>
                <w:color w:val="auto"/>
                <w:kern w:val="0"/>
                <w:szCs w:val="21"/>
              </w:rPr>
              <w:t>条款内容</w:t>
            </w:r>
          </w:p>
        </w:tc>
        <w:tc>
          <w:tcPr>
            <w:tcW w:w="6085" w:type="dxa"/>
            <w:noWrap w:val="0"/>
            <w:vAlign w:val="center"/>
          </w:tcPr>
          <w:p>
            <w:pPr>
              <w:widowControl/>
              <w:snapToGrid w:val="0"/>
              <w:spacing w:line="500" w:lineRule="exact"/>
              <w:jc w:val="center"/>
              <w:rPr>
                <w:b/>
                <w:color w:val="auto"/>
                <w:kern w:val="0"/>
                <w:szCs w:val="21"/>
              </w:rPr>
            </w:pPr>
            <w:r>
              <w:rPr>
                <w:b/>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color w:val="auto"/>
                <w:kern w:val="0"/>
                <w:szCs w:val="21"/>
              </w:rPr>
            </w:pPr>
            <w:r>
              <w:rPr>
                <w:bCs/>
                <w:color w:val="auto"/>
                <w:kern w:val="0"/>
                <w:szCs w:val="21"/>
              </w:rPr>
              <w:t>1</w:t>
            </w:r>
          </w:p>
        </w:tc>
        <w:tc>
          <w:tcPr>
            <w:tcW w:w="890" w:type="dxa"/>
            <w:vMerge w:val="restart"/>
            <w:noWrap w:val="0"/>
            <w:vAlign w:val="center"/>
          </w:tcPr>
          <w:p>
            <w:pPr>
              <w:widowControl/>
              <w:spacing w:line="500" w:lineRule="exact"/>
              <w:jc w:val="center"/>
              <w:rPr>
                <w:bCs/>
                <w:color w:val="auto"/>
                <w:kern w:val="0"/>
                <w:szCs w:val="21"/>
              </w:rPr>
            </w:pPr>
            <w:r>
              <w:rPr>
                <w:bCs/>
                <w:color w:val="auto"/>
                <w:kern w:val="0"/>
                <w:szCs w:val="21"/>
              </w:rPr>
              <w:t>评标办法</w:t>
            </w: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中标候选人排序方法</w:t>
            </w:r>
          </w:p>
        </w:tc>
        <w:tc>
          <w:tcPr>
            <w:tcW w:w="6085" w:type="dxa"/>
            <w:noWrap w:val="0"/>
            <w:tcMar>
              <w:left w:w="75" w:type="dxa"/>
            </w:tcMar>
            <w:vAlign w:val="center"/>
          </w:tcPr>
          <w:p>
            <w:pPr>
              <w:widowControl/>
              <w:adjustRightInd w:val="0"/>
              <w:snapToGrid w:val="0"/>
              <w:spacing w:line="500" w:lineRule="exact"/>
              <w:jc w:val="left"/>
              <w:rPr>
                <w:color w:val="auto"/>
                <w:kern w:val="0"/>
                <w:szCs w:val="21"/>
              </w:rPr>
            </w:pPr>
            <w:r>
              <w:rPr>
                <w:color w:val="auto"/>
              </w:rP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评标的先后顺序</w:t>
            </w:r>
          </w:p>
        </w:tc>
        <w:tc>
          <w:tcPr>
            <w:tcW w:w="6085" w:type="dxa"/>
            <w:noWrap w:val="0"/>
            <w:tcMar>
              <w:left w:w="75" w:type="dxa"/>
            </w:tcMar>
            <w:vAlign w:val="center"/>
          </w:tcPr>
          <w:p>
            <w:pPr>
              <w:widowControl/>
              <w:adjustRightInd w:val="0"/>
              <w:snapToGrid w:val="0"/>
              <w:spacing w:line="500" w:lineRule="exact"/>
              <w:jc w:val="left"/>
              <w:rPr>
                <w:rFonts w:hint="eastAsia"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最多可中标段数量</w:t>
            </w:r>
          </w:p>
        </w:tc>
        <w:tc>
          <w:tcPr>
            <w:tcW w:w="6085" w:type="dxa"/>
            <w:noWrap w:val="0"/>
            <w:tcMar>
              <w:left w:w="75" w:type="dxa"/>
            </w:tcMar>
            <w:vAlign w:val="center"/>
          </w:tcPr>
          <w:p>
            <w:pPr>
              <w:widowControl/>
              <w:spacing w:line="500" w:lineRule="exact"/>
              <w:jc w:val="left"/>
              <w:rPr>
                <w:rFonts w:hint="eastAsia"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snapToGrid w:val="0"/>
              <w:spacing w:line="500" w:lineRule="exact"/>
              <w:jc w:val="center"/>
              <w:rPr>
                <w:bCs/>
                <w:color w:val="auto"/>
                <w:kern w:val="0"/>
                <w:szCs w:val="21"/>
              </w:rPr>
            </w:pPr>
            <w:r>
              <w:rPr>
                <w:bCs/>
                <w:color w:val="auto"/>
                <w:kern w:val="0"/>
                <w:szCs w:val="21"/>
              </w:rPr>
              <w:t>2.2.1</w:t>
            </w:r>
          </w:p>
        </w:tc>
        <w:tc>
          <w:tcPr>
            <w:tcW w:w="890" w:type="dxa"/>
            <w:noWrap w:val="0"/>
            <w:vAlign w:val="center"/>
          </w:tcPr>
          <w:p>
            <w:pPr>
              <w:snapToGrid w:val="0"/>
              <w:spacing w:line="500" w:lineRule="exact"/>
              <w:jc w:val="center"/>
              <w:rPr>
                <w:bCs/>
                <w:color w:val="auto"/>
                <w:kern w:val="0"/>
                <w:szCs w:val="21"/>
              </w:rPr>
            </w:pPr>
            <w:r>
              <w:rPr>
                <w:bCs/>
                <w:color w:val="auto"/>
                <w:kern w:val="0"/>
                <w:szCs w:val="21"/>
              </w:rPr>
              <w:t>分值构成</w:t>
            </w:r>
          </w:p>
        </w:tc>
        <w:tc>
          <w:tcPr>
            <w:tcW w:w="1525" w:type="dxa"/>
            <w:noWrap w:val="0"/>
            <w:tcMar>
              <w:left w:w="75" w:type="dxa"/>
            </w:tcMar>
            <w:vAlign w:val="center"/>
          </w:tcPr>
          <w:p>
            <w:pPr>
              <w:snapToGrid w:val="0"/>
              <w:spacing w:line="500" w:lineRule="exact"/>
              <w:jc w:val="center"/>
              <w:rPr>
                <w:color w:val="auto"/>
              </w:rPr>
            </w:pPr>
            <w:r>
              <w:rPr>
                <w:color w:val="auto"/>
              </w:rPr>
              <w:t>分值构成</w:t>
            </w:r>
          </w:p>
          <w:p>
            <w:pPr>
              <w:snapToGrid w:val="0"/>
              <w:spacing w:line="500" w:lineRule="exact"/>
              <w:jc w:val="center"/>
              <w:rPr>
                <w:bCs/>
                <w:color w:val="auto"/>
                <w:kern w:val="0"/>
                <w:szCs w:val="21"/>
              </w:rPr>
            </w:pPr>
            <w:r>
              <w:rPr>
                <w:color w:val="auto"/>
              </w:rPr>
              <w:t>（总分</w:t>
            </w:r>
            <w:r>
              <w:rPr>
                <w:rFonts w:hint="eastAsia"/>
                <w:color w:val="auto"/>
                <w:lang w:val="en-US" w:eastAsia="zh-CN"/>
              </w:rPr>
              <w:t>100</w:t>
            </w:r>
            <w:r>
              <w:rPr>
                <w:color w:val="auto"/>
              </w:rPr>
              <w:t>分）</w:t>
            </w:r>
          </w:p>
        </w:tc>
        <w:tc>
          <w:tcPr>
            <w:tcW w:w="6085" w:type="dxa"/>
            <w:noWrap w:val="0"/>
            <w:tcMar>
              <w:left w:w="75" w:type="dxa"/>
            </w:tcMar>
            <w:vAlign w:val="center"/>
          </w:tcPr>
          <w:p>
            <w:pPr>
              <w:widowControl/>
              <w:snapToGrid w:val="0"/>
              <w:spacing w:line="500" w:lineRule="exact"/>
              <w:jc w:val="left"/>
              <w:rPr>
                <w:color w:val="auto"/>
                <w:kern w:val="0"/>
                <w:szCs w:val="21"/>
              </w:rPr>
            </w:pPr>
            <w:r>
              <w:rPr>
                <w:color w:val="auto"/>
                <w:kern w:val="0"/>
                <w:szCs w:val="21"/>
              </w:rPr>
              <w:t>（1）商务部分：</w:t>
            </w:r>
            <w:r>
              <w:rPr>
                <w:rFonts w:hint="eastAsia"/>
                <w:color w:val="auto"/>
                <w:kern w:val="0"/>
                <w:szCs w:val="21"/>
                <w:u w:val="single"/>
                <w:lang w:val="en-US" w:eastAsia="zh-CN"/>
              </w:rPr>
              <w:t>22</w:t>
            </w:r>
            <w:r>
              <w:rPr>
                <w:color w:val="auto"/>
                <w:kern w:val="0"/>
                <w:szCs w:val="21"/>
              </w:rPr>
              <w:t>分</w:t>
            </w:r>
          </w:p>
          <w:p>
            <w:pPr>
              <w:widowControl/>
              <w:snapToGrid w:val="0"/>
              <w:spacing w:line="500" w:lineRule="exact"/>
              <w:jc w:val="left"/>
              <w:rPr>
                <w:color w:val="auto"/>
                <w:kern w:val="0"/>
                <w:szCs w:val="21"/>
              </w:rPr>
            </w:pPr>
            <w:r>
              <w:rPr>
                <w:color w:val="auto"/>
                <w:kern w:val="0"/>
                <w:szCs w:val="21"/>
              </w:rPr>
              <w:t>（2）技术部分：</w:t>
            </w:r>
            <w:r>
              <w:rPr>
                <w:rFonts w:hint="eastAsia"/>
                <w:color w:val="auto"/>
                <w:kern w:val="0"/>
                <w:szCs w:val="21"/>
                <w:u w:val="single"/>
                <w:lang w:val="en-US" w:eastAsia="zh-CN"/>
              </w:rPr>
              <w:t>48</w:t>
            </w:r>
            <w:r>
              <w:rPr>
                <w:color w:val="auto"/>
                <w:kern w:val="0"/>
                <w:szCs w:val="21"/>
              </w:rPr>
              <w:t>分</w:t>
            </w:r>
          </w:p>
          <w:p>
            <w:pPr>
              <w:widowControl/>
              <w:snapToGrid w:val="0"/>
              <w:spacing w:line="500" w:lineRule="exact"/>
              <w:jc w:val="left"/>
              <w:rPr>
                <w:color w:val="auto"/>
                <w:kern w:val="0"/>
                <w:szCs w:val="21"/>
              </w:rPr>
            </w:pPr>
            <w:r>
              <w:rPr>
                <w:color w:val="auto"/>
                <w:kern w:val="0"/>
                <w:szCs w:val="21"/>
              </w:rPr>
              <w:t>（3）报价部分：</w:t>
            </w:r>
            <w:r>
              <w:rPr>
                <w:rFonts w:hint="eastAsia"/>
                <w:color w:val="auto"/>
                <w:kern w:val="0"/>
                <w:szCs w:val="21"/>
                <w:u w:val="single"/>
                <w:lang w:val="en-US" w:eastAsia="zh-CN"/>
              </w:rPr>
              <w:t>30</w:t>
            </w:r>
            <w:r>
              <w:rPr>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snapToGrid w:val="0"/>
              <w:spacing w:line="500" w:lineRule="exact"/>
              <w:jc w:val="center"/>
              <w:rPr>
                <w:bCs/>
                <w:color w:val="auto"/>
                <w:kern w:val="0"/>
                <w:szCs w:val="21"/>
              </w:rPr>
            </w:pPr>
            <w:r>
              <w:rPr>
                <w:bCs/>
                <w:color w:val="auto"/>
                <w:kern w:val="0"/>
                <w:szCs w:val="21"/>
              </w:rPr>
              <w:t>2.2.2</w:t>
            </w:r>
          </w:p>
        </w:tc>
        <w:tc>
          <w:tcPr>
            <w:tcW w:w="890" w:type="dxa"/>
            <w:noWrap w:val="0"/>
            <w:vAlign w:val="center"/>
          </w:tcPr>
          <w:p>
            <w:pPr>
              <w:snapToGrid w:val="0"/>
              <w:spacing w:line="500" w:lineRule="exact"/>
              <w:jc w:val="center"/>
              <w:rPr>
                <w:rFonts w:ascii="Times New Roman" w:hAnsi="Times New Roman" w:eastAsia="宋体" w:cs="Times New Roman"/>
                <w:bCs/>
                <w:color w:val="auto"/>
                <w:kern w:val="0"/>
                <w:sz w:val="21"/>
                <w:szCs w:val="21"/>
                <w:lang w:val="en-US" w:eastAsia="zh-CN" w:bidi="ar-SA"/>
              </w:rPr>
            </w:pPr>
            <w:r>
              <w:rPr>
                <w:color w:val="auto"/>
              </w:rPr>
              <w:t>评标基准价计算</w:t>
            </w:r>
          </w:p>
        </w:tc>
        <w:tc>
          <w:tcPr>
            <w:tcW w:w="1525" w:type="dxa"/>
            <w:noWrap w:val="0"/>
            <w:tcMar>
              <w:left w:w="75" w:type="dxa"/>
            </w:tcMar>
            <w:vAlign w:val="center"/>
          </w:tcPr>
          <w:p>
            <w:pPr>
              <w:snapToGrid w:val="0"/>
              <w:spacing w:line="500" w:lineRule="exact"/>
              <w:jc w:val="center"/>
              <w:rPr>
                <w:color w:val="auto"/>
              </w:rPr>
            </w:pPr>
            <w:r>
              <w:rPr>
                <w:rFonts w:hint="eastAsia"/>
                <w:color w:val="auto"/>
              </w:rPr>
              <w:t>投标综合费率报价得分</w:t>
            </w:r>
            <w:r>
              <w:rPr>
                <w:color w:val="auto"/>
              </w:rPr>
              <w:t>评标基准价计算</w:t>
            </w:r>
          </w:p>
        </w:tc>
        <w:tc>
          <w:tcPr>
            <w:tcW w:w="6085" w:type="dxa"/>
            <w:noWrap w:val="0"/>
            <w:tcMar>
              <w:left w:w="75" w:type="dxa"/>
            </w:tcMar>
            <w:vAlign w:val="center"/>
          </w:tcPr>
          <w:p>
            <w:pPr>
              <w:widowControl/>
              <w:snapToGrid w:val="0"/>
              <w:spacing w:line="500" w:lineRule="exact"/>
              <w:jc w:val="left"/>
              <w:rPr>
                <w:rFonts w:hint="eastAsia"/>
                <w:color w:val="auto"/>
                <w:szCs w:val="22"/>
              </w:rPr>
            </w:pPr>
            <w:r>
              <w:rPr>
                <w:rFonts w:hint="eastAsia"/>
                <w:color w:val="auto"/>
                <w:szCs w:val="22"/>
              </w:rPr>
              <w:t>投标综合费率报价=投标函投标综合费率文字报价</w:t>
            </w:r>
          </w:p>
          <w:p>
            <w:pPr>
              <w:widowControl/>
              <w:snapToGrid w:val="0"/>
              <w:spacing w:line="500" w:lineRule="exact"/>
              <w:jc w:val="left"/>
              <w:rPr>
                <w:rFonts w:hint="eastAsia"/>
                <w:color w:val="auto"/>
                <w:szCs w:val="22"/>
              </w:rPr>
            </w:pPr>
            <w:r>
              <w:rPr>
                <w:rFonts w:hint="eastAsia"/>
                <w:color w:val="auto"/>
                <w:szCs w:val="22"/>
              </w:rPr>
              <w:t>投标综合费率报价得分</w:t>
            </w:r>
            <w:r>
              <w:rPr>
                <w:color w:val="auto"/>
                <w:szCs w:val="22"/>
              </w:rPr>
              <w:t>评标基准价计算</w:t>
            </w:r>
            <w:r>
              <w:rPr>
                <w:rFonts w:hint="eastAsia"/>
                <w:color w:val="auto"/>
                <w:szCs w:val="22"/>
              </w:rPr>
              <w:t>：通过商务及技术文件、报价文件初步评审的投标人最低投标综合费率报价作为评标基准价</w:t>
            </w:r>
          </w:p>
          <w:p>
            <w:pPr>
              <w:widowControl/>
              <w:snapToGrid w:val="0"/>
              <w:spacing w:line="500" w:lineRule="exact"/>
              <w:jc w:val="left"/>
              <w:rPr>
                <w:color w:val="auto"/>
                <w:kern w:val="0"/>
                <w:szCs w:val="21"/>
              </w:rPr>
            </w:pPr>
            <w:r>
              <w:rPr>
                <w:rFonts w:hint="eastAsia"/>
                <w:color w:val="auto"/>
                <w:szCs w:val="22"/>
              </w:rPr>
              <w:t>在评标过程中，评标委员会应对评标基准价进行复核，存在计算错误的应予以修正并在评标报告中作出说明。除此之外，评标基准价在整个评标期间保持不变，不随任何因素发生变化</w:t>
            </w:r>
          </w:p>
        </w:tc>
      </w:tr>
    </w:tbl>
    <w:p>
      <w:pPr>
        <w:keepNext/>
        <w:keepLines/>
        <w:spacing w:after="120" w:afterLines="50" w:line="500" w:lineRule="exact"/>
        <w:jc w:val="center"/>
        <w:outlineLvl w:val="2"/>
        <w:rPr>
          <w:rFonts w:eastAsia="黑体"/>
          <w:bCs/>
          <w:color w:val="auto"/>
          <w:sz w:val="28"/>
          <w:szCs w:val="28"/>
        </w:rPr>
      </w:pPr>
      <w:r>
        <w:rPr>
          <w:rFonts w:eastAsia="黑体"/>
          <w:bCs/>
          <w:color w:val="auto"/>
          <w:sz w:val="28"/>
          <w:szCs w:val="28"/>
        </w:rPr>
        <w:t>商务及技术文件初步评审标准</w:t>
      </w:r>
    </w:p>
    <w:tbl>
      <w:tblPr>
        <w:tblStyle w:val="5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color w:val="auto"/>
                <w:kern w:val="0"/>
                <w:szCs w:val="21"/>
              </w:rPr>
            </w:pPr>
            <w:r>
              <w:rPr>
                <w:b/>
                <w:bCs/>
                <w:color w:val="auto"/>
                <w:kern w:val="0"/>
                <w:szCs w:val="21"/>
              </w:rPr>
              <w:t>条款号</w:t>
            </w:r>
          </w:p>
        </w:tc>
        <w:tc>
          <w:tcPr>
            <w:tcW w:w="1525" w:type="dxa"/>
            <w:noWrap w:val="0"/>
            <w:vAlign w:val="center"/>
          </w:tcPr>
          <w:p>
            <w:pPr>
              <w:widowControl/>
              <w:spacing w:line="500" w:lineRule="exact"/>
              <w:ind w:firstLine="105" w:firstLineChars="50"/>
              <w:jc w:val="center"/>
              <w:rPr>
                <w:color w:val="auto"/>
                <w:kern w:val="0"/>
                <w:szCs w:val="21"/>
              </w:rPr>
            </w:pPr>
            <w:r>
              <w:rPr>
                <w:b/>
                <w:bCs/>
                <w:color w:val="auto"/>
                <w:kern w:val="0"/>
                <w:szCs w:val="21"/>
              </w:rPr>
              <w:t>评审因素</w:t>
            </w:r>
          </w:p>
        </w:tc>
        <w:tc>
          <w:tcPr>
            <w:tcW w:w="6085" w:type="dxa"/>
            <w:noWrap w:val="0"/>
            <w:vAlign w:val="center"/>
          </w:tcPr>
          <w:p>
            <w:pPr>
              <w:widowControl/>
              <w:spacing w:line="500" w:lineRule="exact"/>
              <w:ind w:firstLine="105" w:firstLineChars="50"/>
              <w:jc w:val="center"/>
              <w:rPr>
                <w:color w:val="auto"/>
                <w:kern w:val="0"/>
                <w:szCs w:val="21"/>
              </w:rPr>
            </w:pPr>
            <w:r>
              <w:rPr>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color w:val="auto"/>
                <w:kern w:val="0"/>
                <w:szCs w:val="21"/>
              </w:rPr>
            </w:pPr>
            <w:r>
              <w:rPr>
                <w:bCs/>
                <w:color w:val="auto"/>
                <w:kern w:val="0"/>
                <w:szCs w:val="21"/>
              </w:rPr>
              <w:t>2.1.1</w:t>
            </w:r>
          </w:p>
        </w:tc>
        <w:tc>
          <w:tcPr>
            <w:tcW w:w="890" w:type="dxa"/>
            <w:vMerge w:val="restart"/>
            <w:noWrap w:val="0"/>
            <w:vAlign w:val="center"/>
          </w:tcPr>
          <w:p>
            <w:pPr>
              <w:widowControl/>
              <w:spacing w:line="500" w:lineRule="exact"/>
              <w:jc w:val="center"/>
              <w:rPr>
                <w:bCs/>
                <w:color w:val="auto"/>
                <w:kern w:val="0"/>
                <w:szCs w:val="21"/>
              </w:rPr>
            </w:pPr>
            <w:r>
              <w:rPr>
                <w:bCs/>
                <w:color w:val="auto"/>
                <w:kern w:val="0"/>
                <w:szCs w:val="21"/>
              </w:rPr>
              <w:t>形式评审标准</w:t>
            </w:r>
          </w:p>
        </w:tc>
        <w:tc>
          <w:tcPr>
            <w:tcW w:w="1525" w:type="dxa"/>
            <w:noWrap w:val="0"/>
            <w:tcMar>
              <w:left w:w="75" w:type="dxa"/>
            </w:tcMar>
            <w:vAlign w:val="center"/>
          </w:tcPr>
          <w:p>
            <w:pPr>
              <w:spacing w:line="500" w:lineRule="exact"/>
              <w:jc w:val="center"/>
              <w:rPr>
                <w:color w:val="auto"/>
              </w:rPr>
            </w:pPr>
            <w:r>
              <w:rPr>
                <w:color w:val="auto"/>
              </w:rPr>
              <w:t>投标人名称</w:t>
            </w:r>
          </w:p>
        </w:tc>
        <w:tc>
          <w:tcPr>
            <w:tcW w:w="6085" w:type="dxa"/>
            <w:noWrap w:val="0"/>
            <w:tcMar>
              <w:left w:w="75" w:type="dxa"/>
            </w:tcMar>
            <w:vAlign w:val="center"/>
          </w:tcPr>
          <w:p>
            <w:pPr>
              <w:spacing w:line="500" w:lineRule="exact"/>
              <w:rPr>
                <w:rFonts w:hint="eastAsia"/>
                <w:color w:val="auto"/>
              </w:rPr>
            </w:pPr>
            <w:r>
              <w:rPr>
                <w:color w:val="auto"/>
              </w:rPr>
              <w:t>与营业执照（事业单位法人证书）、资质证书一致</w:t>
            </w:r>
            <w:r>
              <w:rPr>
                <w:rFonts w:hint="eastAsia"/>
                <w:color w:val="auto"/>
              </w:rPr>
              <w:t>。</w:t>
            </w:r>
          </w:p>
          <w:p>
            <w:pPr>
              <w:spacing w:line="500" w:lineRule="exact"/>
              <w:rPr>
                <w:color w:val="auto"/>
              </w:rPr>
            </w:pPr>
            <w:r>
              <w:rPr>
                <w:color w:val="auto"/>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kern w:val="0"/>
                <w:szCs w:val="21"/>
              </w:rPr>
              <w:t>签字盖章</w:t>
            </w:r>
          </w:p>
        </w:tc>
        <w:tc>
          <w:tcPr>
            <w:tcW w:w="6085" w:type="dxa"/>
            <w:noWrap w:val="0"/>
            <w:tcMar>
              <w:left w:w="75" w:type="dxa"/>
            </w:tcMar>
            <w:vAlign w:val="center"/>
          </w:tcPr>
          <w:p>
            <w:pPr>
              <w:spacing w:line="500" w:lineRule="exact"/>
              <w:rPr>
                <w:color w:val="auto"/>
              </w:rPr>
            </w:pPr>
            <w:r>
              <w:rPr>
                <w:color w:val="auto"/>
                <w:kern w:val="0"/>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投标文件格式</w:t>
            </w:r>
          </w:p>
        </w:tc>
        <w:tc>
          <w:tcPr>
            <w:tcW w:w="6085" w:type="dxa"/>
            <w:noWrap w:val="0"/>
            <w:tcMar>
              <w:left w:w="75" w:type="dxa"/>
            </w:tcMar>
            <w:vAlign w:val="center"/>
          </w:tcPr>
          <w:p>
            <w:pPr>
              <w:spacing w:line="500" w:lineRule="exact"/>
              <w:rPr>
                <w:color w:val="auto"/>
              </w:rPr>
            </w:pPr>
            <w:r>
              <w:rPr>
                <w:color w:val="auto"/>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联合体投标人</w:t>
            </w:r>
            <w:r>
              <w:rPr>
                <w:i w:val="0"/>
                <w:iCs w:val="0"/>
                <w:color w:val="auto"/>
              </w:rPr>
              <w:t>（本招标项目不适用）</w:t>
            </w:r>
          </w:p>
        </w:tc>
        <w:tc>
          <w:tcPr>
            <w:tcW w:w="6085" w:type="dxa"/>
            <w:noWrap w:val="0"/>
            <w:tcMar>
              <w:left w:w="75" w:type="dxa"/>
            </w:tcMar>
            <w:vAlign w:val="center"/>
          </w:tcPr>
          <w:p>
            <w:pPr>
              <w:spacing w:line="500" w:lineRule="exact"/>
              <w:rPr>
                <w:color w:val="auto"/>
              </w:rPr>
            </w:pPr>
            <w:r>
              <w:rPr>
                <w:color w:val="auto"/>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kern w:val="0"/>
                <w:szCs w:val="21"/>
              </w:rPr>
              <w:t>备选投标方案</w:t>
            </w:r>
          </w:p>
        </w:tc>
        <w:tc>
          <w:tcPr>
            <w:tcW w:w="6085" w:type="dxa"/>
            <w:noWrap w:val="0"/>
            <w:tcMar>
              <w:left w:w="75" w:type="dxa"/>
            </w:tcMar>
            <w:vAlign w:val="center"/>
          </w:tcPr>
          <w:p>
            <w:pPr>
              <w:spacing w:line="500" w:lineRule="exact"/>
              <w:rPr>
                <w:color w:val="auto"/>
              </w:rPr>
            </w:pPr>
            <w:r>
              <w:rPr>
                <w:color w:val="auto"/>
                <w:kern w:val="0"/>
                <w:szCs w:val="21"/>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color w:val="auto"/>
                <w:kern w:val="0"/>
                <w:szCs w:val="21"/>
              </w:rPr>
            </w:pPr>
            <w:r>
              <w:rPr>
                <w:bCs/>
                <w:color w:val="auto"/>
                <w:kern w:val="0"/>
                <w:szCs w:val="21"/>
              </w:rPr>
              <w:t>2.1.2</w:t>
            </w:r>
          </w:p>
        </w:tc>
        <w:tc>
          <w:tcPr>
            <w:tcW w:w="890" w:type="dxa"/>
            <w:vMerge w:val="restart"/>
            <w:noWrap w:val="0"/>
            <w:vAlign w:val="center"/>
          </w:tcPr>
          <w:p>
            <w:pPr>
              <w:widowControl/>
              <w:spacing w:line="500" w:lineRule="exact"/>
              <w:jc w:val="center"/>
              <w:rPr>
                <w:color w:val="auto"/>
                <w:kern w:val="0"/>
                <w:szCs w:val="21"/>
              </w:rPr>
            </w:pPr>
            <w:r>
              <w:rPr>
                <w:bCs/>
                <w:color w:val="auto"/>
                <w:kern w:val="0"/>
                <w:szCs w:val="21"/>
              </w:rPr>
              <w:t>资格评审标准</w:t>
            </w:r>
          </w:p>
        </w:tc>
        <w:tc>
          <w:tcPr>
            <w:tcW w:w="1525" w:type="dxa"/>
            <w:noWrap w:val="0"/>
            <w:tcMar>
              <w:left w:w="75" w:type="dxa"/>
            </w:tcMar>
            <w:vAlign w:val="center"/>
          </w:tcPr>
          <w:p>
            <w:pPr>
              <w:spacing w:line="500" w:lineRule="exact"/>
              <w:jc w:val="center"/>
              <w:rPr>
                <w:color w:val="auto"/>
              </w:rPr>
            </w:pPr>
            <w:r>
              <w:rPr>
                <w:color w:val="auto"/>
              </w:rPr>
              <w:t>营业执照（事业单位法人证书）</w:t>
            </w:r>
          </w:p>
        </w:tc>
        <w:tc>
          <w:tcPr>
            <w:tcW w:w="6085" w:type="dxa"/>
            <w:noWrap w:val="0"/>
            <w:tcMar>
              <w:left w:w="75" w:type="dxa"/>
            </w:tcMar>
            <w:vAlign w:val="center"/>
          </w:tcPr>
          <w:p>
            <w:pPr>
              <w:spacing w:line="500" w:lineRule="exact"/>
              <w:jc w:val="left"/>
              <w:rPr>
                <w:color w:val="auto"/>
                <w:kern w:val="0"/>
                <w:szCs w:val="21"/>
              </w:rPr>
            </w:pPr>
            <w:r>
              <w:rPr>
                <w:color w:val="auto"/>
              </w:rPr>
              <w:t>符合第二章</w:t>
            </w:r>
            <w:r>
              <w:rPr>
                <w:color w:val="auto"/>
                <w:kern w:val="0"/>
                <w:szCs w:val="21"/>
              </w:rPr>
              <w:t>“投标人须知”</w:t>
            </w:r>
            <w:r>
              <w:rPr>
                <w:color w:val="auto"/>
              </w:rPr>
              <w:t>第3.5.1项规定，具备有效的营业执照（事业单位法人证书）</w:t>
            </w:r>
            <w:r>
              <w:rPr>
                <w:color w:val="auto"/>
                <w:kern w:val="0"/>
                <w:szCs w:val="21"/>
              </w:rPr>
              <w:t>，如为联合体投标，联合体各方均须提供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资质要求</w:t>
            </w:r>
          </w:p>
        </w:tc>
        <w:tc>
          <w:tcPr>
            <w:tcW w:w="6085" w:type="dxa"/>
            <w:noWrap w:val="0"/>
            <w:tcMar>
              <w:left w:w="75" w:type="dxa"/>
            </w:tcMar>
            <w:vAlign w:val="center"/>
          </w:tcPr>
          <w:p>
            <w:pPr>
              <w:spacing w:line="500" w:lineRule="exact"/>
              <w:rPr>
                <w:color w:val="auto"/>
              </w:rPr>
            </w:pPr>
            <w:r>
              <w:rPr>
                <w:color w:val="auto"/>
              </w:rPr>
              <w:t>符合第二章</w:t>
            </w:r>
            <w:r>
              <w:rPr>
                <w:color w:val="auto"/>
                <w:kern w:val="0"/>
                <w:szCs w:val="21"/>
              </w:rPr>
              <w:t>“投标人须知”</w:t>
            </w:r>
            <w:r>
              <w:rPr>
                <w:color w:val="auto"/>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投标货物制造商的资质要求（如有）</w:t>
            </w:r>
          </w:p>
        </w:tc>
        <w:tc>
          <w:tcPr>
            <w:tcW w:w="6085" w:type="dxa"/>
            <w:noWrap w:val="0"/>
            <w:tcMar>
              <w:left w:w="75" w:type="dxa"/>
            </w:tcMar>
            <w:vAlign w:val="center"/>
          </w:tcPr>
          <w:p>
            <w:pPr>
              <w:spacing w:line="500" w:lineRule="exact"/>
              <w:rPr>
                <w:color w:val="auto"/>
              </w:rPr>
            </w:pPr>
            <w:r>
              <w:rPr>
                <w:color w:val="auto"/>
              </w:rPr>
              <w:t>符合第二章</w:t>
            </w:r>
            <w:r>
              <w:rPr>
                <w:color w:val="auto"/>
                <w:kern w:val="0"/>
                <w:szCs w:val="21"/>
              </w:rPr>
              <w:t>“投标人须知”</w:t>
            </w:r>
            <w:r>
              <w:rPr>
                <w:color w:val="auto"/>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生产/制造许可证（如有）</w:t>
            </w:r>
          </w:p>
        </w:tc>
        <w:tc>
          <w:tcPr>
            <w:tcW w:w="6085" w:type="dxa"/>
            <w:noWrap w:val="0"/>
            <w:tcMar>
              <w:left w:w="75" w:type="dxa"/>
            </w:tcMar>
            <w:vAlign w:val="center"/>
          </w:tcPr>
          <w:p>
            <w:pPr>
              <w:spacing w:line="500" w:lineRule="exact"/>
              <w:jc w:val="left"/>
              <w:rPr>
                <w:color w:val="auto"/>
                <w:kern w:val="0"/>
                <w:szCs w:val="21"/>
              </w:rPr>
            </w:pPr>
            <w:r>
              <w:rPr>
                <w:color w:val="auto"/>
                <w:szCs w:val="21"/>
              </w:rPr>
              <w:t>具备有效的生产/制造许可证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财务要求</w:t>
            </w:r>
          </w:p>
        </w:tc>
        <w:tc>
          <w:tcPr>
            <w:tcW w:w="6085" w:type="dxa"/>
            <w:noWrap w:val="0"/>
            <w:tcMar>
              <w:left w:w="75" w:type="dxa"/>
            </w:tcMar>
            <w:vAlign w:val="center"/>
          </w:tcPr>
          <w:p>
            <w:pPr>
              <w:spacing w:line="500" w:lineRule="exact"/>
              <w:jc w:val="left"/>
              <w:rPr>
                <w:color w:val="auto"/>
                <w:kern w:val="0"/>
                <w:szCs w:val="21"/>
              </w:rPr>
            </w:pPr>
            <w:r>
              <w:rPr>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投标人业绩要求</w:t>
            </w:r>
          </w:p>
        </w:tc>
        <w:tc>
          <w:tcPr>
            <w:tcW w:w="6085" w:type="dxa"/>
            <w:noWrap w:val="0"/>
            <w:tcMar>
              <w:left w:w="75" w:type="dxa"/>
            </w:tcMar>
            <w:vAlign w:val="center"/>
          </w:tcPr>
          <w:p>
            <w:pPr>
              <w:spacing w:line="500" w:lineRule="exact"/>
              <w:jc w:val="left"/>
              <w:rPr>
                <w:color w:val="auto"/>
                <w:kern w:val="0"/>
                <w:szCs w:val="21"/>
              </w:rPr>
            </w:pPr>
            <w:r>
              <w:rPr>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投标货物的业绩要求（如有）</w:t>
            </w:r>
          </w:p>
        </w:tc>
        <w:tc>
          <w:tcPr>
            <w:tcW w:w="6085" w:type="dxa"/>
            <w:noWrap w:val="0"/>
            <w:tcMar>
              <w:left w:w="75" w:type="dxa"/>
            </w:tcMar>
            <w:vAlign w:val="center"/>
          </w:tcPr>
          <w:p>
            <w:pPr>
              <w:spacing w:line="500" w:lineRule="exact"/>
              <w:rPr>
                <w:color w:val="auto"/>
              </w:rPr>
            </w:pPr>
            <w:r>
              <w:rPr>
                <w:color w:val="auto"/>
              </w:rPr>
              <w:t>符合第二章</w:t>
            </w:r>
            <w:r>
              <w:rPr>
                <w:color w:val="auto"/>
                <w:kern w:val="0"/>
                <w:szCs w:val="21"/>
              </w:rPr>
              <w:t>“投标人须知”</w:t>
            </w:r>
            <w:r>
              <w:rPr>
                <w:color w:val="auto"/>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信誉要求</w:t>
            </w:r>
          </w:p>
        </w:tc>
        <w:tc>
          <w:tcPr>
            <w:tcW w:w="6085" w:type="dxa"/>
            <w:noWrap w:val="0"/>
            <w:tcMar>
              <w:left w:w="75" w:type="dxa"/>
            </w:tcMar>
            <w:vAlign w:val="center"/>
          </w:tcPr>
          <w:p>
            <w:pPr>
              <w:spacing w:line="500" w:lineRule="exact"/>
              <w:jc w:val="left"/>
              <w:rPr>
                <w:color w:val="auto"/>
                <w:kern w:val="0"/>
                <w:szCs w:val="21"/>
              </w:rPr>
            </w:pPr>
            <w:r>
              <w:rPr>
                <w:color w:val="auto"/>
                <w:kern w:val="0"/>
                <w:szCs w:val="21"/>
              </w:rPr>
              <w:t>符合第二章“投标人须知”第1.4.1项规定。</w:t>
            </w:r>
            <w:r>
              <w:rPr>
                <w:bCs/>
                <w:i w:val="0"/>
                <w:iCs w:val="0"/>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其他要求</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联合体投标人（本招标项目不适用）</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rPr>
              <w:t>不存在禁止投标的情形</w:t>
            </w:r>
          </w:p>
        </w:tc>
        <w:tc>
          <w:tcPr>
            <w:tcW w:w="6085" w:type="dxa"/>
            <w:noWrap w:val="0"/>
            <w:tcMar>
              <w:left w:w="75" w:type="dxa"/>
            </w:tcMar>
            <w:vAlign w:val="center"/>
          </w:tcPr>
          <w:p>
            <w:pPr>
              <w:spacing w:line="500" w:lineRule="exact"/>
              <w:jc w:val="left"/>
              <w:rPr>
                <w:color w:val="auto"/>
                <w:kern w:val="0"/>
                <w:szCs w:val="21"/>
              </w:rPr>
            </w:pPr>
            <w:r>
              <w:rPr>
                <w:color w:val="auto"/>
              </w:rPr>
              <w:t>不存在第二章</w:t>
            </w:r>
            <w:r>
              <w:rPr>
                <w:color w:val="auto"/>
                <w:kern w:val="0"/>
                <w:szCs w:val="21"/>
              </w:rPr>
              <w:t>“投标人须知”</w:t>
            </w:r>
            <w:r>
              <w:rPr>
                <w:color w:val="auto"/>
              </w:rPr>
              <w:t>第1.4.3项或第1.4.4项规定的任何一种情形。</w:t>
            </w:r>
            <w:r>
              <w:rPr>
                <w:bCs/>
                <w:i w:val="0"/>
                <w:iCs w:val="0"/>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color w:val="auto"/>
                <w:kern w:val="0"/>
                <w:szCs w:val="21"/>
              </w:rPr>
            </w:pPr>
            <w:r>
              <w:rPr>
                <w:color w:val="auto"/>
              </w:rPr>
              <w:t>2.1.3</w:t>
            </w:r>
          </w:p>
        </w:tc>
        <w:tc>
          <w:tcPr>
            <w:tcW w:w="890" w:type="dxa"/>
            <w:vMerge w:val="restart"/>
            <w:noWrap w:val="0"/>
            <w:vAlign w:val="center"/>
          </w:tcPr>
          <w:p>
            <w:pPr>
              <w:widowControl/>
              <w:spacing w:line="500" w:lineRule="exact"/>
              <w:jc w:val="left"/>
              <w:rPr>
                <w:color w:val="auto"/>
                <w:kern w:val="0"/>
                <w:szCs w:val="21"/>
              </w:rPr>
            </w:pPr>
            <w:r>
              <w:rPr>
                <w:bCs/>
                <w:color w:val="auto"/>
                <w:kern w:val="0"/>
                <w:szCs w:val="21"/>
              </w:rPr>
              <w:t>响应性评审标准</w:t>
            </w: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投标内容</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交货(安装)周期</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交货(安装)地点</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技术性能指标</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投标有效期</w:t>
            </w:r>
          </w:p>
        </w:tc>
        <w:tc>
          <w:tcPr>
            <w:tcW w:w="6085" w:type="dxa"/>
            <w:noWrap w:val="0"/>
            <w:tcMar>
              <w:left w:w="75" w:type="dxa"/>
            </w:tcMar>
            <w:vAlign w:val="center"/>
          </w:tcPr>
          <w:p>
            <w:pPr>
              <w:spacing w:line="500" w:lineRule="exact"/>
              <w:rPr>
                <w:color w:val="auto"/>
                <w:kern w:val="0"/>
                <w:szCs w:val="21"/>
              </w:rPr>
            </w:pPr>
            <w:r>
              <w:rPr>
                <w:color w:val="auto"/>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投标保证金</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jc w:val="center"/>
              <w:rPr>
                <w:rFonts w:hint="eastAsia"/>
                <w:color w:val="auto"/>
                <w:kern w:val="0"/>
                <w:szCs w:val="21"/>
              </w:rPr>
            </w:pPr>
            <w:r>
              <w:rPr>
                <w:rFonts w:hint="eastAsia"/>
                <w:color w:val="auto"/>
                <w:kern w:val="0"/>
                <w:szCs w:val="21"/>
              </w:rPr>
              <w:t>权利义务</w:t>
            </w:r>
          </w:p>
        </w:tc>
        <w:tc>
          <w:tcPr>
            <w:tcW w:w="6085" w:type="dxa"/>
            <w:noWrap w:val="0"/>
            <w:tcMar>
              <w:left w:w="75" w:type="dxa"/>
            </w:tcMar>
            <w:vAlign w:val="center"/>
          </w:tcPr>
          <w:p>
            <w:pPr>
              <w:widowControl/>
              <w:jc w:val="left"/>
              <w:rPr>
                <w:color w:val="auto"/>
                <w:kern w:val="0"/>
                <w:szCs w:val="21"/>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1.1</w:t>
            </w:r>
            <w:r>
              <w:rPr>
                <w:rFonts w:hint="eastAsia"/>
                <w:color w:val="auto"/>
              </w:rPr>
              <w:t>1</w:t>
            </w:r>
            <w:r>
              <w:rPr>
                <w:color w:val="auto"/>
              </w:rPr>
              <w:t>.1</w:t>
            </w:r>
            <w:r>
              <w:rPr>
                <w:rFonts w:hint="eastAsia"/>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投标货物及技术服务和质保期服务</w:t>
            </w:r>
          </w:p>
        </w:tc>
        <w:tc>
          <w:tcPr>
            <w:tcW w:w="6085" w:type="dxa"/>
            <w:noWrap w:val="0"/>
            <w:tcMar>
              <w:left w:w="75" w:type="dxa"/>
            </w:tcMar>
            <w:vAlign w:val="center"/>
          </w:tcPr>
          <w:p>
            <w:pPr>
              <w:widowControl/>
              <w:spacing w:line="500" w:lineRule="exact"/>
              <w:rPr>
                <w:color w:val="auto"/>
                <w:kern w:val="0"/>
                <w:szCs w:val="21"/>
              </w:rPr>
            </w:pPr>
            <w:r>
              <w:rPr>
                <w:color w:val="auto"/>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jc w:val="center"/>
              <w:rPr>
                <w:rFonts w:hint="eastAsia"/>
                <w:color w:val="auto"/>
              </w:rPr>
            </w:pPr>
            <w:r>
              <w:rPr>
                <w:color w:val="auto"/>
              </w:rPr>
              <w:t>技术支持资料</w:t>
            </w:r>
          </w:p>
        </w:tc>
        <w:tc>
          <w:tcPr>
            <w:tcW w:w="6085" w:type="dxa"/>
            <w:noWrap w:val="0"/>
            <w:tcMar>
              <w:left w:w="75" w:type="dxa"/>
            </w:tcMar>
            <w:vAlign w:val="center"/>
          </w:tcPr>
          <w:p>
            <w:pPr>
              <w:widowControl/>
              <w:rPr>
                <w:rFonts w:hint="eastAsia"/>
                <w:color w:val="auto"/>
                <w:kern w:val="0"/>
                <w:szCs w:val="21"/>
              </w:rPr>
            </w:pPr>
            <w:r>
              <w:rPr>
                <w:color w:val="auto"/>
              </w:rPr>
              <w:t>符合第二章</w:t>
            </w:r>
            <w:r>
              <w:rPr>
                <w:rFonts w:hint="eastAsia"/>
                <w:color w:val="auto"/>
                <w:kern w:val="0"/>
                <w:szCs w:val="21"/>
              </w:rPr>
              <w:t>“投标人须知”</w:t>
            </w:r>
            <w:r>
              <w:rPr>
                <w:color w:val="auto"/>
              </w:rPr>
              <w:t>第1.1</w:t>
            </w:r>
            <w:r>
              <w:rPr>
                <w:rFonts w:hint="eastAsia"/>
                <w:color w:val="auto"/>
              </w:rPr>
              <w:t>1</w:t>
            </w:r>
            <w:r>
              <w:rPr>
                <w:color w:val="auto"/>
              </w:rPr>
              <w:t>.3项规定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其他实质性要求</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投标文件对招标文件的其他实质性要求和条件作出响应</w:t>
            </w:r>
          </w:p>
        </w:tc>
      </w:tr>
    </w:tbl>
    <w:p>
      <w:pPr>
        <w:keepNext/>
        <w:keepLines/>
        <w:spacing w:before="120" w:beforeLines="50" w:after="120" w:afterLines="50" w:line="500" w:lineRule="exact"/>
        <w:jc w:val="center"/>
        <w:outlineLvl w:val="2"/>
        <w:rPr>
          <w:rFonts w:eastAsia="黑体"/>
          <w:bCs/>
          <w:color w:val="auto"/>
          <w:sz w:val="28"/>
          <w:szCs w:val="28"/>
        </w:rPr>
      </w:pPr>
      <w:r>
        <w:rPr>
          <w:rFonts w:eastAsia="黑体"/>
          <w:bCs/>
          <w:color w:val="auto"/>
          <w:sz w:val="28"/>
          <w:szCs w:val="28"/>
        </w:rPr>
        <w:t>报价文件初步评审标准</w:t>
      </w:r>
    </w:p>
    <w:tbl>
      <w:tblPr>
        <w:tblStyle w:val="54"/>
        <w:tblW w:w="5532"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006"/>
        <w:gridCol w:w="927"/>
        <w:gridCol w:w="2172"/>
        <w:gridCol w:w="510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540" w:hRule="atLeast"/>
          <w:tblHeader/>
          <w:jc w:val="center"/>
        </w:trPr>
        <w:tc>
          <w:tcPr>
            <w:tcW w:w="1049" w:type="pct"/>
            <w:gridSpan w:val="2"/>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r>
              <w:rPr>
                <w:b/>
                <w:bCs/>
                <w:color w:val="auto"/>
                <w:kern w:val="0"/>
                <w:szCs w:val="21"/>
              </w:rPr>
              <w:t>条款号</w:t>
            </w:r>
          </w:p>
        </w:tc>
        <w:tc>
          <w:tcPr>
            <w:tcW w:w="1179" w:type="pct"/>
            <w:tcBorders>
              <w:top w:val="outset" w:color="auto" w:sz="6" w:space="0"/>
              <w:left w:val="single" w:color="auto" w:sz="4" w:space="0"/>
              <w:bottom w:val="outset" w:color="auto" w:sz="6" w:space="0"/>
              <w:right w:val="single" w:color="auto" w:sz="4" w:space="0"/>
            </w:tcBorders>
            <w:noWrap w:val="0"/>
            <w:vAlign w:val="center"/>
          </w:tcPr>
          <w:p>
            <w:pPr>
              <w:widowControl/>
              <w:spacing w:line="500" w:lineRule="exact"/>
              <w:ind w:firstLine="105" w:firstLineChars="50"/>
              <w:jc w:val="center"/>
              <w:rPr>
                <w:color w:val="auto"/>
                <w:kern w:val="0"/>
                <w:szCs w:val="21"/>
              </w:rPr>
            </w:pPr>
            <w:r>
              <w:rPr>
                <w:b/>
                <w:bCs/>
                <w:color w:val="auto"/>
                <w:kern w:val="0"/>
                <w:szCs w:val="21"/>
              </w:rPr>
              <w:t>评审因素</w:t>
            </w:r>
          </w:p>
        </w:tc>
        <w:tc>
          <w:tcPr>
            <w:tcW w:w="2770" w:type="pct"/>
            <w:tcBorders>
              <w:top w:val="outset" w:color="auto" w:sz="6" w:space="0"/>
              <w:left w:val="single" w:color="auto" w:sz="4" w:space="0"/>
              <w:bottom w:val="outset" w:color="auto" w:sz="6" w:space="0"/>
              <w:right w:val="outset" w:color="auto" w:sz="6" w:space="0"/>
            </w:tcBorders>
            <w:noWrap w:val="0"/>
            <w:vAlign w:val="center"/>
          </w:tcPr>
          <w:p>
            <w:pPr>
              <w:widowControl/>
              <w:spacing w:line="500" w:lineRule="exact"/>
              <w:ind w:firstLine="105" w:firstLineChars="50"/>
              <w:jc w:val="center"/>
              <w:rPr>
                <w:color w:val="auto"/>
                <w:kern w:val="0"/>
                <w:szCs w:val="21"/>
              </w:rPr>
            </w:pPr>
            <w:r>
              <w:rPr>
                <w:b/>
                <w:bCs/>
                <w:color w:val="auto"/>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center"/>
              <w:rPr>
                <w:color w:val="auto"/>
                <w:kern w:val="0"/>
                <w:szCs w:val="21"/>
              </w:rPr>
            </w:pPr>
            <w:r>
              <w:rPr>
                <w:bCs/>
                <w:color w:val="auto"/>
                <w:kern w:val="0"/>
                <w:szCs w:val="21"/>
              </w:rPr>
              <w:t>2.1.1</w:t>
            </w:r>
          </w:p>
        </w:tc>
        <w:tc>
          <w:tcPr>
            <w:tcW w:w="503" w:type="pct"/>
            <w:vMerge w:val="restart"/>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r>
              <w:rPr>
                <w:bCs/>
                <w:color w:val="auto"/>
                <w:kern w:val="0"/>
                <w:szCs w:val="21"/>
              </w:rPr>
              <w:t>形式评审标准</w:t>
            </w: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auto"/>
              </w:rPr>
            </w:pPr>
            <w:r>
              <w:rPr>
                <w:color w:val="auto"/>
              </w:rPr>
              <w:t>投标人名称</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spacing w:line="500" w:lineRule="exact"/>
              <w:rPr>
                <w:rFonts w:hint="eastAsia"/>
                <w:color w:val="auto"/>
              </w:rPr>
            </w:pPr>
            <w:r>
              <w:rPr>
                <w:color w:val="auto"/>
              </w:rPr>
              <w:t>与营业执照（事业单位法人证书）、资质证书一致</w:t>
            </w:r>
            <w:r>
              <w:rPr>
                <w:rFonts w:hint="eastAsia"/>
                <w:color w:val="auto"/>
              </w:rPr>
              <w:t>。</w:t>
            </w:r>
          </w:p>
          <w:p>
            <w:pPr>
              <w:spacing w:line="500" w:lineRule="exact"/>
              <w:rPr>
                <w:color w:val="auto"/>
              </w:rPr>
            </w:pPr>
            <w:r>
              <w:rPr>
                <w:color w:val="auto"/>
              </w:rPr>
              <w:t>名称变更的，应当提供证书颁发等单位提供的变更说明</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kern w:val="0"/>
                <w:szCs w:val="21"/>
              </w:rPr>
            </w:pPr>
            <w:r>
              <w:rPr>
                <w:color w:val="auto"/>
              </w:rPr>
              <w:t>投标文件格式</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符合第六章“投标文件格式”的规定，关键字迹清晰可辨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rPr>
            </w:pPr>
            <w:r>
              <w:rPr>
                <w:color w:val="auto"/>
                <w:kern w:val="0"/>
                <w:szCs w:val="21"/>
              </w:rPr>
              <w:t>备选投标方案</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kern w:val="0"/>
                <w:szCs w:val="21"/>
              </w:rPr>
            </w:pPr>
            <w:r>
              <w:rPr>
                <w:color w:val="auto"/>
                <w:kern w:val="0"/>
                <w:szCs w:val="21"/>
              </w:rPr>
              <w:t>签字盖章</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符合第六章“投标文件格式”的规定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restart"/>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color w:val="auto"/>
                <w:kern w:val="0"/>
                <w:szCs w:val="21"/>
              </w:rPr>
            </w:pPr>
            <w:r>
              <w:rPr>
                <w:bCs/>
                <w:color w:val="auto"/>
                <w:kern w:val="0"/>
                <w:szCs w:val="21"/>
              </w:rPr>
              <w:t>2.1.2</w:t>
            </w:r>
          </w:p>
        </w:tc>
        <w:tc>
          <w:tcPr>
            <w:tcW w:w="503" w:type="pct"/>
            <w:vMerge w:val="restart"/>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color w:val="auto"/>
                <w:kern w:val="0"/>
                <w:szCs w:val="21"/>
              </w:rPr>
            </w:pPr>
            <w:r>
              <w:rPr>
                <w:bCs/>
                <w:color w:val="auto"/>
                <w:kern w:val="0"/>
                <w:szCs w:val="21"/>
              </w:rPr>
              <w:t>响应性评审标准</w:t>
            </w:r>
          </w:p>
        </w:tc>
        <w:tc>
          <w:tcPr>
            <w:tcW w:w="1179" w:type="pct"/>
            <w:tcBorders>
              <w:top w:val="single" w:color="auto" w:sz="4"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kern w:val="0"/>
                <w:szCs w:val="21"/>
              </w:rPr>
            </w:pPr>
            <w:r>
              <w:rPr>
                <w:color w:val="auto"/>
                <w:kern w:val="0"/>
                <w:szCs w:val="21"/>
              </w:rPr>
              <w:t>投标内容</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bCs/>
                <w:color w:val="auto"/>
                <w:kern w:val="0"/>
                <w:szCs w:val="21"/>
              </w:rPr>
            </w:pPr>
          </w:p>
        </w:tc>
        <w:tc>
          <w:tcPr>
            <w:tcW w:w="503" w:type="pct"/>
            <w:vMerge w:val="continue"/>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bCs/>
                <w:color w:val="auto"/>
                <w:kern w:val="0"/>
                <w:szCs w:val="21"/>
              </w:rPr>
            </w:pPr>
          </w:p>
        </w:tc>
        <w:tc>
          <w:tcPr>
            <w:tcW w:w="1179" w:type="pct"/>
            <w:tcBorders>
              <w:top w:val="single" w:color="auto" w:sz="4"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auto"/>
              </w:rPr>
            </w:pPr>
            <w:r>
              <w:rPr>
                <w:color w:val="auto"/>
              </w:rPr>
              <w:t>投标报价</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left"/>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ind w:left="-57" w:leftChars="-27"/>
              <w:jc w:val="center"/>
              <w:rPr>
                <w:color w:val="auto"/>
                <w:kern w:val="0"/>
                <w:szCs w:val="21"/>
              </w:rPr>
            </w:pPr>
            <w:r>
              <w:rPr>
                <w:color w:val="auto"/>
                <w:kern w:val="0"/>
                <w:szCs w:val="21"/>
              </w:rPr>
              <w:t>其它情形</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投标文件中不得存在招标人不能接受的其它实质性条件</w:t>
            </w:r>
          </w:p>
        </w:tc>
      </w:tr>
    </w:tbl>
    <w:p>
      <w:pPr>
        <w:keepNext/>
        <w:keepLines/>
        <w:spacing w:line="500" w:lineRule="exact"/>
        <w:jc w:val="center"/>
        <w:rPr>
          <w:rFonts w:eastAsia="黑体"/>
          <w:bCs/>
          <w:color w:val="auto"/>
          <w:sz w:val="24"/>
        </w:rPr>
      </w:pPr>
    </w:p>
    <w:p>
      <w:pPr>
        <w:keepNext/>
        <w:keepLines/>
        <w:spacing w:after="120" w:afterLines="50" w:line="500" w:lineRule="exact"/>
        <w:jc w:val="center"/>
        <w:outlineLvl w:val="2"/>
        <w:rPr>
          <w:rFonts w:eastAsia="黑体"/>
          <w:bCs/>
          <w:color w:val="auto"/>
          <w:sz w:val="28"/>
          <w:szCs w:val="28"/>
        </w:rPr>
      </w:pPr>
      <w:bookmarkStart w:id="294" w:name="_Toc31636"/>
      <w:bookmarkStart w:id="295" w:name="_Toc13321"/>
      <w:bookmarkStart w:id="296" w:name="_Toc24535"/>
      <w:bookmarkStart w:id="297" w:name="_Toc7693"/>
      <w:r>
        <w:rPr>
          <w:rFonts w:eastAsia="黑体"/>
          <w:bCs/>
          <w:color w:val="auto"/>
          <w:sz w:val="28"/>
          <w:szCs w:val="28"/>
        </w:rPr>
        <w:t>商务及技术文件详细评审标准</w:t>
      </w:r>
    </w:p>
    <w:tbl>
      <w:tblPr>
        <w:tblStyle w:val="54"/>
        <w:tblW w:w="54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51"/>
        <w:gridCol w:w="751"/>
        <w:gridCol w:w="957"/>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0" w:type="pct"/>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类别</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宋体"/>
                <w:b/>
                <w:bCs/>
                <w:color w:val="auto"/>
                <w:sz w:val="21"/>
                <w:szCs w:val="21"/>
                <w:lang w:val="en-US" w:eastAsia="zh-CN"/>
              </w:rPr>
            </w:pPr>
            <w:r>
              <w:rPr>
                <w:b/>
                <w:bCs/>
                <w:color w:val="auto"/>
                <w:sz w:val="21"/>
                <w:szCs w:val="21"/>
              </w:rPr>
              <w:t>评分</w:t>
            </w:r>
            <w:r>
              <w:rPr>
                <w:rFonts w:hint="eastAsia"/>
                <w:b/>
                <w:bCs/>
                <w:color w:val="auto"/>
                <w:sz w:val="21"/>
                <w:szCs w:val="21"/>
                <w:lang w:val="en-US" w:eastAsia="zh-CN"/>
              </w:rPr>
              <w:t>因素</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rFonts w:hint="eastAsia"/>
                <w:b/>
                <w:bCs/>
                <w:color w:val="auto"/>
                <w:sz w:val="21"/>
                <w:szCs w:val="21"/>
                <w:lang w:val="en-US" w:eastAsia="zh-CN"/>
              </w:rPr>
              <w:t>评分因素权重分值</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505" w:type="pct"/>
            <w:vMerge w:val="restar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2.1.3（1）</w:t>
            </w:r>
          </w:p>
        </w:tc>
        <w:tc>
          <w:tcPr>
            <w:tcW w:w="405" w:type="pct"/>
            <w:vMerge w:val="restart"/>
            <w:tcBorders>
              <w:top w:val="single" w:color="auto" w:sz="4" w:space="0"/>
              <w:left w:val="single" w:color="auto" w:sz="4" w:space="0"/>
              <w:right w:val="single" w:color="auto" w:sz="4" w:space="0"/>
            </w:tcBorders>
            <w:noWrap w:val="0"/>
            <w:vAlign w:val="center"/>
          </w:tcPr>
          <w:p>
            <w:pPr>
              <w:spacing w:line="500" w:lineRule="exact"/>
              <w:jc w:val="center"/>
              <w:rPr>
                <w:color w:val="auto"/>
                <w:sz w:val="21"/>
                <w:szCs w:val="21"/>
              </w:rPr>
            </w:pPr>
            <w:r>
              <w:rPr>
                <w:color w:val="auto"/>
                <w:sz w:val="21"/>
                <w:szCs w:val="21"/>
              </w:rPr>
              <w:t>商务评分标准</w:t>
            </w:r>
          </w:p>
        </w:tc>
        <w:tc>
          <w:tcPr>
            <w:tcW w:w="405" w:type="pc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供货业绩</w:t>
            </w:r>
          </w:p>
        </w:tc>
        <w:tc>
          <w:tcPr>
            <w:tcW w:w="516" w:type="pct"/>
            <w:tcBorders>
              <w:top w:val="single" w:color="auto" w:sz="4" w:space="0"/>
              <w:left w:val="single" w:color="auto" w:sz="4" w:space="0"/>
              <w:right w:val="single" w:color="auto" w:sz="4" w:space="0"/>
            </w:tcBorders>
            <w:noWrap w:val="0"/>
            <w:vAlign w:val="center"/>
          </w:tcPr>
          <w:p>
            <w:pPr>
              <w:spacing w:line="50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3167" w:type="pct"/>
            <w:tcBorders>
              <w:top w:val="single" w:color="auto" w:sz="4" w:space="0"/>
              <w:left w:val="single" w:color="auto" w:sz="4" w:space="0"/>
              <w:right w:val="single" w:color="auto" w:sz="4" w:space="0"/>
            </w:tcBorders>
            <w:noWrap w:val="0"/>
            <w:vAlign w:val="center"/>
          </w:tcPr>
          <w:p>
            <w:pPr>
              <w:snapToGrid w:val="0"/>
              <w:spacing w:line="360" w:lineRule="auto"/>
              <w:ind w:firstLine="630" w:firstLineChars="3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1.自2019年1月1日以来（以合同签订时间为准），投标人具有单个合同金额不少于10万元的食材供应业绩的，每提供一个业绩得3分，最高得9分；</w:t>
            </w:r>
          </w:p>
          <w:p>
            <w:pPr>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2.以上经评标委员会认可的业绩同时获得业主单位（或合同甲方）履约反馈评价为正向评价（如优秀或满意或先进或良好）的，每提供一个履约反馈正向评价得1分，最高得3分。</w:t>
            </w:r>
          </w:p>
          <w:p>
            <w:pPr>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本项满分12分，正在履约或已完成的项目均可；（1）投标文件中提供①业绩合同②业主单位履约反馈评价扫描件，以上证明材料须能体现合同签订时间、合同金额、供货内容及履约反馈正向评价等关键评审因素，无法体现的，须同时提供合同甲方盖章的证明材料扫描件证明，否则不得分；</w:t>
            </w:r>
          </w:p>
          <w:p>
            <w:pPr>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（2）初审业绩不得分。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right w:val="single" w:color="auto" w:sz="4" w:space="0"/>
            </w:tcBorders>
            <w:noWrap w:val="0"/>
            <w:vAlign w:val="center"/>
          </w:tcPr>
          <w:p>
            <w:pPr>
              <w:spacing w:line="500" w:lineRule="exact"/>
              <w:jc w:val="center"/>
              <w:rPr>
                <w:rFonts w:hint="eastAsia" w:eastAsia="宋体"/>
                <w:color w:val="auto"/>
                <w:sz w:val="21"/>
                <w:szCs w:val="21"/>
                <w:lang w:val="en-US" w:eastAsia="zh-CN"/>
              </w:rPr>
            </w:pPr>
            <w:r>
              <w:rPr>
                <w:rFonts w:hint="eastAsia" w:ascii="宋体" w:hAnsi="宋体" w:cs="宋体"/>
                <w:color w:val="auto"/>
                <w:sz w:val="24"/>
              </w:rPr>
              <w:t>运输车辆</w:t>
            </w:r>
          </w:p>
        </w:tc>
        <w:tc>
          <w:tcPr>
            <w:tcW w:w="516" w:type="pct"/>
            <w:tcBorders>
              <w:top w:val="single" w:color="auto" w:sz="4" w:space="0"/>
              <w:left w:val="single" w:color="auto" w:sz="4" w:space="0"/>
              <w:right w:val="single" w:color="auto" w:sz="4" w:space="0"/>
            </w:tcBorders>
            <w:noWrap w:val="0"/>
            <w:vAlign w:val="center"/>
          </w:tcPr>
          <w:p>
            <w:pPr>
              <w:spacing w:line="500" w:lineRule="exact"/>
              <w:jc w:val="center"/>
              <w:rPr>
                <w:rFonts w:hint="default"/>
                <w:color w:val="auto"/>
                <w:sz w:val="21"/>
                <w:szCs w:val="21"/>
                <w:lang w:val="en-US" w:eastAsia="zh-CN"/>
              </w:rPr>
            </w:pPr>
            <w:r>
              <w:rPr>
                <w:rFonts w:hint="eastAsia"/>
                <w:color w:val="auto"/>
                <w:sz w:val="21"/>
                <w:szCs w:val="21"/>
                <w:lang w:val="en-US" w:eastAsia="zh-CN"/>
              </w:rPr>
              <w:t>6</w:t>
            </w:r>
          </w:p>
        </w:tc>
        <w:tc>
          <w:tcPr>
            <w:tcW w:w="3167" w:type="pct"/>
            <w:tcBorders>
              <w:top w:val="single" w:color="auto" w:sz="4" w:space="0"/>
              <w:left w:val="single" w:color="auto" w:sz="4" w:space="0"/>
              <w:right w:val="single" w:color="auto" w:sz="4" w:space="0"/>
            </w:tcBorders>
            <w:noWrap w:val="0"/>
            <w:vAlign w:val="center"/>
          </w:tcPr>
          <w:p>
            <w:pPr>
              <w:spacing w:line="360" w:lineRule="auto"/>
              <w:ind w:firstLine="420" w:firstLineChars="2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投标人为本项目配备专业配运输车的，每提供一辆得3分，本小项满分6分。</w:t>
            </w:r>
          </w:p>
          <w:p>
            <w:pPr>
              <w:spacing w:line="360" w:lineRule="auto"/>
              <w:ind w:firstLine="420" w:firstLineChars="2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注：1.如为投标人自有的，投标文件中须同时提供：</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（1）购销合同扫描件；</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（2）车辆行驶证扫描件；</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（3）车辆照片；</w:t>
            </w:r>
          </w:p>
          <w:p>
            <w:pPr>
              <w:spacing w:line="360" w:lineRule="auto"/>
              <w:ind w:firstLine="420" w:firstLineChars="2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2.如为投标人租赁的，投标文件中同时提供：</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（1）租赁合同(或租赁协议)的扫描件；</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（2）车辆行驶证扫描件；</w:t>
            </w:r>
          </w:p>
          <w:p>
            <w:pPr>
              <w:pStyle w:val="53"/>
              <w:spacing w:line="360" w:lineRule="auto"/>
              <w:ind w:firstLine="0" w:firstLineChars="0"/>
              <w:rPr>
                <w:rFonts w:hint="default" w:ascii="Times New Roman" w:hAnsi="Times New Roman"/>
                <w:i w:val="0"/>
                <w:iCs/>
                <w:color w:val="auto"/>
                <w:sz w:val="21"/>
                <w:szCs w:val="21"/>
                <w:lang w:val="en-US" w:eastAsia="zh-CN"/>
              </w:rPr>
            </w:pPr>
            <w:r>
              <w:rPr>
                <w:rFonts w:hint="eastAsia" w:ascii="Times New Roman" w:hAnsi="Times New Roman" w:eastAsia="宋体" w:cs="Times New Roman"/>
                <w:bCs/>
                <w:color w:val="auto"/>
                <w:kern w:val="2"/>
                <w:sz w:val="21"/>
                <w:szCs w:val="21"/>
                <w:lang w:val="en-US" w:eastAsia="zh-CN" w:bidi="ar-SA"/>
              </w:rPr>
              <w:t>（3）车辆照片。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lang w:val="en-US" w:eastAsia="zh-CN"/>
              </w:rPr>
            </w:pPr>
            <w:r>
              <w:rPr>
                <w:rFonts w:hint="eastAsia" w:ascii="宋体" w:hAnsi="宋体" w:eastAsia="宋体" w:cs="宋体"/>
                <w:color w:val="auto"/>
                <w:sz w:val="24"/>
                <w:szCs w:val="24"/>
                <w:highlight w:val="none"/>
              </w:rPr>
              <w:t>人员配备</w:t>
            </w:r>
          </w:p>
        </w:tc>
        <w:tc>
          <w:tcPr>
            <w:tcW w:w="516" w:type="pc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lang w:val="en-US" w:eastAsia="zh-CN"/>
              </w:rPr>
            </w:pPr>
            <w:r>
              <w:rPr>
                <w:rFonts w:hint="eastAsia"/>
                <w:color w:val="auto"/>
                <w:sz w:val="21"/>
                <w:szCs w:val="21"/>
                <w:lang w:val="en-US" w:eastAsia="zh-CN"/>
              </w:rPr>
              <w:t>4</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pStyle w:val="53"/>
              <w:spacing w:line="360" w:lineRule="auto"/>
              <w:ind w:firstLine="0" w:firstLineChars="0"/>
              <w:rPr>
                <w:rFonts w:hint="default" w:ascii="Times New Roman" w:hAnsi="Times New Roman"/>
                <w:color w:val="auto"/>
                <w:sz w:val="21"/>
                <w:szCs w:val="21"/>
                <w:lang w:val="en-US" w:eastAsia="zh-CN"/>
              </w:rPr>
            </w:pPr>
            <w:r>
              <w:rPr>
                <w:rFonts w:hint="eastAsia" w:ascii="Times New Roman" w:hAnsi="Times New Roman"/>
                <w:color w:val="auto"/>
                <w:sz w:val="21"/>
                <w:szCs w:val="21"/>
              </w:rPr>
              <w:t>投标人</w:t>
            </w:r>
            <w:r>
              <w:rPr>
                <w:rFonts w:hint="eastAsia" w:ascii="Times New Roman" w:hAnsi="Times New Roman"/>
                <w:color w:val="auto"/>
                <w:sz w:val="21"/>
                <w:szCs w:val="21"/>
                <w:lang w:val="en-US" w:eastAsia="zh-CN"/>
              </w:rPr>
              <w:t>为本项目配备固定配送人员：配备一名固定配送人员得2分；配备两名固定配送人员得4分。</w:t>
            </w:r>
          </w:p>
          <w:p>
            <w:pPr>
              <w:pStyle w:val="53"/>
              <w:spacing w:line="360" w:lineRule="auto"/>
              <w:ind w:firstLine="0" w:firstLineChars="0"/>
              <w:rPr>
                <w:rFonts w:ascii="Times New Roman" w:hAnsi="Times New Roman"/>
                <w:color w:val="auto"/>
                <w:sz w:val="21"/>
                <w:szCs w:val="21"/>
              </w:rPr>
            </w:pPr>
            <w:r>
              <w:rPr>
                <w:rFonts w:hint="eastAsia" w:ascii="Times New Roman" w:hAnsi="Times New Roman"/>
                <w:color w:val="auto"/>
                <w:sz w:val="21"/>
                <w:szCs w:val="21"/>
              </w:rPr>
              <w:t>注：投标文件中提供</w:t>
            </w:r>
            <w:r>
              <w:rPr>
                <w:rFonts w:hint="eastAsia" w:ascii="Times New Roman" w:hAnsi="Times New Roman"/>
                <w:color w:val="auto"/>
                <w:sz w:val="21"/>
                <w:szCs w:val="21"/>
                <w:lang w:val="en-US" w:eastAsia="zh-CN"/>
              </w:rPr>
              <w:t>提供承诺及</w:t>
            </w:r>
            <w:r>
              <w:rPr>
                <w:rFonts w:hint="eastAsia" w:ascii="Times New Roman" w:hAnsi="Times New Roman"/>
                <w:color w:val="auto"/>
                <w:sz w:val="21"/>
                <w:szCs w:val="21"/>
              </w:rPr>
              <w:t>上述人员相关</w:t>
            </w:r>
            <w:r>
              <w:rPr>
                <w:rFonts w:hint="eastAsia" w:ascii="Times New Roman" w:hAnsi="Times New Roman"/>
                <w:color w:val="auto"/>
                <w:sz w:val="21"/>
                <w:szCs w:val="21"/>
                <w:lang w:val="en-US" w:eastAsia="zh-CN"/>
              </w:rPr>
              <w:t>名单、身份证复印件作为评审依据。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restar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2.1.3（2）</w:t>
            </w:r>
          </w:p>
        </w:tc>
        <w:tc>
          <w:tcPr>
            <w:tcW w:w="405" w:type="pct"/>
            <w:vMerge w:val="restart"/>
            <w:tcBorders>
              <w:top w:val="single" w:color="auto" w:sz="4" w:space="0"/>
              <w:left w:val="single" w:color="auto" w:sz="4" w:space="0"/>
              <w:right w:val="single" w:color="auto" w:sz="4" w:space="0"/>
            </w:tcBorders>
            <w:noWrap w:val="0"/>
            <w:vAlign w:val="center"/>
          </w:tcPr>
          <w:p>
            <w:pPr>
              <w:spacing w:line="500" w:lineRule="exact"/>
              <w:jc w:val="center"/>
              <w:rPr>
                <w:color w:val="auto"/>
                <w:sz w:val="21"/>
                <w:szCs w:val="21"/>
              </w:rPr>
            </w:pPr>
            <w:r>
              <w:rPr>
                <w:color w:val="auto"/>
                <w:sz w:val="21"/>
                <w:szCs w:val="21"/>
              </w:rPr>
              <w:t>技术评分标准</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 w:val="21"/>
                <w:szCs w:val="21"/>
              </w:rPr>
            </w:pPr>
            <w:r>
              <w:rPr>
                <w:rFonts w:hint="eastAsia"/>
                <w:color w:val="auto"/>
                <w:sz w:val="21"/>
                <w:szCs w:val="21"/>
                <w:lang w:val="en-US" w:eastAsia="zh-CN"/>
              </w:rPr>
              <w:t>公司制度</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color w:val="auto"/>
                <w:sz w:val="21"/>
                <w:szCs w:val="21"/>
                <w:lang w:val="en-US"/>
              </w:rPr>
            </w:pPr>
            <w:r>
              <w:rPr>
                <w:rFonts w:hint="eastAsia" w:ascii="宋体" w:hAnsi="宋体" w:cs="宋体"/>
                <w:color w:val="auto"/>
                <w:sz w:val="21"/>
                <w:szCs w:val="21"/>
                <w:lang w:val="en-US" w:eastAsia="zh-CN"/>
              </w:rPr>
              <w:t>10分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kern w:val="0"/>
                <w:sz w:val="21"/>
                <w:szCs w:val="21"/>
              </w:rPr>
            </w:pPr>
            <w:r>
              <w:rPr>
                <w:rFonts w:ascii="宋体" w:hAnsi="宋体" w:cs="宋体"/>
                <w:color w:val="auto"/>
                <w:kern w:val="0"/>
                <w:sz w:val="21"/>
                <w:szCs w:val="21"/>
              </w:rPr>
              <w:t>评审委员会根据投标人</w:t>
            </w:r>
            <w:r>
              <w:rPr>
                <w:rFonts w:hint="eastAsia" w:ascii="宋体" w:hAnsi="宋体" w:cs="宋体"/>
                <w:color w:val="auto"/>
                <w:kern w:val="0"/>
                <w:sz w:val="21"/>
                <w:szCs w:val="21"/>
              </w:rPr>
              <w:t xml:space="preserve">提供的公司管理制度进行综合评分： </w:t>
            </w:r>
          </w:p>
          <w:p>
            <w:pPr>
              <w:spacing w:line="360" w:lineRule="auto"/>
              <w:rPr>
                <w:rFonts w:hint="eastAsia" w:ascii="宋体" w:hAnsi="宋体" w:cs="宋体"/>
                <w:color w:val="auto"/>
                <w:sz w:val="21"/>
                <w:szCs w:val="21"/>
              </w:rPr>
            </w:pPr>
            <w:r>
              <w:rPr>
                <w:rFonts w:hint="eastAsia" w:ascii="宋体" w:hAnsi="宋体" w:cs="宋体"/>
                <w:color w:val="auto"/>
                <w:sz w:val="21"/>
                <w:szCs w:val="21"/>
              </w:rPr>
              <w:t>（1）具有完整合理、可行度高的包括公司领导机制、各项管理制度、人员在岗、待岗职责制度；</w:t>
            </w:r>
          </w:p>
          <w:p>
            <w:pPr>
              <w:spacing w:line="360" w:lineRule="auto"/>
              <w:rPr>
                <w:rFonts w:hint="eastAsia" w:ascii="宋体" w:hAnsi="宋体" w:cs="宋体"/>
                <w:color w:val="auto"/>
                <w:sz w:val="21"/>
                <w:szCs w:val="21"/>
              </w:rPr>
            </w:pPr>
            <w:r>
              <w:rPr>
                <w:rFonts w:hint="eastAsia" w:ascii="宋体" w:hAnsi="宋体" w:cs="宋体"/>
                <w:color w:val="auto"/>
                <w:sz w:val="21"/>
                <w:szCs w:val="21"/>
              </w:rPr>
              <w:t>（2）具有完整合理、可行度高的包括财务服务、人员考核制度等；</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制度</w:t>
            </w:r>
            <w:r>
              <w:rPr>
                <w:rFonts w:hint="eastAsia" w:ascii="宋体" w:hAnsi="宋体" w:cs="宋体"/>
                <w:color w:val="auto"/>
                <w:sz w:val="21"/>
                <w:szCs w:val="21"/>
              </w:rPr>
              <w:t>全面性、合理性、可行性、可操作性强的，得7＜F≤10分；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val="en-US" w:eastAsia="zh-CN"/>
              </w:rPr>
              <w:t>制度</w:t>
            </w:r>
            <w:r>
              <w:rPr>
                <w:rFonts w:hint="eastAsia" w:ascii="宋体" w:hAnsi="宋体" w:cs="宋体"/>
                <w:color w:val="auto"/>
                <w:sz w:val="21"/>
                <w:szCs w:val="21"/>
              </w:rPr>
              <w:t>全面性、合理性、可行性、可操作性较强的，得3＜F≤7分；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val="en-US" w:eastAsia="zh-CN"/>
              </w:rPr>
              <w:t>制度</w:t>
            </w:r>
            <w:r>
              <w:rPr>
                <w:rFonts w:hint="eastAsia" w:ascii="宋体" w:hAnsi="宋体" w:cs="宋体"/>
                <w:color w:val="auto"/>
                <w:sz w:val="21"/>
                <w:szCs w:val="21"/>
              </w:rPr>
              <w:t>全面性、合理性、可行性、可操作性一般的，得0＜F≤3分；</w:t>
            </w:r>
          </w:p>
          <w:p>
            <w:pPr>
              <w:pStyle w:val="53"/>
              <w:spacing w:line="360" w:lineRule="auto"/>
              <w:ind w:firstLine="0" w:firstLineChars="0"/>
              <w:rPr>
                <w:b/>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rFonts w:hint="eastAsia"/>
                <w:b/>
                <w:bCs/>
                <w:color w:val="auto"/>
                <w:sz w:val="21"/>
                <w:szCs w:val="21"/>
                <w:lang w:val="en-US" w:eastAsia="zh-CN"/>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1"/>
                <w:szCs w:val="21"/>
              </w:rPr>
            </w:pPr>
            <w:r>
              <w:rPr>
                <w:rFonts w:hint="eastAsia" w:ascii="宋体" w:hAnsi="宋体" w:cs="宋体"/>
                <w:color w:val="auto"/>
                <w:sz w:val="21"/>
                <w:szCs w:val="21"/>
              </w:rPr>
              <w:t>配送服务能力</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10分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投标人根据本项目特点和实际需求，提出相应的日常配送服务方案，包括但不限于：食材配送方案及计划、食材配送管理流程、食材质量管控方案、服务标准及质量、提供产权证明，租赁协议，照片等资料证明企业的实力，对经营场地、仓储设施、物流设备等方面。评委根据投标人提供的日常配送服务方案进行综合评审：</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1.方案全面性、合理性、可行性、可操作性强的，得7＜F≤10分；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2.方案全面性、合理性、可行性、可操作性较强的，得3＜F≤7分；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3.方案全面性、合理性、可行性、可操作性一般的，得0＜F≤3分；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应急处理</w:t>
            </w:r>
          </w:p>
          <w:p>
            <w:pPr>
              <w:snapToGrid w:val="0"/>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rPr>
              <w:t>10分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投标人为服务本项目制定的应急实施方案，包括：临时突发性特殊采购、急件采购、大宗采购、食品安全事故解决方案等，由评标委员会综合评分。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1.方案全面性、合理性、可行性、可操作性强的，得7＜F≤10分；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2.方案全面性、合理性、可行性、可操作性较强的，得3＜F≤7分；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3.方案全面性、合理性、可行性、可操作性一般的，得0＜F≤3分；</w:t>
            </w:r>
          </w:p>
          <w:p>
            <w:pPr>
              <w:snapToGrid w:val="0"/>
              <w:spacing w:line="360" w:lineRule="auto"/>
              <w:jc w:val="left"/>
              <w:rPr>
                <w:b/>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1"/>
                <w:szCs w:val="21"/>
              </w:rPr>
            </w:pPr>
            <w:r>
              <w:rPr>
                <w:rFonts w:hint="eastAsia" w:ascii="宋体" w:hAnsi="宋体" w:cs="宋体"/>
                <w:color w:val="auto"/>
                <w:sz w:val="21"/>
                <w:szCs w:val="21"/>
              </w:rPr>
              <w:t>食材管理</w:t>
            </w:r>
          </w:p>
          <w:p>
            <w:pPr>
              <w:widowControl/>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 w:val="21"/>
                <w:szCs w:val="21"/>
              </w:rPr>
            </w:pPr>
            <w:r>
              <w:rPr>
                <w:rFonts w:hint="eastAsia" w:ascii="宋体" w:hAnsi="宋体" w:cs="宋体"/>
                <w:bCs/>
                <w:color w:val="auto"/>
                <w:sz w:val="21"/>
                <w:szCs w:val="21"/>
                <w:lang w:val="en-US" w:eastAsia="zh-CN"/>
              </w:rPr>
              <w:t>10</w:t>
            </w:r>
            <w:r>
              <w:rPr>
                <w:rFonts w:hint="eastAsia" w:ascii="宋体" w:hAnsi="宋体" w:cs="宋体"/>
                <w:bCs/>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评审委员会根据投标人提供的食材管理方案进行综合评分</w:t>
            </w:r>
            <w:r>
              <w:rPr>
                <w:rFonts w:hint="eastAsia" w:ascii="宋体" w:hAnsi="宋体" w:cs="宋体"/>
                <w:color w:val="auto"/>
                <w:sz w:val="21"/>
                <w:szCs w:val="21"/>
              </w:rPr>
              <w:t>，包含不限于以下内容</w:t>
            </w:r>
            <w:r>
              <w:rPr>
                <w:rFonts w:hint="eastAsia" w:ascii="宋体" w:hAnsi="宋体" w:cs="宋体"/>
                <w:color w:val="auto"/>
                <w:kern w:val="0"/>
                <w:sz w:val="21"/>
                <w:szCs w:val="21"/>
              </w:rPr>
              <w:t>：</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1.具有合理、规范、可操作性等的原材料采购验收制度的；</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2.具有合理、规范、可操作性等食品、用品安全方面的保障措施和应急方案的。</w:t>
            </w:r>
          </w:p>
          <w:p>
            <w:pPr>
              <w:pStyle w:val="4"/>
              <w:spacing w:before="0" w:after="0"/>
              <w:rPr>
                <w:rFonts w:hint="eastAsia" w:ascii="宋体" w:hAnsi="宋体" w:eastAsia="宋体" w:cs="宋体"/>
                <w:color w:val="auto"/>
                <w:sz w:val="21"/>
                <w:szCs w:val="21"/>
              </w:rPr>
            </w:pPr>
            <w:r>
              <w:rPr>
                <w:rFonts w:hint="eastAsia" w:ascii="宋体" w:hAnsi="宋体" w:eastAsia="宋体" w:cs="宋体"/>
                <w:b/>
                <w:bCs w:val="0"/>
                <w:color w:val="auto"/>
                <w:kern w:val="0"/>
                <w:sz w:val="21"/>
                <w:szCs w:val="21"/>
              </w:rPr>
              <w:t>评审委员会评审情况如下：</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（1）优的，得</w:t>
            </w:r>
            <w:r>
              <w:rPr>
                <w:rFonts w:hint="eastAsia" w:ascii="宋体" w:hAnsi="宋体" w:cs="宋体"/>
                <w:color w:val="auto"/>
                <w:sz w:val="21"/>
                <w:szCs w:val="21"/>
                <w:lang w:val="en-US" w:eastAsia="zh-CN"/>
              </w:rPr>
              <w:t>7</w:t>
            </w:r>
            <w:r>
              <w:rPr>
                <w:rFonts w:hint="eastAsia" w:ascii="宋体" w:hAnsi="宋体" w:cs="宋体"/>
                <w:color w:val="auto"/>
                <w:sz w:val="21"/>
                <w:szCs w:val="21"/>
              </w:rPr>
              <w:t>＜F≤</w:t>
            </w:r>
            <w:r>
              <w:rPr>
                <w:rFonts w:hint="eastAsia" w:ascii="宋体" w:hAnsi="宋体" w:cs="宋体"/>
                <w:color w:val="auto"/>
                <w:sz w:val="21"/>
                <w:szCs w:val="21"/>
                <w:lang w:val="en-US" w:eastAsia="zh-CN"/>
              </w:rPr>
              <w:t>10</w:t>
            </w:r>
            <w:r>
              <w:rPr>
                <w:rFonts w:hint="eastAsia" w:ascii="宋体" w:hAnsi="宋体" w:cs="宋体"/>
                <w:color w:val="auto"/>
                <w:sz w:val="21"/>
                <w:szCs w:val="21"/>
              </w:rPr>
              <w:t>分；</w:t>
            </w:r>
          </w:p>
          <w:p>
            <w:pPr>
              <w:widowControl/>
              <w:spacing w:line="360" w:lineRule="auto"/>
              <w:jc w:val="left"/>
              <w:rPr>
                <w:rFonts w:ascii="宋体" w:hAnsi="宋体" w:cs="宋体"/>
                <w:color w:val="auto"/>
                <w:sz w:val="21"/>
                <w:szCs w:val="21"/>
              </w:rPr>
            </w:pPr>
            <w:r>
              <w:rPr>
                <w:rFonts w:hint="eastAsia" w:ascii="宋体" w:hAnsi="宋体" w:cs="宋体"/>
                <w:color w:val="auto"/>
                <w:sz w:val="21"/>
                <w:szCs w:val="21"/>
              </w:rPr>
              <w:t>（2）良的，得</w:t>
            </w:r>
            <w:r>
              <w:rPr>
                <w:rFonts w:hint="eastAsia" w:ascii="宋体" w:hAnsi="宋体" w:cs="宋体"/>
                <w:color w:val="auto"/>
                <w:sz w:val="21"/>
                <w:szCs w:val="21"/>
                <w:lang w:val="en-US" w:eastAsia="zh-CN"/>
              </w:rPr>
              <w:t>3</w:t>
            </w:r>
            <w:r>
              <w:rPr>
                <w:rFonts w:hint="eastAsia" w:ascii="宋体" w:hAnsi="宋体" w:cs="宋体"/>
                <w:color w:val="auto"/>
                <w:sz w:val="21"/>
                <w:szCs w:val="21"/>
              </w:rPr>
              <w:t>＜F≤</w:t>
            </w:r>
            <w:r>
              <w:rPr>
                <w:rFonts w:hint="eastAsia" w:ascii="宋体" w:hAnsi="宋体" w:cs="宋体"/>
                <w:color w:val="auto"/>
                <w:sz w:val="21"/>
                <w:szCs w:val="21"/>
                <w:lang w:val="en-US" w:eastAsia="zh-CN"/>
              </w:rPr>
              <w:t>7</w:t>
            </w:r>
            <w:r>
              <w:rPr>
                <w:rFonts w:hint="eastAsia" w:ascii="宋体" w:hAnsi="宋体" w:cs="宋体"/>
                <w:color w:val="auto"/>
                <w:sz w:val="21"/>
                <w:szCs w:val="21"/>
              </w:rPr>
              <w:t>分；</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（3）一般的，得</w:t>
            </w:r>
            <w:r>
              <w:rPr>
                <w:rFonts w:hint="eastAsia" w:ascii="宋体" w:hAnsi="宋体" w:cs="宋体"/>
                <w:color w:val="auto"/>
                <w:sz w:val="21"/>
                <w:szCs w:val="21"/>
                <w:lang w:val="en-US" w:eastAsia="zh-CN"/>
              </w:rPr>
              <w:t>0</w:t>
            </w:r>
            <w:r>
              <w:rPr>
                <w:rFonts w:hint="eastAsia" w:ascii="宋体" w:hAnsi="宋体" w:cs="宋体"/>
                <w:color w:val="auto"/>
                <w:sz w:val="21"/>
                <w:szCs w:val="21"/>
              </w:rPr>
              <w:t>＜F≤</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p>
            <w:pPr>
              <w:widowControl/>
              <w:spacing w:line="360" w:lineRule="auto"/>
              <w:jc w:val="left"/>
              <w:rPr>
                <w:color w:val="auto"/>
                <w:sz w:val="21"/>
                <w:szCs w:val="21"/>
              </w:rPr>
            </w:pPr>
            <w:r>
              <w:rPr>
                <w:rFonts w:hint="eastAsia" w:ascii="宋体" w:hAnsi="宋体" w:cs="宋体"/>
                <w:color w:val="auto"/>
                <w:sz w:val="21"/>
                <w:szCs w:val="21"/>
              </w:rPr>
              <w:t>（4）未提供相应方案或不合理的不得分。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color w:val="auto"/>
                <w:sz w:val="21"/>
                <w:szCs w:val="21"/>
              </w:rPr>
            </w:pPr>
            <w:r>
              <w:rPr>
                <w:rFonts w:hint="eastAsia" w:ascii="宋体" w:hAnsi="宋体" w:cs="宋体"/>
                <w:color w:val="auto"/>
                <w:sz w:val="21"/>
                <w:szCs w:val="21"/>
              </w:rPr>
              <w:t>售后服务</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lang w:val="en-US" w:eastAsia="zh-CN"/>
              </w:rPr>
              <w:t>8</w:t>
            </w:r>
            <w:r>
              <w:rPr>
                <w:rFonts w:hint="eastAsia" w:ascii="宋体" w:hAnsi="宋体" w:cs="宋体"/>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对服务项目售后承诺方案，包括：供货时间、供货保证承诺、优惠承诺、退货承诺、售后服务承诺、1小时补货承诺等，由评标委员会综合评分。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1.承诺方案全面周到，切实可行的，得</w:t>
            </w:r>
            <w:r>
              <w:rPr>
                <w:rFonts w:hint="eastAsia" w:ascii="宋体" w:hAnsi="宋体" w:cs="宋体"/>
                <w:color w:val="auto"/>
                <w:sz w:val="21"/>
                <w:szCs w:val="21"/>
                <w:lang w:val="en-US" w:eastAsia="zh-CN"/>
              </w:rPr>
              <w:t>5</w:t>
            </w:r>
            <w:r>
              <w:rPr>
                <w:rFonts w:hint="eastAsia" w:ascii="宋体" w:hAnsi="宋体" w:cs="宋体"/>
                <w:color w:val="auto"/>
                <w:sz w:val="21"/>
                <w:szCs w:val="21"/>
              </w:rPr>
              <w:t>＜F≤</w:t>
            </w:r>
            <w:r>
              <w:rPr>
                <w:rFonts w:hint="eastAsia" w:ascii="宋体" w:hAnsi="宋体" w:cs="宋体"/>
                <w:color w:val="auto"/>
                <w:sz w:val="21"/>
                <w:szCs w:val="21"/>
                <w:lang w:val="en-US" w:eastAsia="zh-CN"/>
              </w:rPr>
              <w:t>8</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2.承诺方案较全面周到，较切实可行的，得</w:t>
            </w:r>
            <w:r>
              <w:rPr>
                <w:rFonts w:hint="eastAsia" w:ascii="宋体" w:hAnsi="宋体" w:cs="宋体"/>
                <w:color w:val="auto"/>
                <w:sz w:val="21"/>
                <w:szCs w:val="21"/>
                <w:lang w:val="en-US" w:eastAsia="zh-CN"/>
              </w:rPr>
              <w:t>3</w:t>
            </w:r>
            <w:r>
              <w:rPr>
                <w:rFonts w:hint="eastAsia" w:ascii="宋体" w:hAnsi="宋体" w:cs="宋体"/>
                <w:color w:val="auto"/>
                <w:sz w:val="21"/>
                <w:szCs w:val="21"/>
              </w:rPr>
              <w:t>＜F≤</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3.承诺方案不够全面周到，不够切实可行的，得</w:t>
            </w:r>
            <w:r>
              <w:rPr>
                <w:rFonts w:hint="eastAsia" w:ascii="宋体" w:hAnsi="宋体" w:cs="宋体"/>
                <w:color w:val="auto"/>
                <w:sz w:val="21"/>
                <w:szCs w:val="21"/>
                <w:lang w:val="en-US" w:eastAsia="zh-CN"/>
              </w:rPr>
              <w:t>0</w:t>
            </w:r>
            <w:r>
              <w:rPr>
                <w:rFonts w:hint="eastAsia" w:ascii="宋体" w:hAnsi="宋体" w:cs="宋体"/>
                <w:color w:val="auto"/>
                <w:sz w:val="21"/>
                <w:szCs w:val="21"/>
              </w:rPr>
              <w:t>＜F≤3分；</w:t>
            </w:r>
          </w:p>
          <w:p>
            <w:pPr>
              <w:snapToGrid w:val="0"/>
              <w:spacing w:line="360" w:lineRule="auto"/>
              <w:jc w:val="left"/>
              <w:rPr>
                <w:b/>
                <w:color w:val="auto"/>
                <w:sz w:val="21"/>
                <w:szCs w:val="21"/>
              </w:rPr>
            </w:pPr>
            <w:r>
              <w:rPr>
                <w:rFonts w:hint="eastAsia" w:ascii="宋体" w:hAnsi="宋体" w:cs="宋体"/>
                <w:color w:val="auto"/>
                <w:sz w:val="21"/>
                <w:szCs w:val="21"/>
              </w:rPr>
              <w:t>4.没有或不合理的，不得分。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widowControl/>
              <w:snapToGrid w:val="0"/>
              <w:spacing w:line="360" w:lineRule="auto"/>
              <w:jc w:val="left"/>
              <w:rPr>
                <w:rFonts w:hint="eastAsia" w:ascii="宋体" w:hAnsi="宋体" w:cs="宋体"/>
                <w:b/>
                <w:color w:val="auto"/>
                <w:kern w:val="0"/>
                <w:sz w:val="21"/>
                <w:szCs w:val="21"/>
              </w:rPr>
            </w:pPr>
            <w:r>
              <w:rPr>
                <w:rFonts w:hint="eastAsia" w:ascii="宋体" w:hAnsi="宋体" w:cs="宋体"/>
                <w:b/>
                <w:color w:val="auto"/>
                <w:kern w:val="0"/>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adjustRightInd w:val="0"/>
              <w:snapToGrid w:val="0"/>
              <w:spacing w:line="360" w:lineRule="auto"/>
              <w:ind w:right="-38" w:rightChars="0"/>
              <w:rPr>
                <w:rFonts w:hint="eastAsia" w:ascii="宋体" w:hAnsi="宋体" w:cs="宋体"/>
                <w:color w:val="auto"/>
                <w:kern w:val="0"/>
                <w:sz w:val="21"/>
                <w:szCs w:val="21"/>
              </w:rPr>
            </w:pPr>
            <w:r>
              <w:rPr>
                <w:rFonts w:hint="eastAsia" w:ascii="宋体" w:hAnsi="宋体" w:cs="宋体"/>
                <w:color w:val="auto"/>
                <w:kern w:val="0"/>
                <w:sz w:val="21"/>
                <w:szCs w:val="21"/>
              </w:rPr>
              <w:t>上述所有商务及技术文件详细评审指标中涉及到的相关证明材料均须在商务及技术文件中提供，未在商务及技术文件中提供的，评标委员会可不予认可。</w:t>
            </w:r>
          </w:p>
        </w:tc>
      </w:tr>
    </w:tbl>
    <w:p>
      <w:pPr>
        <w:bidi w:val="0"/>
        <w:rPr>
          <w:rFonts w:hint="eastAsia"/>
          <w:color w:val="auto"/>
        </w:rPr>
      </w:pPr>
    </w:p>
    <w:p>
      <w:pPr>
        <w:bidi w:val="0"/>
        <w:rPr>
          <w:rFonts w:hint="eastAsia"/>
          <w:color w:val="auto"/>
        </w:rPr>
      </w:pPr>
    </w:p>
    <w:p>
      <w:pPr>
        <w:bidi w:val="0"/>
        <w:rPr>
          <w:rFonts w:hint="eastAsia"/>
          <w:color w:val="auto"/>
        </w:rPr>
      </w:pPr>
    </w:p>
    <w:p>
      <w:pPr>
        <w:pStyle w:val="2"/>
        <w:rPr>
          <w:rFonts w:hint="eastAsia"/>
          <w:color w:val="auto"/>
        </w:rPr>
      </w:pPr>
    </w:p>
    <w:p>
      <w:pPr>
        <w:bidi w:val="0"/>
        <w:rPr>
          <w:rFonts w:hint="eastAsia"/>
          <w:color w:val="auto"/>
        </w:rPr>
      </w:pPr>
    </w:p>
    <w:p>
      <w:pPr>
        <w:bidi w:val="0"/>
        <w:rPr>
          <w:rFonts w:hint="eastAsia"/>
          <w:color w:val="auto"/>
        </w:rPr>
      </w:pPr>
    </w:p>
    <w:p>
      <w:pPr>
        <w:keepNext/>
        <w:keepLines/>
        <w:spacing w:before="120" w:after="120" w:line="360" w:lineRule="auto"/>
        <w:jc w:val="center"/>
        <w:outlineLvl w:val="2"/>
        <w:rPr>
          <w:rFonts w:hint="eastAsia" w:eastAsia="黑体"/>
          <w:bCs/>
          <w:color w:val="auto"/>
          <w:sz w:val="24"/>
        </w:rPr>
      </w:pPr>
      <w:r>
        <w:rPr>
          <w:rFonts w:hint="eastAsia" w:eastAsia="黑体"/>
          <w:bCs/>
          <w:color w:val="auto"/>
          <w:sz w:val="24"/>
        </w:rPr>
        <w:t>报价文件详细评审标准</w:t>
      </w:r>
    </w:p>
    <w:tbl>
      <w:tblPr>
        <w:tblStyle w:val="54"/>
        <w:tblW w:w="9300"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915"/>
        <w:gridCol w:w="1594"/>
        <w:gridCol w:w="971"/>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980" w:type="dxa"/>
            <w:gridSpan w:val="2"/>
            <w:noWrap w:val="0"/>
            <w:vAlign w:val="center"/>
          </w:tcPr>
          <w:p>
            <w:pPr>
              <w:jc w:val="center"/>
              <w:rPr>
                <w:color w:val="auto"/>
              </w:rPr>
            </w:pPr>
            <w:r>
              <w:rPr>
                <w:b/>
                <w:bCs/>
                <w:color w:val="auto"/>
                <w:kern w:val="0"/>
                <w:szCs w:val="21"/>
              </w:rPr>
              <w:t>条款号</w:t>
            </w:r>
          </w:p>
        </w:tc>
        <w:tc>
          <w:tcPr>
            <w:tcW w:w="1594" w:type="dxa"/>
            <w:noWrap w:val="0"/>
            <w:tcMar>
              <w:left w:w="75" w:type="dxa"/>
            </w:tcMar>
            <w:vAlign w:val="center"/>
          </w:tcPr>
          <w:p>
            <w:pPr>
              <w:snapToGrid w:val="0"/>
              <w:jc w:val="center"/>
              <w:rPr>
                <w:rFonts w:hint="eastAsia"/>
                <w:color w:val="auto"/>
              </w:rPr>
            </w:pPr>
            <w:r>
              <w:rPr>
                <w:b/>
                <w:bCs/>
                <w:color w:val="auto"/>
                <w:kern w:val="0"/>
                <w:szCs w:val="21"/>
              </w:rPr>
              <w:t>评分因素</w:t>
            </w:r>
          </w:p>
        </w:tc>
        <w:tc>
          <w:tcPr>
            <w:tcW w:w="971" w:type="dxa"/>
            <w:noWrap w:val="0"/>
            <w:vAlign w:val="center"/>
          </w:tcPr>
          <w:p>
            <w:pPr>
              <w:autoSpaceDE w:val="0"/>
              <w:autoSpaceDN w:val="0"/>
              <w:adjustRightInd w:val="0"/>
              <w:snapToGrid w:val="0"/>
              <w:jc w:val="center"/>
              <w:rPr>
                <w:color w:val="auto"/>
                <w:spacing w:val="-2"/>
                <w:szCs w:val="21"/>
              </w:rPr>
            </w:pPr>
            <w:r>
              <w:rPr>
                <w:rFonts w:hint="eastAsia"/>
                <w:b/>
                <w:bCs/>
                <w:color w:val="auto"/>
                <w:kern w:val="0"/>
                <w:szCs w:val="21"/>
              </w:rPr>
              <w:t>分值</w:t>
            </w:r>
          </w:p>
        </w:tc>
        <w:tc>
          <w:tcPr>
            <w:tcW w:w="4755" w:type="dxa"/>
            <w:noWrap w:val="0"/>
            <w:vAlign w:val="center"/>
          </w:tcPr>
          <w:p>
            <w:pPr>
              <w:autoSpaceDE w:val="0"/>
              <w:autoSpaceDN w:val="0"/>
              <w:adjustRightInd w:val="0"/>
              <w:snapToGrid w:val="0"/>
              <w:jc w:val="center"/>
              <w:rPr>
                <w:color w:val="auto"/>
                <w:spacing w:val="-2"/>
                <w:szCs w:val="21"/>
              </w:rPr>
            </w:pPr>
            <w:r>
              <w:rPr>
                <w:b/>
                <w:bCs/>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1065" w:type="dxa"/>
            <w:noWrap w:val="0"/>
            <w:vAlign w:val="center"/>
          </w:tcPr>
          <w:p>
            <w:pPr>
              <w:jc w:val="center"/>
              <w:rPr>
                <w:color w:val="auto"/>
              </w:rPr>
            </w:pPr>
            <w:r>
              <w:rPr>
                <w:color w:val="auto"/>
              </w:rPr>
              <w:t>2.2.</w:t>
            </w:r>
            <w:r>
              <w:rPr>
                <w:rFonts w:hint="eastAsia"/>
                <w:color w:val="auto"/>
              </w:rPr>
              <w:t>3</w:t>
            </w:r>
            <w:r>
              <w:rPr>
                <w:color w:val="auto"/>
              </w:rPr>
              <w:t>（3）</w:t>
            </w:r>
          </w:p>
        </w:tc>
        <w:tc>
          <w:tcPr>
            <w:tcW w:w="915" w:type="dxa"/>
            <w:noWrap w:val="0"/>
            <w:vAlign w:val="center"/>
          </w:tcPr>
          <w:p>
            <w:pPr>
              <w:jc w:val="center"/>
              <w:rPr>
                <w:color w:val="auto"/>
              </w:rPr>
            </w:pPr>
            <w:r>
              <w:rPr>
                <w:color w:val="auto"/>
              </w:rPr>
              <w:t>投</w:t>
            </w:r>
            <w:r>
              <w:rPr>
                <w:rFonts w:hint="eastAsia" w:ascii="宋体" w:hAnsi="宋体" w:cs="宋体"/>
                <w:color w:val="auto"/>
                <w:sz w:val="21"/>
                <w:szCs w:val="21"/>
              </w:rPr>
              <w:t>标报价评分标</w:t>
            </w:r>
            <w:r>
              <w:rPr>
                <w:color w:val="auto"/>
              </w:rPr>
              <w:t>准</w:t>
            </w:r>
          </w:p>
        </w:tc>
        <w:tc>
          <w:tcPr>
            <w:tcW w:w="1594" w:type="dxa"/>
            <w:noWrap w:val="0"/>
            <w:tcMar>
              <w:left w:w="75" w:type="dxa"/>
            </w:tcMar>
            <w:vAlign w:val="center"/>
          </w:tcPr>
          <w:p>
            <w:pPr>
              <w:snapToGrid w:val="0"/>
              <w:jc w:val="center"/>
              <w:rPr>
                <w:rFonts w:hint="eastAsia"/>
                <w:color w:val="auto"/>
              </w:rPr>
            </w:pPr>
            <w:r>
              <w:rPr>
                <w:rFonts w:hint="eastAsia" w:ascii="宋体" w:hAnsi="宋体" w:cs="宋体"/>
                <w:color w:val="auto"/>
                <w:sz w:val="21"/>
                <w:szCs w:val="21"/>
              </w:rPr>
              <w:t>投标综合费率报价得分</w:t>
            </w:r>
          </w:p>
        </w:tc>
        <w:tc>
          <w:tcPr>
            <w:tcW w:w="971" w:type="dxa"/>
            <w:noWrap w:val="0"/>
            <w:vAlign w:val="center"/>
          </w:tcPr>
          <w:p>
            <w:pPr>
              <w:widowControl/>
              <w:snapToGrid w:val="0"/>
              <w:jc w:val="center"/>
              <w:rPr>
                <w:rFonts w:hint="eastAsia"/>
                <w:color w:val="auto"/>
                <w:kern w:val="0"/>
                <w:szCs w:val="21"/>
              </w:rPr>
            </w:pPr>
            <w:r>
              <w:rPr>
                <w:rFonts w:hint="eastAsia"/>
                <w:color w:val="auto"/>
                <w:kern w:val="0"/>
                <w:szCs w:val="21"/>
              </w:rPr>
              <w:t>30分</w:t>
            </w:r>
          </w:p>
        </w:tc>
        <w:tc>
          <w:tcPr>
            <w:tcW w:w="4755" w:type="dxa"/>
            <w:noWrap w:val="0"/>
            <w:vAlign w:val="center"/>
          </w:tcPr>
          <w:p>
            <w:pPr>
              <w:autoSpaceDE w:val="0"/>
              <w:autoSpaceDN w:val="0"/>
              <w:adjustRightInd w:val="0"/>
              <w:snapToGrid w:val="0"/>
              <w:ind w:firstLine="420" w:firstLineChars="200"/>
              <w:jc w:val="left"/>
              <w:rPr>
                <w:rFonts w:hint="eastAsia"/>
                <w:color w:val="auto"/>
                <w:spacing w:val="-2"/>
                <w:szCs w:val="21"/>
              </w:rPr>
            </w:pPr>
            <w:r>
              <w:rPr>
                <w:rFonts w:hint="eastAsia" w:ascii="宋体" w:hAnsi="宋体" w:cs="宋体"/>
                <w:color w:val="auto"/>
                <w:sz w:val="21"/>
                <w:szCs w:val="21"/>
              </w:rPr>
              <w:t>投标综合费率报价等于投标综合费率报价评标基准价的，其投标综合费率报价得分为满分。其他投标人的投标综合费率报价得分统一按照下列公式计算：投标综合费率报价得分＝（投标综合费率报价得分评标基准价/投标综合费率报价）×30％×100。</w:t>
            </w:r>
          </w:p>
        </w:tc>
      </w:tr>
    </w:tbl>
    <w:p>
      <w:pPr>
        <w:bidi w:val="0"/>
        <w:rPr>
          <w:color w:val="auto"/>
        </w:rPr>
      </w:pPr>
    </w:p>
    <w:p>
      <w:pPr>
        <w:pStyle w:val="2"/>
        <w:spacing w:before="0" w:after="0" w:line="500" w:lineRule="exact"/>
        <w:rPr>
          <w:rFonts w:ascii="Times New Roman" w:hAnsi="Times New Roman" w:eastAsia="黑体"/>
          <w:b w:val="0"/>
          <w:bCs w:val="0"/>
          <w:color w:val="auto"/>
          <w:sz w:val="28"/>
          <w:szCs w:val="28"/>
        </w:rPr>
      </w:pPr>
      <w:bookmarkStart w:id="298" w:name="_Toc28203"/>
      <w:r>
        <w:rPr>
          <w:rFonts w:ascii="Times New Roman" w:hAnsi="Times New Roman" w:eastAsia="黑体"/>
          <w:b w:val="0"/>
          <w:bCs w:val="0"/>
          <w:color w:val="auto"/>
          <w:sz w:val="28"/>
          <w:szCs w:val="28"/>
        </w:rPr>
        <w:t>1. 评标方法</w:t>
      </w:r>
      <w:bookmarkEnd w:id="294"/>
      <w:bookmarkEnd w:id="295"/>
      <w:bookmarkEnd w:id="296"/>
      <w:bookmarkEnd w:id="297"/>
      <w:bookmarkEnd w:id="298"/>
    </w:p>
    <w:p>
      <w:pPr>
        <w:snapToGrid w:val="0"/>
        <w:spacing w:line="500" w:lineRule="exact"/>
        <w:ind w:firstLine="420" w:firstLineChars="200"/>
        <w:rPr>
          <w:rFonts w:eastAsia="黑体"/>
          <w:color w:val="auto"/>
          <w:sz w:val="24"/>
        </w:rPr>
      </w:pPr>
      <w:r>
        <w:rPr>
          <w:color w:val="auto"/>
        </w:rPr>
        <w:t>本次评标采用综合评估法（有效价格）。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w:t>
      </w:r>
      <w:r>
        <w:rPr>
          <w:color w:val="auto"/>
          <w:szCs w:val="21"/>
        </w:rPr>
        <w:t>按照评标办法前附表中的规定确定中标候选人顺序。</w:t>
      </w:r>
    </w:p>
    <w:p>
      <w:pPr>
        <w:snapToGrid w:val="0"/>
        <w:spacing w:line="500" w:lineRule="exact"/>
        <w:ind w:firstLine="420" w:firstLineChars="200"/>
        <w:rPr>
          <w:color w:val="auto"/>
          <w:szCs w:val="21"/>
        </w:rPr>
      </w:pPr>
      <w:r>
        <w:rPr>
          <w:color w:val="auto"/>
          <w:szCs w:val="21"/>
        </w:rPr>
        <w:t>本次评标的先后顺序及最多可中标段数量详见评标办法前附表</w:t>
      </w:r>
      <w:r>
        <w:rPr>
          <w:rStyle w:val="63"/>
          <w:color w:val="auto"/>
          <w:szCs w:val="21"/>
        </w:rPr>
        <w:footnoteReference w:id="0"/>
      </w:r>
      <w:r>
        <w:rPr>
          <w:color w:val="auto"/>
          <w:szCs w:val="21"/>
        </w:rPr>
        <w:t>。被推荐为第一中标候选人的标段个数已达到最多允许中标的标段个数的投标人，在后续标段不再被推荐为中标候选人，但仍参与评审。</w:t>
      </w:r>
    </w:p>
    <w:p>
      <w:pPr>
        <w:snapToGrid w:val="0"/>
        <w:spacing w:line="500" w:lineRule="exact"/>
        <w:ind w:firstLine="420" w:firstLineChars="200"/>
        <w:rPr>
          <w:color w:val="auto"/>
          <w:szCs w:val="21"/>
        </w:rPr>
      </w:pPr>
      <w:r>
        <w:rPr>
          <w:color w:val="auto"/>
          <w:szCs w:val="21"/>
        </w:rPr>
        <w:t>评标结束后如有某标段的第一中标候选人发生变化的情况，不影响其他标段排序。</w:t>
      </w:r>
    </w:p>
    <w:p>
      <w:pPr>
        <w:pStyle w:val="2"/>
        <w:spacing w:before="0" w:after="0" w:line="500" w:lineRule="exact"/>
        <w:rPr>
          <w:rFonts w:ascii="Times New Roman" w:hAnsi="Times New Roman" w:eastAsia="黑体"/>
          <w:b w:val="0"/>
          <w:bCs w:val="0"/>
          <w:color w:val="auto"/>
          <w:sz w:val="28"/>
          <w:szCs w:val="28"/>
        </w:rPr>
      </w:pPr>
      <w:bookmarkStart w:id="299" w:name="_Toc25200"/>
      <w:bookmarkStart w:id="300" w:name="_Toc13983"/>
      <w:bookmarkStart w:id="301" w:name="_Toc18706"/>
      <w:bookmarkStart w:id="302" w:name="_Toc737"/>
      <w:bookmarkStart w:id="303" w:name="_Toc30403"/>
      <w:bookmarkStart w:id="304" w:name="_Toc19378"/>
      <w:r>
        <w:rPr>
          <w:rFonts w:ascii="Times New Roman" w:hAnsi="Times New Roman" w:eastAsia="黑体"/>
          <w:b w:val="0"/>
          <w:bCs w:val="0"/>
          <w:color w:val="auto"/>
          <w:sz w:val="28"/>
          <w:szCs w:val="28"/>
        </w:rPr>
        <w:t>2. 评审标准</w:t>
      </w:r>
      <w:bookmarkEnd w:id="299"/>
      <w:bookmarkEnd w:id="300"/>
      <w:bookmarkEnd w:id="301"/>
      <w:bookmarkEnd w:id="302"/>
      <w:bookmarkEnd w:id="303"/>
      <w:bookmarkEnd w:id="304"/>
    </w:p>
    <w:p>
      <w:pPr>
        <w:pStyle w:val="4"/>
        <w:spacing w:before="0" w:after="0" w:line="500" w:lineRule="exact"/>
        <w:ind w:firstLine="137"/>
        <w:rPr>
          <w:rFonts w:ascii="Times New Roman" w:hAnsi="Times New Roman"/>
          <w:color w:val="auto"/>
        </w:rPr>
      </w:pPr>
      <w:bookmarkStart w:id="305" w:name="_Toc1255"/>
      <w:bookmarkStart w:id="306" w:name="_Toc26440"/>
      <w:bookmarkStart w:id="307" w:name="_Toc18093"/>
      <w:r>
        <w:rPr>
          <w:rFonts w:ascii="Times New Roman" w:hAnsi="Times New Roman"/>
          <w:color w:val="auto"/>
        </w:rPr>
        <w:t>2.1 初步评审标准</w:t>
      </w:r>
      <w:bookmarkEnd w:id="305"/>
      <w:bookmarkEnd w:id="306"/>
      <w:bookmarkEnd w:id="307"/>
    </w:p>
    <w:p>
      <w:pPr>
        <w:spacing w:line="500" w:lineRule="exact"/>
        <w:ind w:firstLine="420" w:firstLineChars="200"/>
        <w:rPr>
          <w:color w:val="auto"/>
        </w:rPr>
      </w:pPr>
      <w:r>
        <w:rPr>
          <w:color w:val="auto"/>
        </w:rPr>
        <w:t>2.1.1 形式评审标准：见评标办法前附表。</w:t>
      </w:r>
    </w:p>
    <w:p>
      <w:pPr>
        <w:spacing w:line="500" w:lineRule="exact"/>
        <w:ind w:firstLine="420" w:firstLineChars="200"/>
        <w:rPr>
          <w:color w:val="auto"/>
        </w:rPr>
      </w:pPr>
      <w:r>
        <w:rPr>
          <w:color w:val="auto"/>
        </w:rPr>
        <w:t>2.1.2 资格评审标准：见评标办法前附表。</w:t>
      </w:r>
    </w:p>
    <w:p>
      <w:pPr>
        <w:spacing w:line="500" w:lineRule="exact"/>
        <w:ind w:firstLine="420" w:firstLineChars="200"/>
        <w:rPr>
          <w:color w:val="auto"/>
        </w:rPr>
      </w:pPr>
      <w:r>
        <w:rPr>
          <w:color w:val="auto"/>
        </w:rPr>
        <w:t>2.1.3 响应性评审标准：见评标办法前附表。</w:t>
      </w:r>
    </w:p>
    <w:p>
      <w:pPr>
        <w:pStyle w:val="4"/>
        <w:spacing w:before="0" w:after="0" w:line="500" w:lineRule="exact"/>
        <w:ind w:firstLine="137"/>
        <w:rPr>
          <w:rFonts w:ascii="Times New Roman" w:hAnsi="Times New Roman"/>
          <w:color w:val="auto"/>
        </w:rPr>
      </w:pPr>
      <w:bookmarkStart w:id="308" w:name="_Toc16485"/>
      <w:bookmarkStart w:id="309" w:name="_Toc11465"/>
      <w:bookmarkStart w:id="310" w:name="_Toc16643"/>
      <w:r>
        <w:rPr>
          <w:rFonts w:ascii="Times New Roman" w:hAnsi="Times New Roman"/>
          <w:color w:val="auto"/>
        </w:rPr>
        <w:t>2.2 分值构成与评分标准</w:t>
      </w:r>
      <w:bookmarkEnd w:id="308"/>
      <w:bookmarkEnd w:id="309"/>
      <w:bookmarkEnd w:id="310"/>
    </w:p>
    <w:p>
      <w:pPr>
        <w:spacing w:line="500" w:lineRule="exact"/>
        <w:ind w:firstLine="420" w:firstLineChars="200"/>
        <w:outlineLvl w:val="2"/>
        <w:rPr>
          <w:color w:val="auto"/>
        </w:rPr>
      </w:pPr>
      <w:r>
        <w:rPr>
          <w:color w:val="auto"/>
        </w:rPr>
        <w:t>2.2.1 分值构成</w:t>
      </w:r>
    </w:p>
    <w:p>
      <w:pPr>
        <w:spacing w:line="500" w:lineRule="exact"/>
        <w:ind w:firstLine="420" w:firstLineChars="200"/>
        <w:rPr>
          <w:color w:val="auto"/>
        </w:rPr>
      </w:pPr>
      <w:r>
        <w:rPr>
          <w:color w:val="auto"/>
        </w:rPr>
        <w:t>（1）商务部分：见评标办法前附表；</w:t>
      </w:r>
    </w:p>
    <w:p>
      <w:pPr>
        <w:spacing w:line="500" w:lineRule="exact"/>
        <w:ind w:firstLine="420" w:firstLineChars="200"/>
        <w:rPr>
          <w:color w:val="auto"/>
        </w:rPr>
      </w:pPr>
      <w:r>
        <w:rPr>
          <w:color w:val="auto"/>
        </w:rPr>
        <w:t>（2）技术部分：见评标办法前附表；</w:t>
      </w:r>
    </w:p>
    <w:p>
      <w:pPr>
        <w:spacing w:line="500" w:lineRule="exact"/>
        <w:ind w:firstLine="420" w:firstLineChars="200"/>
        <w:rPr>
          <w:color w:val="auto"/>
        </w:rPr>
      </w:pPr>
      <w:r>
        <w:rPr>
          <w:color w:val="auto"/>
        </w:rPr>
        <w:t>（3）投标报价：见评标办法前附表。</w:t>
      </w:r>
    </w:p>
    <w:p>
      <w:pPr>
        <w:spacing w:line="500" w:lineRule="exact"/>
        <w:ind w:firstLine="420" w:firstLineChars="200"/>
        <w:outlineLvl w:val="2"/>
        <w:rPr>
          <w:color w:val="auto"/>
        </w:rPr>
      </w:pPr>
      <w:r>
        <w:rPr>
          <w:color w:val="auto"/>
        </w:rPr>
        <w:t>2.2.2 评标基准价计算</w:t>
      </w:r>
    </w:p>
    <w:p>
      <w:pPr>
        <w:spacing w:line="500" w:lineRule="exact"/>
        <w:ind w:firstLine="420" w:firstLineChars="200"/>
        <w:rPr>
          <w:color w:val="auto"/>
        </w:rPr>
      </w:pPr>
      <w:r>
        <w:rPr>
          <w:color w:val="auto"/>
        </w:rPr>
        <w:t>评标基准价计算方法：见评标办法前附表。</w:t>
      </w:r>
    </w:p>
    <w:p>
      <w:pPr>
        <w:spacing w:line="500" w:lineRule="exact"/>
        <w:ind w:firstLine="420" w:firstLineChars="200"/>
        <w:outlineLvl w:val="2"/>
        <w:rPr>
          <w:color w:val="auto"/>
        </w:rPr>
      </w:pPr>
      <w:r>
        <w:rPr>
          <w:color w:val="auto"/>
        </w:rPr>
        <w:t>2.2.3 评分标准</w:t>
      </w:r>
    </w:p>
    <w:p>
      <w:pPr>
        <w:spacing w:line="500" w:lineRule="exact"/>
        <w:ind w:firstLine="420" w:firstLineChars="200"/>
        <w:rPr>
          <w:color w:val="auto"/>
        </w:rPr>
      </w:pPr>
      <w:r>
        <w:rPr>
          <w:color w:val="auto"/>
        </w:rPr>
        <w:t>（1）商务评分标准：见评标办法前附表；</w:t>
      </w:r>
    </w:p>
    <w:p>
      <w:pPr>
        <w:spacing w:line="500" w:lineRule="exact"/>
        <w:ind w:firstLine="420" w:firstLineChars="200"/>
        <w:rPr>
          <w:color w:val="auto"/>
        </w:rPr>
      </w:pPr>
      <w:r>
        <w:rPr>
          <w:color w:val="auto"/>
        </w:rPr>
        <w:t xml:space="preserve">（2）技术评分标准：见评标办法前附表； </w:t>
      </w:r>
    </w:p>
    <w:p>
      <w:pPr>
        <w:spacing w:line="500" w:lineRule="exact"/>
        <w:ind w:firstLine="420" w:firstLineChars="200"/>
        <w:rPr>
          <w:color w:val="auto"/>
        </w:rPr>
      </w:pPr>
      <w:r>
        <w:rPr>
          <w:color w:val="auto"/>
        </w:rPr>
        <w:t>（3）投标报价评分标准：见评标办法前附表。</w:t>
      </w:r>
    </w:p>
    <w:p>
      <w:pPr>
        <w:pStyle w:val="2"/>
        <w:spacing w:before="0" w:after="0" w:line="500" w:lineRule="exact"/>
        <w:rPr>
          <w:rFonts w:ascii="Times New Roman" w:hAnsi="Times New Roman" w:eastAsia="黑体"/>
          <w:b w:val="0"/>
          <w:bCs w:val="0"/>
          <w:color w:val="auto"/>
          <w:sz w:val="28"/>
          <w:szCs w:val="28"/>
        </w:rPr>
      </w:pPr>
      <w:bookmarkStart w:id="311" w:name="_Toc2840"/>
      <w:bookmarkStart w:id="312" w:name="_Toc607"/>
      <w:bookmarkStart w:id="313" w:name="_Toc32039"/>
      <w:bookmarkStart w:id="314" w:name="_Toc10586"/>
      <w:bookmarkStart w:id="315" w:name="_Toc30472"/>
      <w:bookmarkStart w:id="316" w:name="_Toc2340"/>
      <w:r>
        <w:rPr>
          <w:rFonts w:ascii="Times New Roman" w:hAnsi="Times New Roman" w:eastAsia="黑体"/>
          <w:b w:val="0"/>
          <w:bCs w:val="0"/>
          <w:color w:val="auto"/>
          <w:sz w:val="28"/>
          <w:szCs w:val="28"/>
        </w:rPr>
        <w:t>3. 评标程序</w:t>
      </w:r>
      <w:bookmarkEnd w:id="311"/>
      <w:bookmarkEnd w:id="312"/>
      <w:bookmarkEnd w:id="313"/>
      <w:bookmarkEnd w:id="314"/>
      <w:bookmarkEnd w:id="315"/>
      <w:bookmarkEnd w:id="316"/>
    </w:p>
    <w:p>
      <w:pPr>
        <w:pStyle w:val="4"/>
        <w:spacing w:before="0" w:after="0" w:line="500" w:lineRule="exact"/>
        <w:ind w:firstLine="137"/>
        <w:rPr>
          <w:rFonts w:ascii="Times New Roman" w:hAnsi="Times New Roman"/>
          <w:color w:val="auto"/>
        </w:rPr>
      </w:pPr>
      <w:bookmarkStart w:id="317" w:name="_Toc8906"/>
      <w:bookmarkStart w:id="318" w:name="_Toc4716"/>
      <w:bookmarkStart w:id="319" w:name="_Toc8621"/>
      <w:r>
        <w:rPr>
          <w:rFonts w:ascii="Times New Roman" w:hAnsi="Times New Roman"/>
          <w:color w:val="auto"/>
        </w:rPr>
        <w:t>3.1 商务及技术文件初步评审</w:t>
      </w:r>
      <w:bookmarkEnd w:id="317"/>
      <w:bookmarkEnd w:id="318"/>
      <w:bookmarkEnd w:id="319"/>
    </w:p>
    <w:p>
      <w:pPr>
        <w:snapToGrid w:val="0"/>
        <w:spacing w:line="500" w:lineRule="exact"/>
        <w:ind w:firstLine="420" w:firstLineChars="200"/>
        <w:rPr>
          <w:color w:val="auto"/>
          <w:szCs w:val="21"/>
        </w:rPr>
      </w:pPr>
      <w:r>
        <w:rPr>
          <w:color w:val="auto"/>
          <w:szCs w:val="21"/>
        </w:rPr>
        <w:t>评标委员会依据本章第2.1.1项、第2.1.2项、第2.1.3项规定的评审标准对商务及技术文件进行初步评审。有一项不符合评审标准的，评标委员会应否决其投标。</w:t>
      </w:r>
    </w:p>
    <w:p>
      <w:pPr>
        <w:keepNext/>
        <w:keepLines/>
        <w:spacing w:line="500" w:lineRule="exact"/>
        <w:jc w:val="left"/>
        <w:outlineLvl w:val="2"/>
        <w:rPr>
          <w:rFonts w:eastAsia="黑体"/>
          <w:bCs/>
          <w:color w:val="auto"/>
          <w:sz w:val="24"/>
        </w:rPr>
      </w:pPr>
      <w:r>
        <w:rPr>
          <w:rFonts w:eastAsia="黑体"/>
          <w:bCs/>
          <w:color w:val="auto"/>
          <w:sz w:val="24"/>
        </w:rPr>
        <w:t>3.2 商务及技术文件详细评审</w:t>
      </w:r>
    </w:p>
    <w:p>
      <w:pPr>
        <w:spacing w:line="500" w:lineRule="exact"/>
        <w:ind w:firstLine="420" w:firstLineChars="200"/>
        <w:rPr>
          <w:color w:val="auto"/>
        </w:rPr>
      </w:pPr>
      <w:r>
        <w:rPr>
          <w:color w:val="auto"/>
        </w:rPr>
        <w:t>3.2.1评标委员会按本章第2.2款规定的量化因素和分值进行打分，并计算出商务及技术文件综合评估得分。评标委员会成员总数为5人时，投标人本章第2.2.3项第（1）目~第（2）目的得分以评标委员会各成员的打分平均值确定。评标委员会成员总数为 7 人及以上时，投标人本章第2.2.3项第（1）目~第（2）目规定的得分以去掉一个最高分和一个最低分后的打分平均值确定。</w:t>
      </w:r>
    </w:p>
    <w:p>
      <w:pPr>
        <w:spacing w:line="500" w:lineRule="exact"/>
        <w:ind w:firstLine="420" w:firstLineChars="200"/>
        <w:rPr>
          <w:color w:val="auto"/>
        </w:rPr>
      </w:pPr>
      <w:r>
        <w:rPr>
          <w:color w:val="auto"/>
        </w:rPr>
        <w:t>（1）按本章第2.2.3（1）目规定的评审因素和分值对商务部分计算出得分A；</w:t>
      </w:r>
    </w:p>
    <w:p>
      <w:pPr>
        <w:spacing w:line="500" w:lineRule="exact"/>
        <w:ind w:firstLine="420" w:firstLineChars="200"/>
        <w:rPr>
          <w:color w:val="auto"/>
        </w:rPr>
      </w:pPr>
      <w:r>
        <w:rPr>
          <w:color w:val="auto"/>
        </w:rPr>
        <w:t>（2）按本章第2.2.3（2）目规定的评审因素和分值对技术部分计算出得分B。</w:t>
      </w:r>
    </w:p>
    <w:p>
      <w:pPr>
        <w:spacing w:line="500" w:lineRule="exact"/>
        <w:ind w:firstLine="420" w:firstLineChars="200"/>
        <w:rPr>
          <w:color w:val="auto"/>
        </w:rPr>
      </w:pPr>
      <w:r>
        <w:rPr>
          <w:color w:val="auto"/>
        </w:rPr>
        <w:t>3.2.2评分分值计算保留小数点后两位，小数点后第三位“四舍五入”。</w:t>
      </w:r>
    </w:p>
    <w:p>
      <w:pPr>
        <w:spacing w:line="500" w:lineRule="exact"/>
        <w:ind w:firstLine="420" w:firstLineChars="200"/>
        <w:rPr>
          <w:color w:val="auto"/>
        </w:rPr>
      </w:pPr>
      <w:r>
        <w:rPr>
          <w:color w:val="auto"/>
        </w:rPr>
        <w:t>3.2.3投标人商务及技术文件得分=A+B。</w:t>
      </w:r>
    </w:p>
    <w:p>
      <w:pPr>
        <w:pStyle w:val="4"/>
        <w:spacing w:before="0" w:after="0" w:line="500" w:lineRule="exact"/>
        <w:ind w:firstLine="137"/>
        <w:rPr>
          <w:rFonts w:ascii="Times New Roman" w:hAnsi="Times New Roman"/>
          <w:color w:val="auto"/>
        </w:rPr>
      </w:pPr>
      <w:r>
        <w:rPr>
          <w:rFonts w:ascii="Times New Roman" w:hAnsi="Times New Roman"/>
          <w:color w:val="auto"/>
        </w:rPr>
        <w:t>3.3 报价文件公布</w:t>
      </w:r>
    </w:p>
    <w:p>
      <w:pPr>
        <w:spacing w:line="500" w:lineRule="exact"/>
        <w:ind w:firstLine="420" w:firstLineChars="200"/>
        <w:rPr>
          <w:color w:val="auto"/>
        </w:rPr>
      </w:pPr>
      <w:r>
        <w:rPr>
          <w:color w:val="auto"/>
        </w:rPr>
        <w:t>公布投标人名称、标段名称、投标报价及其他内容。</w:t>
      </w:r>
    </w:p>
    <w:p>
      <w:pPr>
        <w:pStyle w:val="4"/>
        <w:spacing w:before="0" w:after="0" w:line="500" w:lineRule="exact"/>
        <w:ind w:firstLine="137"/>
        <w:rPr>
          <w:rFonts w:ascii="Times New Roman" w:hAnsi="Times New Roman"/>
          <w:color w:val="auto"/>
        </w:rPr>
      </w:pPr>
      <w:r>
        <w:rPr>
          <w:rFonts w:ascii="Times New Roman" w:hAnsi="Times New Roman"/>
          <w:color w:val="auto"/>
        </w:rPr>
        <w:t>3.4 报价文件初步评审</w:t>
      </w:r>
    </w:p>
    <w:p>
      <w:pPr>
        <w:snapToGrid w:val="0"/>
        <w:spacing w:line="500" w:lineRule="exact"/>
        <w:ind w:firstLine="420" w:firstLineChars="200"/>
        <w:rPr>
          <w:color w:val="auto"/>
        </w:rPr>
      </w:pPr>
      <w:r>
        <w:rPr>
          <w:color w:val="auto"/>
        </w:rPr>
        <w:t xml:space="preserve">3.4.1 </w:t>
      </w:r>
      <w:r>
        <w:rPr>
          <w:color w:val="auto"/>
          <w:szCs w:val="21"/>
        </w:rPr>
        <w:t>评标委员会依据本章第2.1.1款、第2.1.3款规定的评审标准对报价文件进行评审。有一项不符合评审标准的，评标委员会应否决其投标。</w:t>
      </w:r>
    </w:p>
    <w:p>
      <w:pPr>
        <w:snapToGrid w:val="0"/>
        <w:spacing w:line="500" w:lineRule="exact"/>
        <w:ind w:firstLine="420" w:firstLineChars="200"/>
        <w:rPr>
          <w:color w:val="auto"/>
        </w:rPr>
      </w:pPr>
      <w:r>
        <w:rPr>
          <w:color w:val="auto"/>
        </w:rPr>
        <w:t xml:space="preserve">3.4.2 投标报价有算术错误及其他错误的，评标委员会按以下原则对投标报价进行修正，并要求投标人书面澄清确认。投标人拒不澄清确认的，评标委员会应当否决其投标： </w:t>
      </w:r>
    </w:p>
    <w:p>
      <w:pPr>
        <w:snapToGrid w:val="0"/>
        <w:spacing w:line="500" w:lineRule="exact"/>
        <w:ind w:firstLine="420" w:firstLineChars="200"/>
        <w:rPr>
          <w:color w:val="auto"/>
        </w:rPr>
      </w:pPr>
      <w:r>
        <w:rPr>
          <w:color w:val="auto"/>
        </w:rPr>
        <w:t>（1）投标文件中的大写金额与小写金额不一致的，以大写金额为准；</w:t>
      </w:r>
    </w:p>
    <w:p>
      <w:pPr>
        <w:snapToGrid w:val="0"/>
        <w:spacing w:line="500" w:lineRule="exact"/>
        <w:ind w:firstLine="420" w:firstLineChars="200"/>
        <w:rPr>
          <w:color w:val="auto"/>
        </w:rPr>
      </w:pPr>
      <w:r>
        <w:rPr>
          <w:color w:val="auto"/>
        </w:rPr>
        <w:t>（2）总价金额与单价金额不一致的，以单价金额为准，但单价金额小数点有明显错误的除外；</w:t>
      </w:r>
    </w:p>
    <w:p>
      <w:pPr>
        <w:snapToGrid w:val="0"/>
        <w:spacing w:line="500" w:lineRule="exact"/>
        <w:ind w:firstLine="420" w:firstLineChars="200"/>
        <w:rPr>
          <w:color w:val="auto"/>
        </w:rPr>
      </w:pPr>
      <w:r>
        <w:rPr>
          <w:color w:val="auto"/>
        </w:rPr>
        <w:t>（3）投标报价为各分项报价金额之和，投标报价与分项报价的合价不一致的，应以各分项合价累计数为准，修正投标报价；</w:t>
      </w:r>
    </w:p>
    <w:p>
      <w:pPr>
        <w:snapToGrid w:val="0"/>
        <w:spacing w:line="500" w:lineRule="exact"/>
        <w:ind w:firstLine="420" w:firstLineChars="200"/>
        <w:rPr>
          <w:color w:val="auto"/>
        </w:rPr>
      </w:pPr>
      <w:r>
        <w:rPr>
          <w:color w:val="auto"/>
        </w:rPr>
        <w:t>（4）如果分项报价中存在缺漏项，则视为缺漏项价格已包含在其他分项报价之中。</w:t>
      </w:r>
    </w:p>
    <w:p>
      <w:pPr>
        <w:snapToGrid w:val="0"/>
        <w:spacing w:line="500" w:lineRule="exact"/>
        <w:ind w:firstLine="420" w:firstLineChars="200"/>
        <w:rPr>
          <w:color w:val="auto"/>
        </w:rPr>
      </w:pPr>
      <w:r>
        <w:rPr>
          <w:color w:val="auto"/>
        </w:rPr>
        <w:t>3.4.3投标人投标报价明显缺乏竞争性的，评标委员会可以否决所有投标。</w:t>
      </w:r>
    </w:p>
    <w:p>
      <w:pPr>
        <w:pStyle w:val="4"/>
        <w:spacing w:before="0" w:after="0" w:line="500" w:lineRule="exact"/>
        <w:ind w:firstLine="137"/>
        <w:rPr>
          <w:rFonts w:ascii="Times New Roman" w:hAnsi="Times New Roman"/>
          <w:color w:val="auto"/>
        </w:rPr>
      </w:pPr>
      <w:r>
        <w:rPr>
          <w:rFonts w:ascii="Times New Roman" w:hAnsi="Times New Roman"/>
          <w:color w:val="auto"/>
        </w:rPr>
        <w:t>3.5 报价文件详细评审</w:t>
      </w:r>
    </w:p>
    <w:p>
      <w:pPr>
        <w:spacing w:line="500" w:lineRule="exact"/>
        <w:ind w:firstLine="420" w:firstLineChars="200"/>
        <w:rPr>
          <w:color w:val="auto"/>
        </w:rPr>
      </w:pPr>
      <w:r>
        <w:rPr>
          <w:color w:val="auto"/>
        </w:rPr>
        <w:t>3.5.1评标委员会按本章第2.2款规定的量化因素和分值进行打分，并计算出报价文件综合评估得分。按本章第2.2.3（3）目规定的评审因素和分值对投标报价计算出得分C。</w:t>
      </w:r>
    </w:p>
    <w:p>
      <w:pPr>
        <w:spacing w:line="500" w:lineRule="exact"/>
        <w:ind w:firstLine="420" w:firstLineChars="200"/>
        <w:rPr>
          <w:color w:val="auto"/>
        </w:rPr>
      </w:pPr>
      <w:r>
        <w:rPr>
          <w:color w:val="auto"/>
        </w:rPr>
        <w:t>3.5.2评分分值计算保留小数点后两位，小数点后第三位“四舍五入”。</w:t>
      </w:r>
    </w:p>
    <w:p>
      <w:pPr>
        <w:spacing w:line="500" w:lineRule="exact"/>
        <w:ind w:firstLine="420" w:firstLineChars="200"/>
        <w:rPr>
          <w:color w:val="auto"/>
        </w:rPr>
      </w:pPr>
      <w:r>
        <w:rPr>
          <w:color w:val="auto"/>
        </w:rPr>
        <w:t>3.5.3投标人得分=A+B+C。</w:t>
      </w:r>
    </w:p>
    <w:p>
      <w:pPr>
        <w:spacing w:line="500" w:lineRule="exact"/>
        <w:ind w:firstLine="420" w:firstLineChars="200"/>
        <w:rPr>
          <w:color w:val="auto"/>
        </w:rPr>
      </w:pPr>
      <w:r>
        <w:rPr>
          <w:color w:val="auto"/>
        </w:rP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line="500" w:lineRule="exact"/>
        <w:jc w:val="left"/>
        <w:outlineLvl w:val="2"/>
        <w:rPr>
          <w:rFonts w:eastAsia="黑体"/>
          <w:bCs/>
          <w:color w:val="auto"/>
          <w:sz w:val="24"/>
        </w:rPr>
      </w:pPr>
      <w:r>
        <w:rPr>
          <w:rFonts w:eastAsia="黑体"/>
          <w:bCs/>
          <w:color w:val="auto"/>
          <w:sz w:val="24"/>
        </w:rPr>
        <w:t>3.6 否决投标的其他情形</w:t>
      </w:r>
    </w:p>
    <w:p>
      <w:pPr>
        <w:spacing w:line="500" w:lineRule="exact"/>
        <w:ind w:firstLine="352" w:firstLineChars="168"/>
        <w:rPr>
          <w:color w:val="auto"/>
        </w:rPr>
      </w:pPr>
      <w:r>
        <w:rPr>
          <w:color w:val="auto"/>
        </w:rPr>
        <w:t>3.6.1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500" w:lineRule="exact"/>
        <w:ind w:firstLine="352" w:firstLineChars="168"/>
        <w:rPr>
          <w:color w:val="auto"/>
        </w:rPr>
      </w:pPr>
      <w:r>
        <w:rPr>
          <w:color w:val="auto"/>
        </w:rPr>
        <w:t>（1）有下列情形之一的，属于投标人相互串通投标：</w:t>
      </w:r>
    </w:p>
    <w:p>
      <w:pPr>
        <w:spacing w:line="500" w:lineRule="exact"/>
        <w:ind w:firstLine="352" w:firstLineChars="168"/>
        <w:rPr>
          <w:color w:val="auto"/>
        </w:rPr>
      </w:pPr>
      <w:r>
        <w:rPr>
          <w:color w:val="auto"/>
        </w:rPr>
        <w:t>a.投标人之间协商投标报价等投标文件的实质性内容；</w:t>
      </w:r>
    </w:p>
    <w:p>
      <w:pPr>
        <w:spacing w:line="500" w:lineRule="exact"/>
        <w:ind w:firstLine="352" w:firstLineChars="168"/>
        <w:rPr>
          <w:color w:val="auto"/>
        </w:rPr>
      </w:pPr>
      <w:r>
        <w:rPr>
          <w:color w:val="auto"/>
        </w:rPr>
        <w:t>b.投标人之间约定中标人；</w:t>
      </w:r>
    </w:p>
    <w:p>
      <w:pPr>
        <w:spacing w:line="500" w:lineRule="exact"/>
        <w:ind w:firstLine="352" w:firstLineChars="168"/>
        <w:rPr>
          <w:color w:val="auto"/>
        </w:rPr>
      </w:pPr>
      <w:r>
        <w:rPr>
          <w:color w:val="auto"/>
        </w:rPr>
        <w:t>c.投标人之间约定部分投标人放弃投标或中标；</w:t>
      </w:r>
    </w:p>
    <w:p>
      <w:pPr>
        <w:spacing w:line="500" w:lineRule="exact"/>
        <w:ind w:firstLine="352" w:firstLineChars="168"/>
        <w:rPr>
          <w:color w:val="auto"/>
        </w:rPr>
      </w:pPr>
      <w:r>
        <w:rPr>
          <w:color w:val="auto"/>
        </w:rPr>
        <w:t>d.属于同一集团、协会、商会等组织成员的投标人按照该组织要求协同投标；</w:t>
      </w:r>
    </w:p>
    <w:p>
      <w:pPr>
        <w:spacing w:line="500" w:lineRule="exact"/>
        <w:ind w:firstLine="352" w:firstLineChars="168"/>
        <w:rPr>
          <w:color w:val="auto"/>
        </w:rPr>
      </w:pPr>
      <w:r>
        <w:rPr>
          <w:color w:val="auto"/>
        </w:rPr>
        <w:t>e.投标人之间为谋取中标或排斥特定投标人而采取的其他联合行动。</w:t>
      </w:r>
    </w:p>
    <w:p>
      <w:pPr>
        <w:spacing w:line="500" w:lineRule="exact"/>
        <w:ind w:firstLine="352" w:firstLineChars="168"/>
        <w:rPr>
          <w:color w:val="auto"/>
        </w:rPr>
      </w:pPr>
      <w:r>
        <w:rPr>
          <w:color w:val="auto"/>
        </w:rPr>
        <w:t>（2）有下列情形之一的，视为投标人相互串通投标：</w:t>
      </w:r>
    </w:p>
    <w:p>
      <w:pPr>
        <w:spacing w:line="500" w:lineRule="exact"/>
        <w:ind w:firstLine="352" w:firstLineChars="168"/>
        <w:rPr>
          <w:color w:val="auto"/>
        </w:rPr>
      </w:pPr>
      <w:r>
        <w:rPr>
          <w:color w:val="auto"/>
        </w:rPr>
        <w:t>a.不同投标人的投标文件由同一单位或个人编制；</w:t>
      </w:r>
    </w:p>
    <w:p>
      <w:pPr>
        <w:spacing w:line="500" w:lineRule="exact"/>
        <w:ind w:firstLine="352" w:firstLineChars="168"/>
        <w:rPr>
          <w:color w:val="auto"/>
        </w:rPr>
      </w:pPr>
      <w:r>
        <w:rPr>
          <w:color w:val="auto"/>
        </w:rPr>
        <w:t>b.不同投标人委托同一单位或个人办理投标事宜；</w:t>
      </w:r>
    </w:p>
    <w:p>
      <w:pPr>
        <w:spacing w:line="500" w:lineRule="exact"/>
        <w:ind w:firstLine="352" w:firstLineChars="168"/>
        <w:rPr>
          <w:color w:val="auto"/>
        </w:rPr>
      </w:pPr>
      <w:r>
        <w:rPr>
          <w:color w:val="auto"/>
        </w:rPr>
        <w:t>c.不同投标人的投标文件载明的项目管理成员为同一人；</w:t>
      </w:r>
    </w:p>
    <w:p>
      <w:pPr>
        <w:spacing w:line="500" w:lineRule="exact"/>
        <w:ind w:firstLine="352" w:firstLineChars="168"/>
        <w:rPr>
          <w:color w:val="auto"/>
        </w:rPr>
      </w:pPr>
      <w:r>
        <w:rPr>
          <w:color w:val="auto"/>
        </w:rPr>
        <w:t>d.不同投标人的投标文件异常一致或投标报价呈规律性差异；</w:t>
      </w:r>
    </w:p>
    <w:p>
      <w:pPr>
        <w:spacing w:line="500" w:lineRule="exact"/>
        <w:ind w:firstLine="352" w:firstLineChars="168"/>
        <w:rPr>
          <w:color w:val="auto"/>
        </w:rPr>
      </w:pPr>
      <w:r>
        <w:rPr>
          <w:color w:val="auto"/>
        </w:rPr>
        <w:t>e.不同投标人的投标文件相互混装；</w:t>
      </w:r>
    </w:p>
    <w:p>
      <w:pPr>
        <w:spacing w:line="500" w:lineRule="exact"/>
        <w:ind w:firstLine="352" w:firstLineChars="168"/>
        <w:rPr>
          <w:color w:val="auto"/>
        </w:rPr>
      </w:pPr>
      <w:r>
        <w:rPr>
          <w:color w:val="auto"/>
        </w:rPr>
        <w:t>f.不同投标人的投标保证金从同一单位或个人的账户转出。</w:t>
      </w:r>
    </w:p>
    <w:p>
      <w:pPr>
        <w:spacing w:line="500" w:lineRule="exact"/>
        <w:ind w:firstLine="352" w:firstLineChars="168"/>
        <w:rPr>
          <w:color w:val="auto"/>
        </w:rPr>
      </w:pPr>
      <w:r>
        <w:rPr>
          <w:color w:val="auto"/>
        </w:rPr>
        <w:t>（3）有下列情形之一的，属于招标人与投标人串通投标：</w:t>
      </w:r>
    </w:p>
    <w:p>
      <w:pPr>
        <w:spacing w:line="500" w:lineRule="exact"/>
        <w:ind w:firstLine="352" w:firstLineChars="168"/>
        <w:rPr>
          <w:color w:val="auto"/>
        </w:rPr>
      </w:pPr>
      <w:r>
        <w:rPr>
          <w:color w:val="auto"/>
        </w:rPr>
        <w:t>a.招标人在开标前开启投标文件并将有关信息泄露给其他投标人；</w:t>
      </w:r>
    </w:p>
    <w:p>
      <w:pPr>
        <w:spacing w:line="500" w:lineRule="exact"/>
        <w:ind w:firstLine="352" w:firstLineChars="168"/>
        <w:rPr>
          <w:color w:val="auto"/>
        </w:rPr>
      </w:pPr>
      <w:r>
        <w:rPr>
          <w:color w:val="auto"/>
        </w:rPr>
        <w:t>b.招标人直接或间接向投标人泄露标底、评标委员会成员等信息；</w:t>
      </w:r>
    </w:p>
    <w:p>
      <w:pPr>
        <w:spacing w:line="500" w:lineRule="exact"/>
        <w:ind w:firstLine="352" w:firstLineChars="168"/>
        <w:rPr>
          <w:color w:val="auto"/>
        </w:rPr>
      </w:pPr>
      <w:r>
        <w:rPr>
          <w:color w:val="auto"/>
        </w:rPr>
        <w:t>c.招标人明示或暗示投标人压低或抬高投标报价；</w:t>
      </w:r>
    </w:p>
    <w:p>
      <w:pPr>
        <w:spacing w:line="500" w:lineRule="exact"/>
        <w:ind w:firstLine="352" w:firstLineChars="168"/>
        <w:rPr>
          <w:color w:val="auto"/>
        </w:rPr>
      </w:pPr>
      <w:r>
        <w:rPr>
          <w:color w:val="auto"/>
        </w:rPr>
        <w:t>d.招标人授意投标人撤换、修改投标文件；</w:t>
      </w:r>
    </w:p>
    <w:p>
      <w:pPr>
        <w:spacing w:line="500" w:lineRule="exact"/>
        <w:ind w:firstLine="352" w:firstLineChars="168"/>
        <w:rPr>
          <w:color w:val="auto"/>
        </w:rPr>
      </w:pPr>
      <w:r>
        <w:rPr>
          <w:color w:val="auto"/>
        </w:rPr>
        <w:t>e.招标人明示或暗示投标人为特定投标人中标提供方便；</w:t>
      </w:r>
    </w:p>
    <w:p>
      <w:pPr>
        <w:spacing w:line="500" w:lineRule="exact"/>
        <w:ind w:firstLine="352" w:firstLineChars="168"/>
        <w:rPr>
          <w:color w:val="auto"/>
        </w:rPr>
      </w:pPr>
      <w:r>
        <w:rPr>
          <w:color w:val="auto"/>
        </w:rPr>
        <w:t>f.招标人与投标人为谋求特定投标人中标而采取的其他串通行为。</w:t>
      </w:r>
    </w:p>
    <w:p>
      <w:pPr>
        <w:spacing w:line="500" w:lineRule="exact"/>
        <w:ind w:firstLine="352" w:firstLineChars="168"/>
        <w:rPr>
          <w:color w:val="auto"/>
        </w:rPr>
      </w:pPr>
      <w:r>
        <w:rPr>
          <w:color w:val="auto"/>
        </w:rPr>
        <w:t>（4）投标人有下列情形之一的，属于弄虚作假的行为：</w:t>
      </w:r>
    </w:p>
    <w:p>
      <w:pPr>
        <w:spacing w:line="500" w:lineRule="exact"/>
        <w:ind w:firstLine="352" w:firstLineChars="168"/>
        <w:rPr>
          <w:color w:val="auto"/>
        </w:rPr>
      </w:pPr>
      <w:r>
        <w:rPr>
          <w:color w:val="auto"/>
        </w:rPr>
        <w:t>a.使用通过受让或租借等方式获取的资格、资质证书投标；</w:t>
      </w:r>
    </w:p>
    <w:p>
      <w:pPr>
        <w:spacing w:line="500" w:lineRule="exact"/>
        <w:ind w:firstLine="352" w:firstLineChars="168"/>
        <w:rPr>
          <w:color w:val="auto"/>
        </w:rPr>
      </w:pPr>
      <w:r>
        <w:rPr>
          <w:color w:val="auto"/>
        </w:rPr>
        <w:t>b.使用伪造、变造的许可证件；</w:t>
      </w:r>
    </w:p>
    <w:p>
      <w:pPr>
        <w:spacing w:line="500" w:lineRule="exact"/>
        <w:ind w:firstLine="352" w:firstLineChars="168"/>
        <w:rPr>
          <w:color w:val="auto"/>
        </w:rPr>
      </w:pPr>
      <w:r>
        <w:rPr>
          <w:color w:val="auto"/>
        </w:rPr>
        <w:t>c.提供虚假的财务状况或业绩；</w:t>
      </w:r>
    </w:p>
    <w:p>
      <w:pPr>
        <w:spacing w:line="500" w:lineRule="exact"/>
        <w:ind w:firstLine="352" w:firstLineChars="168"/>
        <w:rPr>
          <w:color w:val="auto"/>
        </w:rPr>
      </w:pPr>
      <w:r>
        <w:rPr>
          <w:color w:val="auto"/>
        </w:rPr>
        <w:t>d.提供虚假的项目经理或主要技术人员简历、劳动关系证明；</w:t>
      </w:r>
    </w:p>
    <w:p>
      <w:pPr>
        <w:spacing w:line="500" w:lineRule="exact"/>
        <w:ind w:firstLine="352" w:firstLineChars="168"/>
        <w:rPr>
          <w:color w:val="auto"/>
        </w:rPr>
      </w:pPr>
      <w:r>
        <w:rPr>
          <w:color w:val="auto"/>
        </w:rPr>
        <w:t>e.提供虚假的信用状况；</w:t>
      </w:r>
    </w:p>
    <w:p>
      <w:pPr>
        <w:spacing w:line="500" w:lineRule="exact"/>
        <w:ind w:firstLine="352" w:firstLineChars="168"/>
        <w:rPr>
          <w:color w:val="auto"/>
        </w:rPr>
      </w:pPr>
      <w:r>
        <w:rPr>
          <w:color w:val="auto"/>
        </w:rPr>
        <w:t>f.其他弄虚作假的行为。</w:t>
      </w:r>
    </w:p>
    <w:p>
      <w:pPr>
        <w:keepNext/>
        <w:keepLines/>
        <w:spacing w:line="500" w:lineRule="exact"/>
        <w:jc w:val="left"/>
        <w:outlineLvl w:val="2"/>
        <w:rPr>
          <w:rFonts w:eastAsia="黑体"/>
          <w:bCs/>
          <w:color w:val="auto"/>
          <w:sz w:val="24"/>
        </w:rPr>
      </w:pPr>
      <w:r>
        <w:rPr>
          <w:rFonts w:eastAsia="黑体"/>
          <w:bCs/>
          <w:color w:val="auto"/>
          <w:sz w:val="24"/>
        </w:rPr>
        <w:t>3.7 投标文件的澄清、说明或补正</w:t>
      </w:r>
    </w:p>
    <w:p>
      <w:pPr>
        <w:adjustRightInd w:val="0"/>
        <w:snapToGrid w:val="0"/>
        <w:spacing w:line="500" w:lineRule="exact"/>
        <w:ind w:firstLine="420" w:firstLineChars="200"/>
        <w:rPr>
          <w:color w:val="auto"/>
        </w:rPr>
      </w:pPr>
      <w:r>
        <w:rPr>
          <w:color w:val="auto"/>
        </w:rPr>
        <w:t>3.7.1 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pPr>
        <w:spacing w:line="500" w:lineRule="exact"/>
        <w:ind w:firstLine="420" w:firstLineChars="200"/>
        <w:rPr>
          <w:color w:val="auto"/>
        </w:rPr>
      </w:pPr>
      <w:r>
        <w:rPr>
          <w:color w:val="auto"/>
        </w:rPr>
        <w:t>3.7.2 投标人须在规定的时间内作出澄清、说明或补正且不得超出投标文件的范围且不得改变投标文件的实质性内容，并构成投标文件的组成部分。</w:t>
      </w:r>
    </w:p>
    <w:p>
      <w:pPr>
        <w:spacing w:line="500" w:lineRule="exact"/>
        <w:ind w:firstLine="420" w:firstLineChars="200"/>
        <w:rPr>
          <w:color w:val="auto"/>
        </w:rPr>
      </w:pPr>
      <w:r>
        <w:rPr>
          <w:color w:val="auto"/>
        </w:rPr>
        <w:t>3.7.3 评标委员会对投标人提交的澄清、说明或补正有疑问的，可以要求投标人在规定的时间内进一步澄清、说明或补正，直至满足评标委员会的要求。</w:t>
      </w:r>
    </w:p>
    <w:p>
      <w:pPr>
        <w:keepNext/>
        <w:keepLines/>
        <w:spacing w:line="500" w:lineRule="exact"/>
        <w:jc w:val="left"/>
        <w:outlineLvl w:val="2"/>
        <w:rPr>
          <w:rFonts w:eastAsia="黑体"/>
          <w:bCs/>
          <w:color w:val="auto"/>
          <w:sz w:val="24"/>
        </w:rPr>
      </w:pPr>
      <w:r>
        <w:rPr>
          <w:rFonts w:eastAsia="黑体"/>
          <w:bCs/>
          <w:color w:val="auto"/>
          <w:sz w:val="24"/>
        </w:rPr>
        <w:t>3.8 评标结果</w:t>
      </w:r>
    </w:p>
    <w:p>
      <w:pPr>
        <w:spacing w:line="500" w:lineRule="exact"/>
        <w:ind w:firstLine="352" w:firstLineChars="168"/>
        <w:rPr>
          <w:color w:val="auto"/>
          <w:szCs w:val="21"/>
        </w:rPr>
      </w:pPr>
      <w:r>
        <w:rPr>
          <w:color w:val="auto"/>
          <w:szCs w:val="22"/>
        </w:rPr>
        <w:t xml:space="preserve">3.8.1 </w:t>
      </w:r>
      <w:r>
        <w:rPr>
          <w:color w:val="auto"/>
        </w:rPr>
        <w:t>除第二章投标人须知前附表授权直接确定中标人外，评标委员会按照得分由高到低的顺序推荐中标候选人，并标明排列顺序。</w:t>
      </w:r>
    </w:p>
    <w:p>
      <w:pPr>
        <w:spacing w:line="500" w:lineRule="exact"/>
        <w:ind w:firstLine="352" w:firstLineChars="168"/>
        <w:rPr>
          <w:color w:val="auto"/>
          <w:szCs w:val="21"/>
        </w:rPr>
      </w:pPr>
      <w:r>
        <w:rPr>
          <w:color w:val="auto"/>
          <w:szCs w:val="21"/>
        </w:rPr>
        <w:t>3.8.2 评标委员会完成评标后，应当向招标人提交评标报告。</w:t>
      </w:r>
      <w:r>
        <w:rPr>
          <w:color w:val="auto"/>
          <w:szCs w:val="22"/>
        </w:rPr>
        <w:t>评标报告应当如实记载以下内容：</w:t>
      </w:r>
    </w:p>
    <w:p>
      <w:pPr>
        <w:adjustRightInd w:val="0"/>
        <w:snapToGrid w:val="0"/>
        <w:spacing w:line="500" w:lineRule="exact"/>
        <w:ind w:firstLine="420" w:firstLineChars="200"/>
        <w:textAlignment w:val="baseline"/>
        <w:rPr>
          <w:color w:val="auto"/>
          <w:szCs w:val="22"/>
        </w:rPr>
      </w:pPr>
      <w:r>
        <w:rPr>
          <w:color w:val="auto"/>
          <w:szCs w:val="22"/>
        </w:rPr>
        <w:t>（1）基本情况和数据表；</w:t>
      </w:r>
    </w:p>
    <w:p>
      <w:pPr>
        <w:adjustRightInd w:val="0"/>
        <w:snapToGrid w:val="0"/>
        <w:spacing w:line="500" w:lineRule="exact"/>
        <w:ind w:firstLine="420" w:firstLineChars="200"/>
        <w:textAlignment w:val="baseline"/>
        <w:rPr>
          <w:color w:val="auto"/>
          <w:szCs w:val="22"/>
        </w:rPr>
      </w:pPr>
      <w:r>
        <w:rPr>
          <w:color w:val="auto"/>
          <w:szCs w:val="22"/>
        </w:rPr>
        <w:t>（2）评标委员会成员名单；</w:t>
      </w:r>
    </w:p>
    <w:p>
      <w:pPr>
        <w:adjustRightInd w:val="0"/>
        <w:snapToGrid w:val="0"/>
        <w:spacing w:line="500" w:lineRule="exact"/>
        <w:ind w:firstLine="420" w:firstLineChars="200"/>
        <w:textAlignment w:val="baseline"/>
        <w:rPr>
          <w:color w:val="auto"/>
          <w:szCs w:val="22"/>
        </w:rPr>
      </w:pPr>
      <w:r>
        <w:rPr>
          <w:color w:val="auto"/>
          <w:szCs w:val="22"/>
        </w:rPr>
        <w:t>（3）开标记录；</w:t>
      </w:r>
    </w:p>
    <w:p>
      <w:pPr>
        <w:adjustRightInd w:val="0"/>
        <w:snapToGrid w:val="0"/>
        <w:spacing w:line="500" w:lineRule="exact"/>
        <w:ind w:firstLine="420" w:firstLineChars="200"/>
        <w:textAlignment w:val="baseline"/>
        <w:rPr>
          <w:color w:val="auto"/>
          <w:szCs w:val="22"/>
        </w:rPr>
      </w:pPr>
      <w:r>
        <w:rPr>
          <w:color w:val="auto"/>
          <w:szCs w:val="22"/>
        </w:rPr>
        <w:t>（4）符合要求的投标人一览表；</w:t>
      </w:r>
    </w:p>
    <w:p>
      <w:pPr>
        <w:adjustRightInd w:val="0"/>
        <w:snapToGrid w:val="0"/>
        <w:spacing w:line="500" w:lineRule="exact"/>
        <w:ind w:firstLine="420" w:firstLineChars="200"/>
        <w:textAlignment w:val="baseline"/>
        <w:rPr>
          <w:color w:val="auto"/>
          <w:szCs w:val="22"/>
        </w:rPr>
      </w:pPr>
      <w:r>
        <w:rPr>
          <w:color w:val="auto"/>
          <w:szCs w:val="22"/>
        </w:rPr>
        <w:t>（5）否决投标情况说明；</w:t>
      </w:r>
    </w:p>
    <w:p>
      <w:pPr>
        <w:adjustRightInd w:val="0"/>
        <w:snapToGrid w:val="0"/>
        <w:spacing w:line="500" w:lineRule="exact"/>
        <w:ind w:firstLine="420" w:firstLineChars="200"/>
        <w:textAlignment w:val="baseline"/>
        <w:rPr>
          <w:color w:val="auto"/>
          <w:szCs w:val="22"/>
        </w:rPr>
      </w:pPr>
      <w:r>
        <w:rPr>
          <w:color w:val="auto"/>
          <w:szCs w:val="22"/>
        </w:rPr>
        <w:t>（6）评标标准、评标方法或者评标因素一览表；</w:t>
      </w:r>
    </w:p>
    <w:p>
      <w:pPr>
        <w:adjustRightInd w:val="0"/>
        <w:snapToGrid w:val="0"/>
        <w:spacing w:line="500" w:lineRule="exact"/>
        <w:ind w:firstLine="420" w:firstLineChars="200"/>
        <w:textAlignment w:val="baseline"/>
        <w:rPr>
          <w:color w:val="auto"/>
          <w:szCs w:val="22"/>
        </w:rPr>
      </w:pPr>
      <w:r>
        <w:rPr>
          <w:color w:val="auto"/>
          <w:szCs w:val="22"/>
        </w:rPr>
        <w:t>（7）评分比较一览表；</w:t>
      </w:r>
    </w:p>
    <w:p>
      <w:pPr>
        <w:adjustRightInd w:val="0"/>
        <w:snapToGrid w:val="0"/>
        <w:spacing w:line="500" w:lineRule="exact"/>
        <w:ind w:firstLine="420" w:firstLineChars="200"/>
        <w:textAlignment w:val="baseline"/>
        <w:rPr>
          <w:color w:val="auto"/>
          <w:szCs w:val="22"/>
        </w:rPr>
      </w:pPr>
      <w:r>
        <w:rPr>
          <w:color w:val="auto"/>
          <w:szCs w:val="22"/>
        </w:rPr>
        <w:t>（8）经评审的投标人排序；</w:t>
      </w:r>
    </w:p>
    <w:p>
      <w:pPr>
        <w:adjustRightInd w:val="0"/>
        <w:snapToGrid w:val="0"/>
        <w:spacing w:line="500" w:lineRule="exact"/>
        <w:ind w:firstLine="420" w:firstLineChars="200"/>
        <w:textAlignment w:val="baseline"/>
        <w:rPr>
          <w:color w:val="auto"/>
          <w:szCs w:val="22"/>
        </w:rPr>
      </w:pPr>
      <w:r>
        <w:rPr>
          <w:color w:val="auto"/>
          <w:szCs w:val="22"/>
        </w:rPr>
        <w:t>（9）推荐的中标候选人名单与签订合同前要处理的事宜；</w:t>
      </w:r>
    </w:p>
    <w:p>
      <w:pPr>
        <w:snapToGrid w:val="0"/>
        <w:spacing w:line="500" w:lineRule="exact"/>
        <w:ind w:firstLine="420" w:firstLineChars="200"/>
        <w:rPr>
          <w:color w:val="auto"/>
          <w:szCs w:val="21"/>
        </w:rPr>
      </w:pPr>
      <w:r>
        <w:rPr>
          <w:color w:val="auto"/>
          <w:szCs w:val="22"/>
        </w:rPr>
        <w:t>（10）澄清、说明事项纪要</w:t>
      </w:r>
      <w:r>
        <w:rPr>
          <w:color w:val="auto"/>
          <w:szCs w:val="21"/>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rPr>
      </w:pPr>
    </w:p>
    <w:p>
      <w:pPr>
        <w:pageBreakBefore/>
        <w:spacing w:before="240" w:beforeLines="100" w:after="240" w:afterLines="100" w:line="500" w:lineRule="exact"/>
        <w:jc w:val="center"/>
        <w:outlineLvl w:val="0"/>
        <w:rPr>
          <w:rFonts w:hint="eastAsia" w:ascii="宋体" w:hAnsi="宋体" w:cs="宋体"/>
          <w:b/>
          <w:color w:val="auto"/>
          <w:sz w:val="44"/>
          <w:szCs w:val="44"/>
        </w:rPr>
      </w:pPr>
      <w:bookmarkStart w:id="320" w:name="_Toc18292"/>
      <w:bookmarkStart w:id="321" w:name="_Toc4376"/>
      <w:bookmarkStart w:id="322" w:name="_Toc152042546"/>
      <w:bookmarkStart w:id="323" w:name="_Toc179632785"/>
      <w:bookmarkStart w:id="324" w:name="_Toc144974826"/>
      <w:bookmarkStart w:id="325" w:name="_Toc152045767"/>
      <w:r>
        <w:rPr>
          <w:rFonts w:hint="eastAsia" w:ascii="宋体" w:hAnsi="宋体" w:cs="宋体"/>
          <w:b/>
          <w:color w:val="auto"/>
          <w:sz w:val="44"/>
          <w:szCs w:val="44"/>
        </w:rPr>
        <w:t xml:space="preserve">第四章  </w:t>
      </w:r>
      <w:bookmarkEnd w:id="320"/>
      <w:r>
        <w:rPr>
          <w:rFonts w:hint="eastAsia" w:ascii="宋体" w:hAnsi="宋体" w:cs="宋体"/>
          <w:b/>
          <w:color w:val="auto"/>
          <w:sz w:val="44"/>
          <w:szCs w:val="44"/>
        </w:rPr>
        <w:t>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黑体"/>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甲方：庐江县文旅投资有限公司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乙方：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甲乙双方经平等协商，共同制定本合同。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一、甲乙双方的交易程序：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1、本合同生效后，乙方即为甲方选定合格供应商。甲乙双方的其他各项交易条件均按本合同规定的内容执行。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在合同有效期内，甲乙双方根据每期市场调价及乙方报价议定的价格执行（合同附件报价单不作为价格最终依据，最终价格以双方确认的议定价为准），乙方如需调整商品价格，应至少提前两天书面通知甲方，经甲方书面同意后方可执行。新价格执行之前，甲方仍按原商定价格向乙方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甲方根据当天经营需求向乙方发出订单，采购订单注明商品的名称、品牌、规格、计量单位、数量、质量、送货时间和交货地点。乙方按甲方要求的时间和地点为甲方配送货物，以满足甲方的经营需要。甲方指定人员对商品的数量进行验收。乙方供货完全符合甲方要求并验收合格的，双方联系人在订单上签字确认，部分不符合约定的，在订单上注明。对甲方提出的质量问题，乙方承诺按照甲方要求给予调换或退货，甲方要求调换的，乙方应当在24小时之内完成调换，需要调换以及退货的货物视为乙方未按时送达。甲方可以根据实际情况对订单进行修改或取消。最终确认的订单为每月供货清单的有效组成部分。但甲方的初验并不免除乙方因提供产品的内在质量问题或有其它质量瑕疵而应承担的责任，乙方必须对提供产品的质量负责，凡因存在质量问题而使甲方或任何第三人受到损失的，均由乙方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为了交易的便捷性，甲、乙双方一致确认，甲方在本合同项下的联系人通过电子或者纸制形式向乙方在本合同项下的联系人发送的包含本条约定要素的订单视为甲方向乙方发送的订单。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乙方应当每次在收到甲方订单后的   日内按照订单要求将货物送达至甲方指定地点。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二、商品相关约定条款：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1、商品的数量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购销商品的数量、规格及计量单位以甲方向乙方发出的订单为准，乙方非经甲方同意不得多交货或少交货，也不能分批交货；对于不符合订单数量的商品，甲方有权拒收。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2、商品的价格：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向甲方提供商品报价单，商品的价格以甲乙方双方共同确定的价格为准。商品的价格应包括一切税金及费用在内的到货价。甲方至少一个月一次进行市场零售价格调查，经甲方核定后，乙方供应的商品的价格不高于同等商品的市场零售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（2）甲乙双方的每一笔买卖交易价格均包含该笔商品的运输费和装卸费。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3、乙方应承担的商品质量瑕疵担保责任：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应保证其供应的商品符合中华人民共和国法律、法规、部门规章、地方法规、行政命令、各行业规范的规定及甲方要求，以上标准不一致的，以较高者为准。乙方按甲方备货单要求交货前，应提供能确认该批次商品质量合格的检验报告，并将下列证件及其他一切必要的文件随之一并交付甲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□营业执照             □质量检测报告(检验检疫证明) □食品经营许可证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□关税证明</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□进口检验检疫证书       □商标使用许可证明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□专利证</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□报关单</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□中国企业代理证书（副本）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（2）如甲方发现交付的商品缺乏上述证明文件或证明文件与商品不符或商品质量不合格的，甲方有权拒收货物或退货，由此产生的退货费用由乙方承担。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乙方不得提供假冒伪劣商品或已临近失效期（或保鲜期）及超过保质期、保鲜期或者变质、腐败、注水、以及不符合食品安全标准的商品给甲方。否则，甲方有权按本条第7款第（2）项执行。如以假充真，以次充好，甲方有权拒收。因上述问题导致甲方被消费者投诉、索赔或涉诉的，每发生一次上述违约行为，乙方应当向甲方支付10000元违约金，违约金不足以弥补甲方损失的，乙方应当继续赔偿给甲方造成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（4）乙方不得因市场调价或自身经营原因，以断货理由调换或拒绝送交甲方要求的产品，一经甲方在市场购买到该产品，乙方须双倍承担由此带来的差价费用及运输费用。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（5）乙方必须对甲方承担商品售后服务责任。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4、商品的包装：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（1）商品的包装应符合国家的规定或双方的约定，并确保商品安全、卫生后，才交甲方使用。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商品的包装之标识应符合中华人民共和国法律、法规等对有关标的说明、产地、原材料、用途、警语、保质期及保质条件等之规定，否则甲方有权拒收。甲方因乙方产品被消费者投诉、索赔或涉诉的，乙方应承担甲方的经济损失、商誉损失及其它任何损失。甲方向消费者承担责任或被政府部门行政处罚的，有权要求乙方赔偿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（3）商品的包装费用由乙方负担。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5、商品的卫生标准及送货要求必须符合甲方相关规定。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6、商品的发票：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（1）乙方应依据中华人民共和国有关税法的规定，在甲方要求的时间内，开具</w:t>
      </w:r>
      <w:r>
        <w:rPr>
          <w:rFonts w:hint="eastAsia" w:asciiTheme="minorEastAsia" w:hAnsiTheme="minorEastAsia" w:eastAsiaTheme="minorEastAsia" w:cstheme="minorEastAsia"/>
          <w:color w:val="auto"/>
          <w:kern w:val="2"/>
          <w:szCs w:val="32"/>
          <w:u w:val="single"/>
          <w:lang w:val="en-US" w:eastAsia="zh-CN"/>
        </w:rPr>
        <w:t xml:space="preserve">  </w:t>
      </w:r>
      <w:r>
        <w:rPr>
          <w:rFonts w:hint="eastAsia" w:asciiTheme="minorEastAsia" w:hAnsiTheme="minorEastAsia" w:eastAsiaTheme="minorEastAsia" w:cstheme="minorEastAsia"/>
          <w:color w:val="auto"/>
          <w:kern w:val="2"/>
          <w:szCs w:val="32"/>
        </w:rPr>
        <w:t>%的增值税发票，如因乙方提供假发票或虚开发票及与交易事实不符的发票导致甲方蒙受的一切损失均由乙方承担。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（2）乙方开具的发票应直接交到甲方财务部，不得将发票随货交给甲方其他人员。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7、商品的交付：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不能按订单要求向甲方供货，如交货延迟或货物数量短少的，应按照乙方迟延交付或短少部分货物货值20％的标准支付违约金，并须在甲方规定时间补足未交付的货物，如乙方未按甲方要求补足货物的，每逾一日，还应承担延交付货物货值1%的违约金。逾期超过5日的，甲方有权拒收全部逾期货物；逾期超过15日，或者在合同期限内发生10次（含10次）以上逾期情形的，甲方有权单方面解除本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（2）乙方交付的货物质量不符合双方约定或国家现行质量标准或行业标准，甲方有权退货并提前解除本合同。乙方应按退货金额的20%向甲方支付违约金，并赔偿由此给甲方造成的损失。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三、结算条款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结算费率为    ，按月结算，次月结上月货款。安徽云里安凹乡村旅游发展有限公司以及庐江县文旅投资有限公司云里安凹云溪山舍分公司根据实际供货、安装数量，按照既定单价分别付款</w:t>
      </w:r>
      <w:r>
        <w:rPr>
          <w:rFonts w:hint="eastAsia" w:asciiTheme="minorEastAsia" w:hAnsiTheme="minorEastAsia" w:eastAsiaTheme="minorEastAsia" w:cstheme="minorEastAsia"/>
          <w:color w:val="auto"/>
          <w:kern w:val="2"/>
          <w:szCs w:val="32"/>
          <w:lang w:eastAsia="zh-CN"/>
        </w:rPr>
        <w:t>。</w:t>
      </w:r>
      <w:r>
        <w:rPr>
          <w:rFonts w:hint="eastAsia" w:asciiTheme="minorEastAsia" w:hAnsiTheme="minorEastAsia" w:eastAsiaTheme="minorEastAsia" w:cstheme="minorEastAsia"/>
          <w:color w:val="auto"/>
          <w:kern w:val="2"/>
          <w:szCs w:val="32"/>
        </w:rPr>
        <w:t>每月15日之前，甲乙双方必须对上个月的供货清单进行核对，并组织进行市场询价，经甲方在供货清单的对帐表上签字确认后，市场价格乘以费率即为最终结算金额，乙方应按甲方最终确认的结算额开具正规发票给甲方。货款支付前，乙方按照甲方审核确认后的金额，开具有效发票，并履行甲方计量支付流程。乙方指定账户的名称须是乙方单位，开具的发票单位也须是乙方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四、合同期限：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自202</w:t>
      </w:r>
      <w:r>
        <w:rPr>
          <w:rFonts w:hint="eastAsia" w:asciiTheme="minorEastAsia" w:hAnsiTheme="minorEastAsia" w:eastAsiaTheme="minorEastAsia" w:cstheme="minorEastAsia"/>
          <w:color w:val="auto"/>
          <w:kern w:val="2"/>
          <w:szCs w:val="32"/>
          <w:lang w:val="en-US" w:eastAsia="zh-CN"/>
        </w:rPr>
        <w:t>5</w:t>
      </w:r>
      <w:r>
        <w:rPr>
          <w:rFonts w:hint="eastAsia" w:asciiTheme="minorEastAsia" w:hAnsiTheme="minorEastAsia" w:eastAsiaTheme="minorEastAsia" w:cstheme="minorEastAsia"/>
          <w:color w:val="auto"/>
          <w:kern w:val="2"/>
          <w:szCs w:val="32"/>
        </w:rPr>
        <w:t>年   月   至    年    月    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五、生效条件：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1、本合同经双方签订之日起生效，对双方均有约束力。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2、本合同未尽事宜由甲乙双方另行协商解决，或另附补充协议。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六、合同的终止：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1、如乙方违反本合同第二条（商品相关约定条款）第3款约定，甲方有权终止本合同。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2、乙方若发生任何形式的商业贿赂以及欺诈行为，甲方有权单方面解除本合同，并可依法对乙方采取必要措施。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3、合同期满，本合同自动终止。若乙方有意续签协议，同等条件下乙方有优先权。若乙方在合同履行过程中存在违约行为，则甲方有权取消乙方在本合同项下享有的优先续约权。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4、本合同项下乙方应当支付的违约金、赔偿金以及其他费用，甲方有权直接从乙方的履约保证金中扣除。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5、因乙方原因导致本合同被解除的，乙方除应按照本合同其他条款的约定承担违约责任外，还应当向甲方支付50000元违约金，违约金不足以弥补甲方损失的，乙方应当继续赔偿给甲方造成的损失。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七、其他约定条款：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1、本合同一式两份，双方各执壹份。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2、甲乙双方如有争议，双方协商解决，协商不成由甲方所在地法院诉讼解决。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3、甲方在本合同项下的联系人为：       身份证号码为：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联系方式为：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乙方在本合同项下的联系人为：       身份证号码为：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联系方式为：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甲、乙双方任何一方变更联系人的，应当以书面形式提前3日通知相对方。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4、双方同意，合同载明的地址为双方约定的法律文书送达地址，寄往该地址的各类法律文书，自交邮之日起3日后视为送达之日。任何一方地址有变动的，应提前15日以书面形式通知其他两方，否则视为地址未变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双方对本合同条款已尽互相说明之义务，对本合同之所有条款均已充分注意，并详细了解双方对各方根据本合同享有的权利和义务，特别是乙方在可能违反本合同时应承担的违约责任也有清楚的了解，甲乙双方均认为本合同已反映其真实意思。因此，双方同意签署本合同，以资共同遵守，未经双方同意不得随意变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甲方：</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乙方：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（盖章）：</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法定代表人：</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签约代表人：</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签约代表人：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地址：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地址：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电话：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传真：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传真：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邮编：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邮编：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开户行：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开户行：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帐号：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帐号：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lang w:val="en-US" w:eastAsia="zh-CN"/>
        </w:rPr>
      </w:pPr>
      <w:r>
        <w:rPr>
          <w:rFonts w:hint="eastAsia" w:asciiTheme="minorEastAsia" w:hAnsiTheme="minorEastAsia" w:eastAsiaTheme="minorEastAsia" w:cstheme="minorEastAsia"/>
          <w:color w:val="auto"/>
          <w:kern w:val="2"/>
          <w:szCs w:val="32"/>
        </w:rPr>
        <w:t>签</w:t>
      </w:r>
      <w:r>
        <w:rPr>
          <w:rFonts w:hint="eastAsia" w:asciiTheme="minorEastAsia" w:hAnsiTheme="minorEastAsia" w:eastAsiaTheme="minorEastAsia" w:cstheme="minorEastAsia"/>
          <w:color w:val="auto"/>
          <w:kern w:val="2"/>
          <w:szCs w:val="32"/>
          <w:lang w:val="en-US" w:eastAsia="zh-CN"/>
        </w:rPr>
        <w:t>署</w:t>
      </w:r>
      <w:r>
        <w:rPr>
          <w:rFonts w:hint="eastAsia" w:asciiTheme="minorEastAsia" w:hAnsiTheme="minorEastAsia" w:eastAsiaTheme="minorEastAsia" w:cstheme="minorEastAsia"/>
          <w:color w:val="auto"/>
          <w:kern w:val="2"/>
          <w:szCs w:val="32"/>
        </w:rPr>
        <w:t>日期：    年  月  日</w:t>
      </w:r>
      <w:r>
        <w:rPr>
          <w:rFonts w:hint="eastAsia" w:asciiTheme="minorEastAsia" w:hAnsiTheme="minorEastAsia" w:eastAsiaTheme="minorEastAsia" w:cstheme="minorEastAsia"/>
          <w:color w:val="auto"/>
          <w:kern w:val="2"/>
          <w:szCs w:val="32"/>
          <w:lang w:val="en-US" w:eastAsia="zh-CN"/>
        </w:rPr>
        <w:t xml:space="preserve">                 签署日期：    年  月  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center"/>
        <w:textAlignment w:val="auto"/>
        <w:rPr>
          <w:rFonts w:hint="eastAsia" w:asciiTheme="minorEastAsia" w:hAnsiTheme="minorEastAsia" w:eastAsiaTheme="minorEastAsia" w:cstheme="minorEastAsia"/>
          <w:b/>
          <w:bCs/>
          <w:color w:val="auto"/>
          <w:kern w:val="2"/>
          <w:sz w:val="44"/>
          <w:szCs w:val="44"/>
          <w:lang w:val="en-US" w:eastAsia="zh-CN"/>
        </w:rPr>
      </w:pPr>
    </w:p>
    <w:bookmarkEnd w:id="321"/>
    <w:bookmarkEnd w:id="322"/>
    <w:bookmarkEnd w:id="323"/>
    <w:bookmarkEnd w:id="324"/>
    <w:bookmarkEnd w:id="325"/>
    <w:p>
      <w:pPr>
        <w:spacing w:line="520" w:lineRule="exact"/>
        <w:jc w:val="center"/>
        <w:outlineLvl w:val="0"/>
        <w:rPr>
          <w:rFonts w:hint="eastAsia" w:ascii="方正小标宋简体" w:hAnsi="宋体" w:eastAsia="方正小标宋简体"/>
          <w:bCs/>
          <w:color w:val="auto"/>
          <w:sz w:val="44"/>
          <w:szCs w:val="44"/>
        </w:rPr>
      </w:pPr>
      <w:bookmarkStart w:id="326" w:name="_Toc14287"/>
      <w:bookmarkStart w:id="327" w:name="_Toc27579"/>
      <w:r>
        <w:rPr>
          <w:rFonts w:hint="eastAsia" w:ascii="方正小标宋简体" w:hAnsi="宋体" w:eastAsia="方正小标宋简体"/>
          <w:bCs/>
          <w:color w:val="auto"/>
          <w:sz w:val="44"/>
          <w:szCs w:val="44"/>
        </w:rPr>
        <w:t>廉  洁  协  议</w:t>
      </w:r>
    </w:p>
    <w:p>
      <w:pPr>
        <w:spacing w:line="420" w:lineRule="exact"/>
        <w:ind w:firstLine="420" w:firstLineChars="200"/>
        <w:rPr>
          <w:rFonts w:hint="eastAsia" w:hAnsi="宋体"/>
          <w:color w:val="auto"/>
          <w:szCs w:val="24"/>
        </w:rPr>
      </w:pPr>
    </w:p>
    <w:p>
      <w:pPr>
        <w:spacing w:line="440" w:lineRule="exact"/>
        <w:ind w:firstLine="420" w:firstLineChars="200"/>
        <w:rPr>
          <w:rFonts w:hint="eastAsia" w:hAnsi="宋体"/>
          <w:color w:val="auto"/>
          <w:szCs w:val="24"/>
        </w:rPr>
      </w:pPr>
      <w:r>
        <w:rPr>
          <w:rFonts w:hint="eastAsia" w:hAnsi="宋体"/>
          <w:color w:val="auto"/>
          <w:szCs w:val="24"/>
        </w:rPr>
        <w:t>甲方：</w:t>
      </w:r>
      <w:r>
        <w:rPr>
          <w:rFonts w:hint="eastAsia" w:hAnsi="宋体"/>
          <w:color w:val="auto"/>
          <w:szCs w:val="24"/>
          <w:u w:val="single"/>
        </w:rPr>
        <w:t xml:space="preserve"> 庐江县文旅投资有限公司</w:t>
      </w:r>
    </w:p>
    <w:p>
      <w:pPr>
        <w:spacing w:line="440" w:lineRule="exact"/>
        <w:ind w:firstLine="420" w:firstLineChars="200"/>
        <w:rPr>
          <w:rFonts w:hint="eastAsia" w:hAnsi="宋体"/>
          <w:color w:val="auto"/>
          <w:szCs w:val="24"/>
          <w:u w:val="single"/>
        </w:rPr>
      </w:pPr>
      <w:r>
        <w:rPr>
          <w:rFonts w:hint="eastAsia" w:hAnsi="宋体"/>
          <w:color w:val="auto"/>
          <w:szCs w:val="24"/>
        </w:rPr>
        <w:t>乙方：</w:t>
      </w:r>
      <w:r>
        <w:rPr>
          <w:rFonts w:hint="eastAsia" w:hAnsi="宋体" w:cs="@仿宋_GB2312"/>
          <w:color w:val="auto"/>
          <w:szCs w:val="20"/>
          <w:u w:val="single"/>
        </w:rPr>
        <w:t xml:space="preserve">                                  </w:t>
      </w:r>
    </w:p>
    <w:p>
      <w:pPr>
        <w:spacing w:line="440" w:lineRule="exact"/>
        <w:ind w:firstLine="420" w:firstLineChars="200"/>
        <w:rPr>
          <w:rFonts w:hint="eastAsia" w:hAnsi="宋体"/>
          <w:color w:val="auto"/>
          <w:szCs w:val="24"/>
        </w:rPr>
      </w:pPr>
    </w:p>
    <w:p>
      <w:pPr>
        <w:spacing w:line="440" w:lineRule="exact"/>
        <w:ind w:firstLine="420" w:firstLineChars="200"/>
        <w:rPr>
          <w:rFonts w:hint="eastAsia" w:hAnsi="宋体"/>
          <w:color w:val="auto"/>
          <w:szCs w:val="24"/>
        </w:rPr>
      </w:pPr>
      <w:r>
        <w:rPr>
          <w:rFonts w:hint="eastAsia" w:hAnsi="宋体"/>
          <w:color w:val="auto"/>
          <w:szCs w:val="24"/>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pPr>
        <w:spacing w:line="440" w:lineRule="exact"/>
        <w:ind w:firstLine="422" w:firstLineChars="200"/>
        <w:rPr>
          <w:rFonts w:hint="eastAsia" w:hAnsi="宋体"/>
          <w:color w:val="auto"/>
          <w:szCs w:val="24"/>
        </w:rPr>
      </w:pPr>
      <w:r>
        <w:rPr>
          <w:rFonts w:hint="eastAsia" w:hAnsi="宋体"/>
          <w:b/>
          <w:color w:val="auto"/>
          <w:szCs w:val="24"/>
        </w:rPr>
        <w:t>第一条</w:t>
      </w:r>
      <w:r>
        <w:rPr>
          <w:rFonts w:hint="eastAsia" w:hAnsi="宋体"/>
          <w:color w:val="auto"/>
          <w:szCs w:val="24"/>
        </w:rPr>
        <w:t xml:space="preserve">  甲乙双方的权利和义务</w:t>
      </w:r>
    </w:p>
    <w:p>
      <w:pPr>
        <w:spacing w:line="440" w:lineRule="exact"/>
        <w:ind w:firstLine="420" w:firstLineChars="200"/>
        <w:rPr>
          <w:rFonts w:hint="eastAsia" w:hAnsi="宋体"/>
          <w:color w:val="auto"/>
          <w:szCs w:val="24"/>
        </w:rPr>
      </w:pPr>
      <w:r>
        <w:rPr>
          <w:rFonts w:hint="eastAsia" w:hAnsi="宋体"/>
          <w:color w:val="auto"/>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pPr>
        <w:spacing w:line="440" w:lineRule="exact"/>
        <w:ind w:firstLine="420" w:firstLineChars="200"/>
        <w:rPr>
          <w:rFonts w:hint="eastAsia" w:hAnsi="宋体"/>
          <w:color w:val="auto"/>
          <w:szCs w:val="24"/>
        </w:rPr>
      </w:pPr>
      <w:r>
        <w:rPr>
          <w:rFonts w:hint="eastAsia" w:hAnsi="宋体"/>
          <w:color w:val="auto"/>
          <w:szCs w:val="24"/>
        </w:rPr>
        <w:t>（二）严格执行合同的要求，自觉履行合同约定的相关义务。</w:t>
      </w:r>
    </w:p>
    <w:p>
      <w:pPr>
        <w:spacing w:line="440" w:lineRule="exact"/>
        <w:ind w:firstLine="420" w:firstLineChars="200"/>
        <w:rPr>
          <w:rFonts w:hint="eastAsia" w:hAnsi="宋体"/>
          <w:color w:val="auto"/>
          <w:szCs w:val="24"/>
        </w:rPr>
      </w:pPr>
      <w:r>
        <w:rPr>
          <w:rFonts w:hint="eastAsia" w:hAnsi="宋体"/>
          <w:color w:val="auto"/>
          <w:szCs w:val="24"/>
        </w:rPr>
        <w:t>（三）在业务活动中坚持公开、公正、诚信、透明的原则，不得损害国家、集体利益。</w:t>
      </w:r>
    </w:p>
    <w:p>
      <w:pPr>
        <w:spacing w:line="440" w:lineRule="exact"/>
        <w:ind w:firstLine="420" w:firstLineChars="200"/>
        <w:rPr>
          <w:rFonts w:hint="eastAsia" w:hAnsi="宋体"/>
          <w:color w:val="auto"/>
          <w:szCs w:val="24"/>
        </w:rPr>
      </w:pPr>
      <w:r>
        <w:rPr>
          <w:rFonts w:hint="eastAsia" w:hAnsi="宋体"/>
          <w:color w:val="auto"/>
          <w:szCs w:val="24"/>
        </w:rPr>
        <w:t>（四）建立健全廉洁制度，开展廉洁教育，公布举报电话，监督并认真查处违法违纪行为。</w:t>
      </w:r>
    </w:p>
    <w:p>
      <w:pPr>
        <w:spacing w:line="440" w:lineRule="exact"/>
        <w:ind w:firstLine="420" w:firstLineChars="200"/>
        <w:rPr>
          <w:rFonts w:hint="eastAsia" w:hAnsi="宋体"/>
          <w:color w:val="auto"/>
          <w:szCs w:val="24"/>
        </w:rPr>
      </w:pPr>
      <w:r>
        <w:rPr>
          <w:rFonts w:hint="eastAsia" w:hAnsi="宋体"/>
          <w:color w:val="auto"/>
          <w:szCs w:val="24"/>
        </w:rPr>
        <w:t>（五）发现对方在业务活动中有违反廉洁规定的行为，应及时提醒对方纠正。情节严重的，应向其上级有关部门举报、建议给予处理，并有权要求告知处理结果。</w:t>
      </w:r>
    </w:p>
    <w:p>
      <w:pPr>
        <w:spacing w:line="440" w:lineRule="exact"/>
        <w:ind w:firstLine="422" w:firstLineChars="200"/>
        <w:rPr>
          <w:rFonts w:hint="eastAsia" w:hAnsi="宋体"/>
          <w:color w:val="auto"/>
          <w:szCs w:val="24"/>
        </w:rPr>
      </w:pPr>
      <w:r>
        <w:rPr>
          <w:rFonts w:hint="eastAsia" w:hAnsi="宋体"/>
          <w:b/>
          <w:color w:val="auto"/>
          <w:szCs w:val="24"/>
        </w:rPr>
        <w:t>第二条</w:t>
      </w:r>
      <w:r>
        <w:rPr>
          <w:rFonts w:hint="eastAsia" w:hAnsi="宋体"/>
          <w:color w:val="auto"/>
          <w:szCs w:val="24"/>
        </w:rPr>
        <w:t xml:space="preserve">  甲方的义务</w:t>
      </w:r>
    </w:p>
    <w:p>
      <w:pPr>
        <w:spacing w:line="440" w:lineRule="exact"/>
        <w:ind w:firstLine="420" w:firstLineChars="200"/>
        <w:rPr>
          <w:rFonts w:hint="eastAsia" w:hAnsi="宋体"/>
          <w:color w:val="auto"/>
          <w:szCs w:val="24"/>
        </w:rPr>
      </w:pPr>
      <w:r>
        <w:rPr>
          <w:rFonts w:hint="eastAsia" w:hAnsi="宋体"/>
          <w:color w:val="auto"/>
          <w:szCs w:val="24"/>
        </w:rPr>
        <w:t>（一）甲方及其工作人员不得索要或接受乙方的礼金、有价证券和贵重物品，不得在乙方报销任何应由甲方单位或个人支付的费用等。</w:t>
      </w:r>
    </w:p>
    <w:p>
      <w:pPr>
        <w:spacing w:line="440" w:lineRule="exact"/>
        <w:ind w:firstLine="420" w:firstLineChars="200"/>
        <w:rPr>
          <w:rFonts w:hint="eastAsia" w:hAnsi="宋体"/>
          <w:color w:val="auto"/>
          <w:szCs w:val="24"/>
        </w:rPr>
      </w:pPr>
      <w:r>
        <w:rPr>
          <w:rFonts w:hint="eastAsia" w:hAnsi="宋体"/>
          <w:color w:val="auto"/>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440" w:lineRule="exact"/>
        <w:ind w:firstLine="420" w:firstLineChars="200"/>
        <w:rPr>
          <w:rFonts w:hint="eastAsia" w:hAnsi="宋体"/>
          <w:color w:val="auto"/>
          <w:szCs w:val="24"/>
        </w:rPr>
      </w:pPr>
      <w:r>
        <w:rPr>
          <w:rFonts w:hint="eastAsia" w:hAnsi="宋体"/>
          <w:color w:val="auto"/>
          <w:szCs w:val="24"/>
        </w:rPr>
        <w:t>（三）甲方及其工作人员不得要求或者接受乙方为其住房装修、婚丧嫁娶活动、配偶子女工作安排以及出国出境、旅游等提供方便等。</w:t>
      </w:r>
    </w:p>
    <w:p>
      <w:pPr>
        <w:spacing w:line="440" w:lineRule="exact"/>
        <w:ind w:firstLine="420" w:firstLineChars="200"/>
        <w:rPr>
          <w:rFonts w:hint="eastAsia" w:hAnsi="宋体"/>
          <w:color w:val="auto"/>
          <w:szCs w:val="24"/>
        </w:rPr>
      </w:pPr>
      <w:r>
        <w:rPr>
          <w:rFonts w:hint="eastAsia" w:hAnsi="宋体"/>
          <w:color w:val="auto"/>
          <w:szCs w:val="24"/>
        </w:rPr>
        <w:t>（四）甲方工作人员不得在乙方有关联的企业兼职，不得向乙方介绍家属或者亲友从事与甲方业务有关的经济活动。</w:t>
      </w:r>
    </w:p>
    <w:p>
      <w:pPr>
        <w:spacing w:line="440" w:lineRule="exact"/>
        <w:ind w:firstLine="420" w:firstLineChars="200"/>
        <w:rPr>
          <w:rFonts w:hint="eastAsia" w:hAnsi="宋体"/>
          <w:color w:val="auto"/>
          <w:szCs w:val="24"/>
        </w:rPr>
      </w:pPr>
      <w:r>
        <w:rPr>
          <w:rFonts w:hint="eastAsia" w:hAnsi="宋体"/>
          <w:color w:val="auto"/>
          <w:szCs w:val="24"/>
        </w:rPr>
        <w:t>（五）甲方工作人员不得以明显低于市场的价格向乙方购买房屋、汽车等物品；不得以明显高于市场的价格向乙方出售房屋、汽车等物品；不得以其他交易形式非法收受请托人财物。</w:t>
      </w:r>
    </w:p>
    <w:p>
      <w:pPr>
        <w:spacing w:line="440" w:lineRule="exact"/>
        <w:ind w:firstLine="420" w:firstLineChars="200"/>
        <w:rPr>
          <w:rFonts w:hint="eastAsia" w:hAnsi="宋体"/>
          <w:color w:val="auto"/>
          <w:szCs w:val="24"/>
        </w:rPr>
      </w:pPr>
      <w:r>
        <w:rPr>
          <w:rFonts w:hint="eastAsia" w:hAnsi="宋体"/>
          <w:color w:val="auto"/>
          <w:szCs w:val="24"/>
        </w:rPr>
        <w:t>（六）甲方工作人员不得利用职务之便收受乙方以回扣、手续费、加班费、咨询费、劳务费、协调费等各种名义给予或赠送的钱物。</w:t>
      </w:r>
    </w:p>
    <w:p>
      <w:pPr>
        <w:spacing w:line="440" w:lineRule="exact"/>
        <w:ind w:firstLine="420" w:firstLineChars="200"/>
        <w:rPr>
          <w:rFonts w:hint="eastAsia" w:hAnsi="宋体"/>
          <w:color w:val="auto"/>
          <w:szCs w:val="24"/>
        </w:rPr>
      </w:pPr>
      <w:r>
        <w:rPr>
          <w:rFonts w:hint="eastAsia" w:hAnsi="宋体"/>
          <w:color w:val="auto"/>
          <w:szCs w:val="24"/>
        </w:rPr>
        <w:t>（七）甲方工作人员不得接受乙方给予或赠送的干股或红利。</w:t>
      </w:r>
    </w:p>
    <w:p>
      <w:pPr>
        <w:spacing w:line="440" w:lineRule="exact"/>
        <w:ind w:firstLine="420" w:firstLineChars="200"/>
        <w:rPr>
          <w:rFonts w:hint="eastAsia" w:hAnsi="宋体"/>
          <w:color w:val="auto"/>
          <w:szCs w:val="24"/>
        </w:rPr>
      </w:pPr>
      <w:r>
        <w:rPr>
          <w:rFonts w:hint="eastAsia" w:hAnsi="宋体"/>
          <w:color w:val="auto"/>
          <w:szCs w:val="24"/>
        </w:rPr>
        <w:t>（八）甲方任何人不得以个人的名义向乙方推荐设备、部件等供货商以及其他合作单位。</w:t>
      </w:r>
    </w:p>
    <w:p>
      <w:pPr>
        <w:spacing w:line="440" w:lineRule="exact"/>
        <w:ind w:firstLine="422" w:firstLineChars="200"/>
        <w:rPr>
          <w:rFonts w:hint="eastAsia" w:hAnsi="宋体"/>
          <w:color w:val="auto"/>
          <w:szCs w:val="24"/>
        </w:rPr>
      </w:pPr>
      <w:r>
        <w:rPr>
          <w:rFonts w:hint="eastAsia" w:hAnsi="宋体"/>
          <w:b/>
          <w:color w:val="auto"/>
          <w:szCs w:val="24"/>
        </w:rPr>
        <w:t xml:space="preserve">第三条  </w:t>
      </w:r>
      <w:r>
        <w:rPr>
          <w:rFonts w:hint="eastAsia" w:hAnsi="宋体"/>
          <w:color w:val="auto"/>
          <w:szCs w:val="24"/>
        </w:rPr>
        <w:t>乙方的义务</w:t>
      </w:r>
    </w:p>
    <w:p>
      <w:pPr>
        <w:spacing w:line="440" w:lineRule="exact"/>
        <w:ind w:firstLine="420" w:firstLineChars="200"/>
        <w:rPr>
          <w:rFonts w:hint="eastAsia" w:hAnsi="宋体"/>
          <w:color w:val="auto"/>
          <w:szCs w:val="24"/>
        </w:rPr>
      </w:pPr>
      <w:r>
        <w:rPr>
          <w:rFonts w:hint="eastAsia" w:hAnsi="宋体"/>
          <w:color w:val="auto"/>
          <w:szCs w:val="24"/>
        </w:rPr>
        <w:t>（一）乙方不得以任何理由向甲方及其工作人员行贿或馈赠礼金、有价证券、贵重礼品。</w:t>
      </w:r>
    </w:p>
    <w:p>
      <w:pPr>
        <w:spacing w:line="440" w:lineRule="exact"/>
        <w:ind w:firstLine="420" w:firstLineChars="200"/>
        <w:rPr>
          <w:rFonts w:hint="eastAsia" w:hAnsi="宋体"/>
          <w:color w:val="auto"/>
          <w:szCs w:val="24"/>
        </w:rPr>
      </w:pPr>
      <w:r>
        <w:rPr>
          <w:rFonts w:hint="eastAsia" w:hAnsi="宋体"/>
          <w:color w:val="auto"/>
          <w:szCs w:val="24"/>
        </w:rPr>
        <w:t>（二)乙方不得以任何名义为甲方及其工作人员报销应由甲方单位或个人支付的任何费用。</w:t>
      </w:r>
    </w:p>
    <w:p>
      <w:pPr>
        <w:spacing w:line="440" w:lineRule="exact"/>
        <w:ind w:firstLine="420" w:firstLineChars="200"/>
        <w:rPr>
          <w:rFonts w:hint="eastAsia" w:hAnsi="宋体"/>
          <w:color w:val="auto"/>
          <w:szCs w:val="24"/>
        </w:rPr>
      </w:pPr>
      <w:r>
        <w:rPr>
          <w:rFonts w:hint="eastAsia" w:hAnsi="宋体"/>
          <w:color w:val="auto"/>
          <w:szCs w:val="24"/>
        </w:rPr>
        <w:t>（三）乙方不得以任何理由安排甲方工作人员参加可能影响相关业务公开、公正、公平性的宴请及娱乐活动。</w:t>
      </w:r>
    </w:p>
    <w:p>
      <w:pPr>
        <w:spacing w:line="440" w:lineRule="exact"/>
        <w:ind w:firstLine="420" w:firstLineChars="200"/>
        <w:rPr>
          <w:rFonts w:hint="eastAsia" w:hAnsi="宋体"/>
          <w:color w:val="auto"/>
          <w:szCs w:val="24"/>
        </w:rPr>
      </w:pPr>
      <w:r>
        <w:rPr>
          <w:rFonts w:hint="eastAsia" w:hAnsi="宋体"/>
          <w:color w:val="auto"/>
          <w:szCs w:val="24"/>
        </w:rPr>
        <w:t>（四）乙方不得为甲方单位和个人购置或提供通讯工具和高档办公用品等物品，也不得为甲方提供与工作无关的房屋、汽车等。</w:t>
      </w:r>
    </w:p>
    <w:p>
      <w:pPr>
        <w:spacing w:line="440" w:lineRule="exact"/>
        <w:ind w:firstLine="420" w:firstLineChars="200"/>
        <w:rPr>
          <w:rFonts w:hint="eastAsia" w:hAnsi="宋体"/>
          <w:color w:val="auto"/>
          <w:szCs w:val="24"/>
        </w:rPr>
      </w:pPr>
      <w:r>
        <w:rPr>
          <w:rFonts w:hint="eastAsia" w:hAnsi="宋体"/>
          <w:color w:val="auto"/>
          <w:szCs w:val="24"/>
        </w:rPr>
        <w:t>（五）乙方不得与甲方工作人员就合同中的质量、数量、价格、工程量、验收等条款进行私下商谈或者达成默契。</w:t>
      </w:r>
    </w:p>
    <w:p>
      <w:pPr>
        <w:spacing w:line="440" w:lineRule="exact"/>
        <w:ind w:firstLine="420" w:firstLineChars="200"/>
        <w:rPr>
          <w:rFonts w:hint="eastAsia" w:hAnsi="宋体"/>
          <w:color w:val="auto"/>
          <w:szCs w:val="24"/>
        </w:rPr>
      </w:pPr>
      <w:r>
        <w:rPr>
          <w:rFonts w:hint="eastAsia" w:hAnsi="宋体"/>
          <w:color w:val="auto"/>
          <w:szCs w:val="24"/>
        </w:rPr>
        <w:t>（六）乙方不得以回扣、手续费、加班费、咨询费、劳务费等各种名义向甲方工作人员给予或赠送钱物。</w:t>
      </w:r>
    </w:p>
    <w:p>
      <w:pPr>
        <w:spacing w:line="440" w:lineRule="exact"/>
        <w:ind w:firstLine="420" w:firstLineChars="200"/>
        <w:rPr>
          <w:rFonts w:hint="eastAsia" w:hAnsi="宋体"/>
          <w:color w:val="auto"/>
          <w:szCs w:val="24"/>
        </w:rPr>
      </w:pPr>
      <w:r>
        <w:rPr>
          <w:rFonts w:hint="eastAsia" w:hAnsi="宋体"/>
          <w:color w:val="auto"/>
          <w:szCs w:val="24"/>
        </w:rPr>
        <w:t>（七）乙方不得向甲方工作人员提供干股或红利。</w:t>
      </w:r>
    </w:p>
    <w:p>
      <w:pPr>
        <w:spacing w:line="440" w:lineRule="exact"/>
        <w:ind w:firstLine="420" w:firstLineChars="200"/>
        <w:rPr>
          <w:rFonts w:hint="eastAsia" w:hAnsi="宋体"/>
          <w:color w:val="auto"/>
          <w:szCs w:val="24"/>
        </w:rPr>
      </w:pPr>
      <w:r>
        <w:rPr>
          <w:rFonts w:hint="eastAsia" w:hAnsi="宋体"/>
          <w:color w:val="auto"/>
          <w:szCs w:val="24"/>
        </w:rPr>
        <w:t>（八）乙方须按安徽云里安凹乡村旅游发展有限公司相关要求开展工作。</w:t>
      </w:r>
    </w:p>
    <w:p>
      <w:pPr>
        <w:spacing w:line="440" w:lineRule="exact"/>
        <w:ind w:firstLine="422" w:firstLineChars="200"/>
        <w:rPr>
          <w:rFonts w:hint="eastAsia" w:hAnsi="宋体"/>
          <w:color w:val="auto"/>
          <w:szCs w:val="24"/>
        </w:rPr>
      </w:pPr>
      <w:r>
        <w:rPr>
          <w:rFonts w:hint="eastAsia" w:hAnsi="宋体"/>
          <w:b/>
          <w:color w:val="auto"/>
          <w:szCs w:val="24"/>
        </w:rPr>
        <w:t>第四条</w:t>
      </w:r>
      <w:r>
        <w:rPr>
          <w:rFonts w:hint="eastAsia" w:hAnsi="宋体"/>
          <w:color w:val="auto"/>
          <w:szCs w:val="24"/>
        </w:rPr>
        <w:t xml:space="preserve">  违约责任</w:t>
      </w:r>
    </w:p>
    <w:p>
      <w:pPr>
        <w:spacing w:line="440" w:lineRule="exact"/>
        <w:ind w:firstLine="420" w:firstLineChars="200"/>
        <w:rPr>
          <w:rFonts w:hint="eastAsia" w:hAnsi="宋体"/>
          <w:color w:val="auto"/>
          <w:szCs w:val="24"/>
        </w:rPr>
      </w:pPr>
      <w:r>
        <w:rPr>
          <w:rFonts w:hint="eastAsia" w:hAnsi="宋体"/>
          <w:color w:val="auto"/>
          <w:szCs w:val="24"/>
        </w:rPr>
        <w:t>（一）甲方及其工作人员违反本协议第一、二条规定。甲方按管理权限，对相关责任人依据有关规定给予党纪、政纪处分或组织处理；涉嫌犯罪的，移交司法机关追究刑事责任。</w:t>
      </w:r>
    </w:p>
    <w:p>
      <w:pPr>
        <w:spacing w:line="440" w:lineRule="exact"/>
        <w:ind w:firstLine="420" w:firstLineChars="200"/>
        <w:jc w:val="left"/>
        <w:rPr>
          <w:rFonts w:hint="eastAsia" w:hAnsi="宋体"/>
          <w:color w:val="auto"/>
          <w:szCs w:val="24"/>
        </w:rPr>
      </w:pPr>
      <w:r>
        <w:rPr>
          <w:rFonts w:hint="eastAsia" w:hAnsi="宋体"/>
          <w:color w:val="auto"/>
          <w:szCs w:val="24"/>
        </w:rPr>
        <w:t>投诉联系部门：云里安凹</w:t>
      </w:r>
      <w:r>
        <w:rPr>
          <w:rFonts w:hint="eastAsia" w:ascii="UniversalMath1 BT" w:hAnsi="UniversalMath1 BT"/>
          <w:color w:val="auto"/>
          <w:szCs w:val="24"/>
        </w:rPr>
        <w:t>综合管理部</w:t>
      </w:r>
      <w:r>
        <w:rPr>
          <w:rFonts w:hint="eastAsia" w:hAnsi="宋体"/>
          <w:color w:val="auto"/>
          <w:szCs w:val="24"/>
        </w:rPr>
        <w:t>，联系电话13956664290，举报邮箱：620056940@qq.com</w:t>
      </w:r>
    </w:p>
    <w:p>
      <w:pPr>
        <w:spacing w:line="440" w:lineRule="exact"/>
        <w:ind w:firstLine="420" w:firstLineChars="200"/>
        <w:rPr>
          <w:rFonts w:hint="eastAsia" w:hAnsi="宋体"/>
          <w:color w:val="auto"/>
          <w:szCs w:val="24"/>
        </w:rPr>
      </w:pPr>
      <w:r>
        <w:rPr>
          <w:rFonts w:hint="eastAsia" w:hAnsi="宋体"/>
          <w:color w:val="auto"/>
          <w:szCs w:val="24"/>
        </w:rPr>
        <w:t>（二）乙方及其工作人员违反本协议第一、三条规定。根据具体情节和造成的后果，甲方有权依据法律法规及合同约定对乙方采取以下一种或多种处理办法：</w:t>
      </w:r>
    </w:p>
    <w:p>
      <w:pPr>
        <w:spacing w:line="440" w:lineRule="exact"/>
        <w:ind w:firstLine="420" w:firstLineChars="200"/>
        <w:rPr>
          <w:rFonts w:hint="eastAsia" w:hAnsi="宋体"/>
          <w:color w:val="auto"/>
          <w:szCs w:val="24"/>
        </w:rPr>
      </w:pPr>
      <w:r>
        <w:rPr>
          <w:rFonts w:hint="eastAsia" w:hAnsi="宋体"/>
          <w:color w:val="auto"/>
          <w:szCs w:val="24"/>
        </w:rPr>
        <w:t xml:space="preserve">1．向建设行政部门、招投标管理部门及乙方上级主管部门通报，建议作出相应处理； </w:t>
      </w:r>
    </w:p>
    <w:p>
      <w:pPr>
        <w:spacing w:line="440" w:lineRule="exact"/>
        <w:ind w:firstLine="420" w:firstLineChars="200"/>
        <w:rPr>
          <w:rFonts w:hint="eastAsia" w:hAnsi="宋体"/>
          <w:color w:val="auto"/>
          <w:szCs w:val="24"/>
        </w:rPr>
      </w:pPr>
      <w:r>
        <w:rPr>
          <w:rFonts w:hint="eastAsia" w:hAnsi="宋体"/>
          <w:color w:val="auto"/>
          <w:szCs w:val="24"/>
        </w:rPr>
        <w:t>2．甲方有权扣除乙方履约保证金全部或部分（视情节严重性而定）；</w:t>
      </w:r>
    </w:p>
    <w:p>
      <w:pPr>
        <w:spacing w:line="440" w:lineRule="exact"/>
        <w:ind w:firstLine="420" w:firstLineChars="200"/>
        <w:rPr>
          <w:rFonts w:hint="eastAsia" w:hAnsi="宋体"/>
          <w:color w:val="auto"/>
          <w:szCs w:val="24"/>
        </w:rPr>
      </w:pPr>
      <w:r>
        <w:rPr>
          <w:rFonts w:hint="eastAsia" w:hAnsi="宋体"/>
          <w:color w:val="auto"/>
          <w:szCs w:val="24"/>
        </w:rPr>
        <w:t>3．终止或解除双方已签订的包括（不限于）本合同在内的所有合同。</w:t>
      </w:r>
    </w:p>
    <w:p>
      <w:pPr>
        <w:spacing w:line="440" w:lineRule="exact"/>
        <w:ind w:firstLine="420" w:firstLineChars="200"/>
        <w:rPr>
          <w:rFonts w:hint="eastAsia" w:hAnsi="宋体"/>
          <w:color w:val="auto"/>
          <w:szCs w:val="24"/>
        </w:rPr>
      </w:pPr>
      <w:r>
        <w:rPr>
          <w:rFonts w:hint="eastAsia" w:hAnsi="宋体"/>
          <w:color w:val="auto"/>
          <w:szCs w:val="24"/>
        </w:rPr>
        <w:t>甲方作出的处理意见，乙方应无条件接受并承担给甲方造成的损失，全额返还通过不正当手段从甲方获取的非法所得，并承担相应的法律责任。</w:t>
      </w:r>
    </w:p>
    <w:p>
      <w:pPr>
        <w:spacing w:line="440" w:lineRule="exact"/>
        <w:ind w:firstLine="422" w:firstLineChars="200"/>
        <w:rPr>
          <w:rFonts w:hint="eastAsia" w:hAnsi="宋体"/>
          <w:color w:val="auto"/>
          <w:szCs w:val="24"/>
        </w:rPr>
      </w:pPr>
      <w:r>
        <w:rPr>
          <w:rFonts w:hint="eastAsia" w:hAnsi="宋体"/>
          <w:b/>
          <w:color w:val="auto"/>
          <w:szCs w:val="24"/>
        </w:rPr>
        <w:t>第五条</w:t>
      </w:r>
      <w:r>
        <w:rPr>
          <w:rFonts w:hint="eastAsia" w:hAnsi="宋体"/>
          <w:color w:val="auto"/>
          <w:szCs w:val="24"/>
        </w:rPr>
        <w:t xml:space="preserve">  双方约定</w:t>
      </w:r>
    </w:p>
    <w:p>
      <w:pPr>
        <w:spacing w:line="440" w:lineRule="exact"/>
        <w:ind w:firstLine="420" w:firstLineChars="200"/>
        <w:rPr>
          <w:rFonts w:hint="eastAsia" w:hAnsi="宋体"/>
          <w:color w:val="auto"/>
          <w:szCs w:val="24"/>
        </w:rPr>
      </w:pPr>
      <w:r>
        <w:rPr>
          <w:rFonts w:hint="eastAsia" w:hAnsi="宋体"/>
          <w:color w:val="auto"/>
          <w:szCs w:val="24"/>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440" w:lineRule="exact"/>
        <w:ind w:firstLine="422" w:firstLineChars="200"/>
        <w:rPr>
          <w:rFonts w:hint="eastAsia" w:hAnsi="宋体"/>
          <w:color w:val="auto"/>
          <w:szCs w:val="24"/>
        </w:rPr>
      </w:pPr>
      <w:r>
        <w:rPr>
          <w:rFonts w:hint="eastAsia" w:hAnsi="宋体"/>
          <w:b/>
          <w:color w:val="auto"/>
          <w:szCs w:val="24"/>
        </w:rPr>
        <w:t xml:space="preserve">第六条  </w:t>
      </w:r>
      <w:r>
        <w:rPr>
          <w:rFonts w:hint="eastAsia" w:hAnsi="宋体"/>
          <w:color w:val="auto"/>
          <w:szCs w:val="24"/>
        </w:rPr>
        <w:t xml:space="preserve">本协议有效期为甲乙双方签署之日起至合同终止。  </w:t>
      </w:r>
    </w:p>
    <w:p>
      <w:pPr>
        <w:spacing w:line="440" w:lineRule="exact"/>
        <w:ind w:firstLine="422" w:firstLineChars="200"/>
        <w:rPr>
          <w:rFonts w:hint="eastAsia" w:hAnsi="宋体"/>
          <w:color w:val="auto"/>
          <w:szCs w:val="24"/>
        </w:rPr>
      </w:pPr>
      <w:r>
        <w:rPr>
          <w:rFonts w:hint="eastAsia" w:hAnsi="宋体"/>
          <w:b/>
          <w:color w:val="auto"/>
          <w:szCs w:val="24"/>
        </w:rPr>
        <w:t xml:space="preserve">第七条 </w:t>
      </w:r>
      <w:r>
        <w:rPr>
          <w:rFonts w:hint="eastAsia" w:hAnsi="宋体"/>
          <w:color w:val="auto"/>
          <w:szCs w:val="24"/>
        </w:rPr>
        <w:t xml:space="preserve"> 本协议作为合同的附件，与合同具有同等法律效力。</w:t>
      </w:r>
    </w:p>
    <w:p>
      <w:pPr>
        <w:spacing w:line="440" w:lineRule="exact"/>
        <w:rPr>
          <w:rFonts w:hint="eastAsia" w:hAnsi="宋体"/>
          <w:color w:val="auto"/>
          <w:szCs w:val="24"/>
        </w:rPr>
      </w:pPr>
    </w:p>
    <w:p>
      <w:pPr>
        <w:spacing w:line="440" w:lineRule="exact"/>
        <w:ind w:firstLine="420" w:firstLineChars="200"/>
        <w:rPr>
          <w:rFonts w:hint="eastAsia" w:hAnsi="宋体"/>
          <w:color w:val="auto"/>
          <w:szCs w:val="24"/>
        </w:rPr>
      </w:pPr>
      <w:r>
        <w:rPr>
          <w:rFonts w:hint="eastAsia" w:hAnsi="宋体"/>
          <w:color w:val="auto"/>
          <w:szCs w:val="24"/>
        </w:rPr>
        <w:t>甲方（盖章）：                    乙方（盖章）：</w:t>
      </w:r>
    </w:p>
    <w:p>
      <w:pPr>
        <w:spacing w:line="440" w:lineRule="exact"/>
        <w:ind w:firstLine="420" w:firstLineChars="200"/>
        <w:rPr>
          <w:rFonts w:hint="eastAsia" w:hAnsi="宋体"/>
          <w:color w:val="auto"/>
          <w:szCs w:val="24"/>
        </w:rPr>
      </w:pPr>
      <w:r>
        <w:rPr>
          <w:rFonts w:hint="eastAsia" w:hAnsi="宋体"/>
          <w:color w:val="auto"/>
          <w:szCs w:val="24"/>
        </w:rPr>
        <w:t>法定代表人或</w:t>
      </w:r>
      <w:r>
        <w:rPr>
          <w:rFonts w:hint="eastAsia" w:hAnsi="宋体"/>
          <w:color w:val="auto"/>
          <w:szCs w:val="24"/>
        </w:rPr>
        <w:tab/>
      </w:r>
      <w:r>
        <w:rPr>
          <w:rFonts w:hint="eastAsia" w:hAnsi="宋体"/>
          <w:color w:val="auto"/>
          <w:szCs w:val="24"/>
        </w:rPr>
        <w:t xml:space="preserve">                     法定代表人或</w:t>
      </w:r>
    </w:p>
    <w:p>
      <w:pPr>
        <w:spacing w:line="440" w:lineRule="exact"/>
        <w:ind w:firstLine="420" w:firstLineChars="200"/>
        <w:rPr>
          <w:rFonts w:hint="eastAsia" w:hAnsi="宋体"/>
          <w:color w:val="auto"/>
          <w:szCs w:val="24"/>
        </w:rPr>
      </w:pPr>
      <w:r>
        <w:rPr>
          <w:rFonts w:hint="eastAsia" w:hAnsi="宋体"/>
          <w:color w:val="auto"/>
          <w:szCs w:val="24"/>
        </w:rPr>
        <w:t>授权代表：   (职务)               授权代表：  （职务）</w:t>
      </w:r>
    </w:p>
    <w:p>
      <w:pPr>
        <w:spacing w:line="440" w:lineRule="exact"/>
        <w:ind w:firstLine="420" w:firstLineChars="200"/>
        <w:rPr>
          <w:rFonts w:hint="eastAsia" w:hAnsi="宋体"/>
          <w:color w:val="auto"/>
          <w:szCs w:val="24"/>
        </w:rPr>
      </w:pPr>
      <w:r>
        <w:rPr>
          <w:rFonts w:hint="eastAsia" w:hAnsi="宋体"/>
          <w:color w:val="auto"/>
          <w:szCs w:val="24"/>
        </w:rPr>
        <w:t>签字：                            签字：</w:t>
      </w:r>
    </w:p>
    <w:p>
      <w:pPr>
        <w:spacing w:line="440" w:lineRule="exact"/>
        <w:ind w:firstLine="420" w:firstLineChars="200"/>
        <w:rPr>
          <w:rFonts w:hint="eastAsia" w:hAnsi="宋体"/>
          <w:color w:val="auto"/>
          <w:szCs w:val="24"/>
        </w:rPr>
      </w:pPr>
    </w:p>
    <w:p>
      <w:pPr>
        <w:spacing w:line="440" w:lineRule="exact"/>
        <w:ind w:firstLine="420" w:firstLineChars="200"/>
        <w:rPr>
          <w:rFonts w:hint="eastAsia" w:hAnsi="宋体"/>
          <w:color w:val="auto"/>
          <w:szCs w:val="24"/>
        </w:rPr>
      </w:pPr>
    </w:p>
    <w:p>
      <w:pPr>
        <w:spacing w:line="440" w:lineRule="exact"/>
        <w:ind w:firstLine="420" w:firstLineChars="200"/>
        <w:rPr>
          <w:rFonts w:hint="eastAsia" w:hAnsi="宋体"/>
          <w:color w:val="auto"/>
          <w:szCs w:val="24"/>
        </w:rPr>
      </w:pPr>
      <w:r>
        <w:rPr>
          <w:rFonts w:hint="eastAsia" w:hAnsi="宋体"/>
          <w:color w:val="auto"/>
          <w:szCs w:val="24"/>
        </w:rPr>
        <w:t>廉洁监督联系人                    廉洁监督联系人</w:t>
      </w:r>
    </w:p>
    <w:p>
      <w:pPr>
        <w:spacing w:line="440" w:lineRule="exact"/>
        <w:ind w:firstLine="420" w:firstLineChars="200"/>
        <w:rPr>
          <w:rFonts w:hint="eastAsia" w:hAnsi="宋体"/>
          <w:color w:val="auto"/>
          <w:szCs w:val="24"/>
        </w:rPr>
      </w:pPr>
      <w:r>
        <w:rPr>
          <w:rFonts w:hint="eastAsia" w:hAnsi="宋体"/>
          <w:color w:val="auto"/>
          <w:szCs w:val="24"/>
        </w:rPr>
        <w:t>签字：                            签字：</w:t>
      </w:r>
    </w:p>
    <w:p>
      <w:pPr>
        <w:spacing w:line="440" w:lineRule="exact"/>
        <w:ind w:firstLine="420" w:firstLineChars="200"/>
        <w:rPr>
          <w:rFonts w:hint="eastAsia" w:hAnsi="宋体"/>
          <w:color w:val="auto"/>
          <w:szCs w:val="24"/>
        </w:rPr>
      </w:pPr>
      <w:r>
        <w:rPr>
          <w:rFonts w:hint="eastAsia" w:hAnsi="宋体"/>
          <w:color w:val="auto"/>
          <w:szCs w:val="24"/>
        </w:rPr>
        <w:t>电话：                            电话：</w:t>
      </w:r>
    </w:p>
    <w:p>
      <w:pPr>
        <w:widowControl/>
        <w:spacing w:line="560" w:lineRule="exact"/>
        <w:ind w:firstLine="420" w:firstLineChars="200"/>
        <w:jc w:val="left"/>
        <w:rPr>
          <w:rFonts w:hint="eastAsia" w:hAnsi="宋体" w:cs="@仿宋_GB2312"/>
          <w:bCs/>
          <w:color w:val="auto"/>
          <w:szCs w:val="20"/>
        </w:rPr>
      </w:pPr>
      <w:bookmarkStart w:id="328" w:name="_Toc331685783"/>
      <w:r>
        <w:rPr>
          <w:rFonts w:hint="eastAsia" w:hAnsi="宋体" w:cs="@仿宋_GB2312"/>
          <w:bCs/>
          <w:color w:val="auto"/>
          <w:szCs w:val="20"/>
        </w:rPr>
        <w:t>时间：</w:t>
      </w:r>
      <w:r>
        <w:rPr>
          <w:rFonts w:hint="eastAsia" w:hAnsi="宋体" w:cs="@仿宋_GB2312"/>
          <w:bCs/>
          <w:color w:val="auto"/>
          <w:szCs w:val="20"/>
          <w:u w:val="single"/>
        </w:rPr>
        <w:t xml:space="preserve">  2025  </w:t>
      </w:r>
      <w:r>
        <w:rPr>
          <w:rFonts w:hint="eastAsia" w:hAnsi="宋体" w:cs="@仿宋_GB2312"/>
          <w:bCs/>
          <w:color w:val="auto"/>
          <w:szCs w:val="20"/>
        </w:rPr>
        <w:t>年</w:t>
      </w:r>
      <w:r>
        <w:rPr>
          <w:rFonts w:hint="eastAsia" w:hAnsi="宋体" w:cs="@仿宋_GB2312"/>
          <w:bCs/>
          <w:color w:val="auto"/>
          <w:szCs w:val="20"/>
          <w:u w:val="single"/>
        </w:rPr>
        <w:t xml:space="preserve">    </w:t>
      </w:r>
      <w:r>
        <w:rPr>
          <w:rFonts w:hint="eastAsia" w:hAnsi="宋体" w:cs="@仿宋_GB2312"/>
          <w:bCs/>
          <w:color w:val="auto"/>
          <w:szCs w:val="20"/>
        </w:rPr>
        <w:t>月</w:t>
      </w:r>
      <w:r>
        <w:rPr>
          <w:rFonts w:hint="eastAsia" w:hAnsi="宋体" w:cs="@仿宋_GB2312"/>
          <w:bCs/>
          <w:color w:val="auto"/>
          <w:szCs w:val="20"/>
          <w:u w:val="single"/>
        </w:rPr>
        <w:t xml:space="preserve">    </w:t>
      </w:r>
      <w:r>
        <w:rPr>
          <w:rFonts w:hint="eastAsia" w:hAnsi="宋体" w:cs="@仿宋_GB2312"/>
          <w:bCs/>
          <w:color w:val="auto"/>
          <w:szCs w:val="20"/>
        </w:rPr>
        <w:t>日      时间：</w:t>
      </w:r>
      <w:r>
        <w:rPr>
          <w:rFonts w:hint="eastAsia" w:hAnsi="宋体" w:cs="@仿宋_GB2312"/>
          <w:bCs/>
          <w:color w:val="auto"/>
          <w:szCs w:val="20"/>
          <w:u w:val="single"/>
        </w:rPr>
        <w:t xml:space="preserve">  2025  </w:t>
      </w:r>
      <w:r>
        <w:rPr>
          <w:rFonts w:hint="eastAsia" w:hAnsi="宋体" w:cs="@仿宋_GB2312"/>
          <w:bCs/>
          <w:color w:val="auto"/>
          <w:szCs w:val="20"/>
        </w:rPr>
        <w:t>年</w:t>
      </w:r>
      <w:r>
        <w:rPr>
          <w:rFonts w:hint="eastAsia" w:hAnsi="宋体" w:cs="@仿宋_GB2312"/>
          <w:bCs/>
          <w:color w:val="auto"/>
          <w:szCs w:val="20"/>
          <w:u w:val="single"/>
        </w:rPr>
        <w:t xml:space="preserve">    </w:t>
      </w:r>
      <w:r>
        <w:rPr>
          <w:rFonts w:hint="eastAsia" w:hAnsi="宋体" w:cs="@仿宋_GB2312"/>
          <w:bCs/>
          <w:color w:val="auto"/>
          <w:szCs w:val="20"/>
        </w:rPr>
        <w:t>月</w:t>
      </w:r>
      <w:r>
        <w:rPr>
          <w:rFonts w:hint="eastAsia" w:hAnsi="宋体" w:cs="@仿宋_GB2312"/>
          <w:bCs/>
          <w:color w:val="auto"/>
          <w:szCs w:val="20"/>
          <w:u w:val="single"/>
        </w:rPr>
        <w:t xml:space="preserve">    </w:t>
      </w:r>
      <w:r>
        <w:rPr>
          <w:rFonts w:hint="eastAsia" w:hAnsi="宋体" w:cs="@仿宋_GB2312"/>
          <w:bCs/>
          <w:color w:val="auto"/>
          <w:szCs w:val="20"/>
        </w:rPr>
        <w:t>日</w:t>
      </w:r>
      <w:bookmarkEnd w:id="328"/>
    </w:p>
    <w:p>
      <w:pPr>
        <w:spacing w:line="440" w:lineRule="exact"/>
        <w:ind w:firstLine="420" w:firstLineChars="200"/>
        <w:rPr>
          <w:rFonts w:hint="eastAsia" w:hAnsi="宋体"/>
          <w:color w:val="auto"/>
          <w:szCs w:val="24"/>
        </w:rPr>
      </w:pPr>
    </w:p>
    <w:p>
      <w:pPr>
        <w:pStyle w:val="3"/>
        <w:pageBreakBefore/>
        <w:spacing w:before="240" w:beforeLines="100" w:after="240" w:afterLines="100" w:line="500" w:lineRule="exact"/>
        <w:jc w:val="center"/>
        <w:rPr>
          <w:rFonts w:eastAsia="黑体"/>
          <w:color w:val="auto"/>
          <w:kern w:val="2"/>
          <w:szCs w:val="32"/>
        </w:rPr>
      </w:pPr>
      <w:r>
        <w:rPr>
          <w:rFonts w:eastAsia="黑体"/>
          <w:color w:val="auto"/>
          <w:kern w:val="2"/>
          <w:szCs w:val="32"/>
        </w:rPr>
        <w:t>第五章  供货要求</w:t>
      </w:r>
      <w:bookmarkEnd w:id="326"/>
      <w:bookmarkEnd w:id="327"/>
    </w:p>
    <w:p>
      <w:pPr>
        <w:keepNext/>
        <w:keepLines/>
        <w:spacing w:before="120" w:beforeLines="50" w:after="120" w:afterLines="50" w:line="500" w:lineRule="exact"/>
        <w:jc w:val="left"/>
        <w:outlineLvl w:val="1"/>
        <w:rPr>
          <w:rFonts w:hint="eastAsia" w:ascii="宋体" w:hAnsi="宋体" w:eastAsia="宋体" w:cs="Times New Roman"/>
          <w:b/>
          <w:color w:val="auto"/>
          <w:kern w:val="2"/>
          <w:sz w:val="21"/>
          <w:szCs w:val="21"/>
          <w:lang w:val="en-US" w:eastAsia="zh-CN" w:bidi="ar-SA"/>
        </w:rPr>
      </w:pPr>
      <w:bookmarkStart w:id="329" w:name="_Toc501460778"/>
      <w:bookmarkStart w:id="330" w:name="_Toc782"/>
      <w:bookmarkStart w:id="331" w:name="_Toc24421"/>
      <w:bookmarkStart w:id="332" w:name="_Toc22297"/>
      <w:r>
        <w:rPr>
          <w:rFonts w:hint="eastAsia" w:ascii="宋体" w:hAnsi="宋体" w:eastAsia="宋体" w:cs="Times New Roman"/>
          <w:b/>
          <w:color w:val="auto"/>
          <w:kern w:val="2"/>
          <w:sz w:val="21"/>
          <w:szCs w:val="21"/>
          <w:lang w:val="en-US" w:eastAsia="zh-CN" w:bidi="ar-SA"/>
        </w:rPr>
        <w:t>一、项目概况</w:t>
      </w:r>
      <w:bookmarkEnd w:id="329"/>
      <w:bookmarkEnd w:id="330"/>
      <w:bookmarkEnd w:id="331"/>
      <w:bookmarkEnd w:id="332"/>
    </w:p>
    <w:p>
      <w:pPr>
        <w:keepNext w:val="0"/>
        <w:keepLines w:val="0"/>
        <w:widowControl/>
        <w:suppressLineNumbers w:val="0"/>
        <w:ind w:firstLine="420" w:firstLineChars="200"/>
        <w:jc w:val="left"/>
        <w:rPr>
          <w:rFonts w:hint="eastAsia" w:ascii="宋体" w:hAnsi="宋体" w:eastAsia="宋体" w:cs="宋体"/>
          <w:bCs/>
          <w:color w:val="auto"/>
          <w:sz w:val="21"/>
          <w:szCs w:val="21"/>
        </w:rPr>
      </w:pPr>
      <w:bookmarkStart w:id="333" w:name="_Toc9753"/>
      <w:bookmarkStart w:id="334" w:name="_Toc501460779"/>
      <w:bookmarkStart w:id="335" w:name="_Toc24026"/>
      <w:bookmarkStart w:id="336" w:name="_Toc30199"/>
      <w:r>
        <w:rPr>
          <w:rFonts w:hint="eastAsia" w:cs="宋体"/>
          <w:bCs/>
          <w:color w:val="auto"/>
          <w:sz w:val="21"/>
          <w:szCs w:val="21"/>
          <w:lang w:val="en-US" w:eastAsia="zh-CN"/>
        </w:rPr>
        <w:t>庐江县文旅投资有限公司有云里安凹与云溪山舍民宿</w:t>
      </w:r>
      <w:r>
        <w:rPr>
          <w:rFonts w:hint="eastAsia" w:ascii="宋体" w:hAnsi="宋体" w:eastAsia="宋体" w:cs="宋体"/>
          <w:color w:val="auto"/>
          <w:kern w:val="0"/>
          <w:sz w:val="21"/>
          <w:szCs w:val="21"/>
          <w:lang w:val="en-US" w:eastAsia="zh-CN" w:bidi="ar"/>
        </w:rPr>
        <w:t>，承接商务、会议、餐饮等类型的宾客，有客房间数51间，餐饮包厢数量9个，有会议室4个。</w:t>
      </w:r>
    </w:p>
    <w:bookmarkEnd w:id="333"/>
    <w:bookmarkEnd w:id="334"/>
    <w:bookmarkEnd w:id="335"/>
    <w:bookmarkEnd w:id="336"/>
    <w:p>
      <w:pPr>
        <w:keepNext/>
        <w:keepLines/>
        <w:spacing w:before="120" w:beforeLines="50" w:after="120" w:afterLines="50" w:line="500" w:lineRule="exact"/>
        <w:jc w:val="left"/>
        <w:outlineLvl w:val="1"/>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二、货物需求一览表</w:t>
      </w:r>
    </w:p>
    <w:tbl>
      <w:tblPr>
        <w:tblStyle w:val="54"/>
        <w:tblW w:w="10337" w:type="dxa"/>
        <w:tblInd w:w="-9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741"/>
        <w:gridCol w:w="1319"/>
        <w:gridCol w:w="1211"/>
        <w:gridCol w:w="1870"/>
        <w:gridCol w:w="1139"/>
        <w:gridCol w:w="1771"/>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7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类别</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品名</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暂定数量</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含税单价（元）</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调味品</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无碘盐</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中盐</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357</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老抽</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2.8L/桶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怡稼红烧王</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生抽</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1.75L/桶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海天金标生抽</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黄酒</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9L/桶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绍兴桶装</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陈醋</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恒顺</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白醋</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恒顺</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辣椒酱</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920g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辣妹子</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蚕豆辣酱</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1.6KG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胡玉美</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黄豆酱</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800g/瓶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海鲜酱</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排骨酱</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260KG/瓶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海天锦上鲜</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辣妹子</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920g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番茄沙司</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660g/瓶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克亚面</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南乳汁</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560g/瓶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鼎丰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蒸鱼豆豉</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1.9L/瓶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港顺</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麻油</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300M/瓶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354</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蚝油</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680M/瓶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锦珍豆瓣酱</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胡椒粉</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400G/袋</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生粉</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25KG/袋</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老干妈鸡肉酱</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260G/袋</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孜然粉</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老兵剁椒</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3000G/桶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东古一品鲜</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菌王汤包</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60g/包</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蜂蜜</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950ml</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恒慈源</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火锅底料</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300G/袋</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蒸肉米粉</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4540G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梁大妈450g</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黄豆酱</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800g/桶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黑胡椒汁</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2.3KG/桶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家乐</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鸡汁</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550G/瓶</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家乐</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辣鲜露</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448G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味椒盐</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甜面酱</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450g/袋</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芝麻油</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240ml</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354</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白糖</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50KG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冰糖</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38.04</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十三香</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胡椒粉</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大蒜粉</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640g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味好美</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麻辣鲜</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酸汤酱</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1.9L</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白将</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鸡精</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天天乐</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三五火锅料</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150g/包</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味精</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大老王</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花生米</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308.4</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米面油</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大豆油</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10LX2</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福临门非转大豆油</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菜籽油</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福临门非转基因菜籽油</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丝苗米</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25KG/袋</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小米</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米面</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770.44</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紫菜</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60g/包</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海称王</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糯米</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农家山芋粉</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350.98</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芡实</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绿豆</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67.06</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干黄豆</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197.9</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鹿茸菌</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龙口粉丝</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鸣阳200g/包</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鸣阳200g</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干胡萝卜丝</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13.98</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干槐树花</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酸奶</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板</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伊利，蒙牛</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挂面</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1kg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今麦郎</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炒米</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405</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鱼酸菜</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400g</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鲜奇</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小米酥</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玉米饼</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125g/包</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干笋衣</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干笋丝</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79.4</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二锅头</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500ml</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红星</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圆锅巴</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农家圆锅巴</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米粉</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371</w:t>
            </w:r>
          </w:p>
        </w:tc>
        <w:tc>
          <w:tcPr>
            <w:tcW w:w="1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bl>
    <w:p>
      <w:pPr>
        <w:pStyle w:val="50"/>
        <w:spacing w:before="0" w:beforeAutospacing="0" w:after="0" w:afterAutospacing="0" w:line="360" w:lineRule="auto"/>
        <w:rPr>
          <w:rFonts w:hint="eastAsia" w:ascii="宋体" w:hAnsi="宋体" w:eastAsia="宋体"/>
          <w:b/>
          <w:color w:val="auto"/>
          <w:sz w:val="21"/>
          <w:szCs w:val="21"/>
          <w:lang w:val="en-US" w:eastAsia="zh-CN"/>
        </w:rPr>
      </w:pPr>
    </w:p>
    <w:p>
      <w:pPr>
        <w:pStyle w:val="50"/>
        <w:spacing w:before="0" w:beforeAutospacing="0" w:after="0" w:afterAutospacing="0" w:line="360" w:lineRule="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三、招标要求</w:t>
      </w:r>
    </w:p>
    <w:p>
      <w:pPr>
        <w:pStyle w:val="50"/>
        <w:spacing w:before="0" w:beforeAutospacing="0" w:after="0" w:afterAutospacing="0" w:line="360" w:lineRule="auto"/>
        <w:ind w:firstLine="420" w:firstLineChars="200"/>
        <w:rPr>
          <w:rFonts w:hint="eastAsia"/>
          <w:color w:val="auto"/>
          <w:sz w:val="21"/>
          <w:szCs w:val="21"/>
          <w:highlight w:val="none"/>
        </w:rPr>
      </w:pPr>
      <w:r>
        <w:rPr>
          <w:rFonts w:hint="eastAsia" w:cs="宋体"/>
          <w:color w:val="auto"/>
          <w:sz w:val="21"/>
          <w:szCs w:val="21"/>
        </w:rPr>
        <w:t>1</w:t>
      </w:r>
      <w:r>
        <w:rPr>
          <w:rFonts w:hint="eastAsia" w:cs="宋体"/>
          <w:color w:val="auto"/>
          <w:sz w:val="21"/>
          <w:szCs w:val="21"/>
          <w:lang w:val="en-US" w:eastAsia="zh-CN"/>
        </w:rPr>
        <w:t>.</w:t>
      </w:r>
      <w:r>
        <w:rPr>
          <w:rFonts w:hint="eastAsia"/>
          <w:color w:val="auto"/>
          <w:sz w:val="21"/>
          <w:szCs w:val="21"/>
          <w:highlight w:val="none"/>
        </w:rPr>
        <w:t>本次招标，选择一家供货单位，按综合评分由高到低排名第一为中标单位。每季度定期对中标单位的产品质量、服务质量进行评价，如中标单位产品质量或服务质量不佳，招标方有权取消该中标单位的合作，并从本次招标排名中按排名顺序由下一家替补。</w:t>
      </w:r>
    </w:p>
    <w:p>
      <w:pPr>
        <w:pStyle w:val="5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2、</w:t>
      </w:r>
      <w:r>
        <w:rPr>
          <w:color w:val="auto"/>
          <w:sz w:val="21"/>
          <w:szCs w:val="21"/>
          <w:highlight w:val="none"/>
        </w:rPr>
        <w:t>报价、定价流程及标准：</w:t>
      </w:r>
      <w:r>
        <w:rPr>
          <w:rFonts w:hint="eastAsia"/>
          <w:color w:val="auto"/>
          <w:sz w:val="21"/>
          <w:szCs w:val="21"/>
          <w:highlight w:val="none"/>
        </w:rPr>
        <w:t>招标方</w:t>
      </w:r>
      <w:r>
        <w:rPr>
          <w:color w:val="auto"/>
          <w:sz w:val="21"/>
          <w:szCs w:val="21"/>
          <w:highlight w:val="none"/>
        </w:rPr>
        <w:t>每个月</w:t>
      </w:r>
      <w:r>
        <w:rPr>
          <w:rFonts w:hint="eastAsia"/>
          <w:color w:val="auto"/>
          <w:sz w:val="21"/>
          <w:szCs w:val="21"/>
          <w:highlight w:val="none"/>
        </w:rPr>
        <w:t>组织</w:t>
      </w:r>
      <w:r>
        <w:rPr>
          <w:color w:val="auto"/>
          <w:sz w:val="21"/>
          <w:szCs w:val="21"/>
          <w:highlight w:val="none"/>
        </w:rPr>
        <w:t>一次</w:t>
      </w:r>
      <w:r>
        <w:rPr>
          <w:rFonts w:hint="eastAsia"/>
          <w:color w:val="auto"/>
          <w:sz w:val="21"/>
          <w:szCs w:val="21"/>
          <w:highlight w:val="none"/>
        </w:rPr>
        <w:t>市场询价</w:t>
      </w:r>
      <w:r>
        <w:rPr>
          <w:color w:val="auto"/>
          <w:sz w:val="21"/>
          <w:szCs w:val="21"/>
          <w:highlight w:val="none"/>
        </w:rPr>
        <w:t>，</w:t>
      </w:r>
      <w:r>
        <w:rPr>
          <w:rFonts w:hint="eastAsia"/>
          <w:color w:val="auto"/>
          <w:sz w:val="21"/>
          <w:szCs w:val="21"/>
          <w:highlight w:val="none"/>
        </w:rPr>
        <w:t>再乘以中标</w:t>
      </w:r>
      <w:r>
        <w:rPr>
          <w:color w:val="auto"/>
          <w:sz w:val="21"/>
          <w:szCs w:val="21"/>
          <w:highlight w:val="none"/>
        </w:rPr>
        <w:t>人</w:t>
      </w:r>
      <w:r>
        <w:rPr>
          <w:rFonts w:hint="eastAsia"/>
          <w:color w:val="auto"/>
          <w:sz w:val="21"/>
          <w:szCs w:val="21"/>
          <w:highlight w:val="none"/>
        </w:rPr>
        <w:t>的中标结算费率</w:t>
      </w:r>
      <w:r>
        <w:rPr>
          <w:color w:val="auto"/>
          <w:sz w:val="21"/>
          <w:szCs w:val="21"/>
          <w:highlight w:val="none"/>
        </w:rPr>
        <w:t>，作为最终的定价结果，定价确认后，涨跌与否不允许调价，特殊情况需调价的必须经过单项审批后方可调价。</w:t>
      </w:r>
    </w:p>
    <w:p>
      <w:pPr>
        <w:pStyle w:val="50"/>
        <w:spacing w:before="0" w:beforeAutospacing="0" w:after="0" w:afterAutospacing="0" w:line="360" w:lineRule="auto"/>
        <w:ind w:firstLine="420" w:firstLineChars="200"/>
        <w:rPr>
          <w:color w:val="auto"/>
          <w:sz w:val="21"/>
          <w:szCs w:val="21"/>
        </w:rPr>
      </w:pPr>
      <w:r>
        <w:rPr>
          <w:rFonts w:hint="eastAsia" w:cs="宋体"/>
          <w:color w:val="auto"/>
          <w:sz w:val="21"/>
          <w:szCs w:val="21"/>
        </w:rPr>
        <w:t>3、</w:t>
      </w:r>
      <w:r>
        <w:rPr>
          <w:color w:val="auto"/>
          <w:sz w:val="21"/>
          <w:szCs w:val="21"/>
        </w:rPr>
        <w:t>送货时间的要求：具体送货时间以</w:t>
      </w:r>
      <w:r>
        <w:rPr>
          <w:rFonts w:hint="eastAsia"/>
          <w:color w:val="auto"/>
          <w:sz w:val="21"/>
          <w:szCs w:val="21"/>
        </w:rPr>
        <w:t>委托人</w:t>
      </w:r>
      <w:r>
        <w:rPr>
          <w:color w:val="auto"/>
          <w:sz w:val="21"/>
          <w:szCs w:val="21"/>
        </w:rPr>
        <w:t>通知为准，并保质保量将货物送达委托人指定地点，按照相关规定须进行卫生检验检疫的，应同时提供依法有效的该批货物经检验合格的证明等待验收。委托人紧急需要的品种，必须在委托人通知后</w:t>
      </w:r>
      <w:r>
        <w:rPr>
          <w:rFonts w:hint="eastAsia"/>
          <w:color w:val="auto"/>
          <w:sz w:val="21"/>
          <w:szCs w:val="21"/>
        </w:rPr>
        <w:t>次</w:t>
      </w:r>
      <w:r>
        <w:rPr>
          <w:color w:val="auto"/>
          <w:sz w:val="21"/>
          <w:szCs w:val="21"/>
        </w:rPr>
        <w:t>日早上送至委托人指定地点。</w:t>
      </w:r>
    </w:p>
    <w:p>
      <w:pPr>
        <w:pStyle w:val="50"/>
        <w:spacing w:before="0" w:beforeAutospacing="0" w:after="0" w:afterAutospacing="0" w:line="360" w:lineRule="auto"/>
        <w:ind w:firstLine="420" w:firstLineChars="200"/>
        <w:rPr>
          <w:rFonts w:hint="eastAsia"/>
          <w:color w:val="auto"/>
          <w:sz w:val="21"/>
          <w:szCs w:val="21"/>
        </w:rPr>
      </w:pPr>
      <w:r>
        <w:rPr>
          <w:rFonts w:hint="eastAsia" w:cs="宋体"/>
          <w:color w:val="auto"/>
          <w:sz w:val="21"/>
          <w:szCs w:val="21"/>
        </w:rPr>
        <w:t>4、</w:t>
      </w:r>
      <w:r>
        <w:rPr>
          <w:color w:val="auto"/>
          <w:sz w:val="21"/>
          <w:szCs w:val="21"/>
        </w:rPr>
        <w:t>自购补充差价的要求：自购补充差价即投标人因各种原因不能按照委托人要求按时按质按量送货时，由委托人自行采购，若委托人自行采购价格和双方定价价格出现差价，多出部分由</w:t>
      </w:r>
      <w:r>
        <w:rPr>
          <w:rFonts w:hint="eastAsia"/>
          <w:color w:val="auto"/>
          <w:sz w:val="21"/>
          <w:szCs w:val="21"/>
        </w:rPr>
        <w:t>中标</w:t>
      </w:r>
      <w:r>
        <w:rPr>
          <w:color w:val="auto"/>
          <w:sz w:val="21"/>
          <w:szCs w:val="21"/>
        </w:rPr>
        <w:t>人承担，委托人因此产生的其他费用（包括但不限于交通费、运输费等）也应由</w:t>
      </w:r>
      <w:r>
        <w:rPr>
          <w:rFonts w:hint="eastAsia"/>
          <w:color w:val="auto"/>
          <w:sz w:val="21"/>
          <w:szCs w:val="21"/>
        </w:rPr>
        <w:t>中标人</w:t>
      </w:r>
      <w:r>
        <w:rPr>
          <w:color w:val="auto"/>
          <w:sz w:val="21"/>
          <w:szCs w:val="21"/>
        </w:rPr>
        <w:t>承担。委托人将在支付货款时直接扣除此项差价及费用。</w:t>
      </w:r>
    </w:p>
    <w:p>
      <w:pPr>
        <w:pStyle w:val="50"/>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5、中标人评估标准（见附件）：投标人须承诺如中标后，日常合作中遵守并执行委托人制定的供应商评估标准中的各项规定。</w:t>
      </w:r>
    </w:p>
    <w:p>
      <w:pPr>
        <w:pStyle w:val="50"/>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6、违约：中标人违反合同义务时，应按总结算金额的20%支付违约金。</w:t>
      </w:r>
    </w:p>
    <w:p>
      <w:pPr>
        <w:pStyle w:val="50"/>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7、因中标人提供货物造成委托人或第三方人身或财产等损害的，由中标人承担全部责任（包括但不限于赔偿委托人的直接或间接经济损失）。</w:t>
      </w:r>
    </w:p>
    <w:p>
      <w:pPr>
        <w:pStyle w:val="50"/>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8、</w:t>
      </w:r>
      <w:r>
        <w:rPr>
          <w:rFonts w:cs="宋体"/>
          <w:color w:val="auto"/>
          <w:sz w:val="21"/>
          <w:szCs w:val="21"/>
        </w:rPr>
        <w:t>投标人</w:t>
      </w:r>
      <w:r>
        <w:rPr>
          <w:rFonts w:hint="eastAsia" w:cs="宋体"/>
          <w:color w:val="auto"/>
          <w:sz w:val="21"/>
          <w:szCs w:val="21"/>
        </w:rPr>
        <w:t>需在开标一览表内报价。</w:t>
      </w:r>
    </w:p>
    <w:p>
      <w:pPr>
        <w:spacing w:line="360" w:lineRule="auto"/>
        <w:ind w:firstLine="413" w:firstLineChars="196"/>
        <w:rPr>
          <w:rFonts w:ascii="宋体" w:hAnsi="宋体"/>
          <w:b/>
          <w:color w:val="auto"/>
          <w:sz w:val="21"/>
          <w:szCs w:val="21"/>
        </w:rPr>
      </w:pPr>
      <w:bookmarkStart w:id="337" w:name="_Toc501460780"/>
      <w:bookmarkStart w:id="338" w:name="_Toc21575"/>
      <w:bookmarkStart w:id="339" w:name="_Toc15594"/>
      <w:bookmarkStart w:id="340" w:name="_Toc31250"/>
      <w:r>
        <w:rPr>
          <w:rFonts w:hint="eastAsia" w:ascii="宋体" w:hAnsi="宋体" w:cs="宋体"/>
          <w:b/>
          <w:color w:val="auto"/>
          <w:sz w:val="21"/>
          <w:szCs w:val="21"/>
          <w:lang w:val="en-US" w:eastAsia="zh-CN"/>
        </w:rPr>
        <w:t>四</w:t>
      </w:r>
      <w:r>
        <w:rPr>
          <w:rFonts w:hint="eastAsia" w:ascii="宋体" w:hAnsi="宋体" w:cs="宋体"/>
          <w:b/>
          <w:color w:val="auto"/>
          <w:sz w:val="21"/>
          <w:szCs w:val="21"/>
        </w:rPr>
        <w:t xml:space="preserve">.  </w:t>
      </w:r>
      <w:r>
        <w:rPr>
          <w:rFonts w:hint="eastAsia" w:ascii="宋体" w:hAnsi="宋体"/>
          <w:b/>
          <w:color w:val="auto"/>
          <w:sz w:val="21"/>
          <w:szCs w:val="21"/>
        </w:rPr>
        <w:t>报价要求</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1.</w:t>
      </w:r>
      <w:r>
        <w:rPr>
          <w:rFonts w:hint="eastAsia"/>
          <w:color w:val="auto"/>
          <w:sz w:val="21"/>
          <w:szCs w:val="21"/>
        </w:rPr>
        <w:t xml:space="preserve"> </w:t>
      </w:r>
      <w:r>
        <w:rPr>
          <w:rFonts w:hint="eastAsia" w:ascii="宋体" w:hAnsi="宋体"/>
          <w:color w:val="auto"/>
          <w:sz w:val="21"/>
          <w:szCs w:val="21"/>
        </w:rPr>
        <w:t>本项目采用费率报价，投标费率不得高</w:t>
      </w:r>
      <w:r>
        <w:rPr>
          <w:rFonts w:hint="eastAsia" w:ascii="宋体" w:hAnsi="宋体"/>
          <w:color w:val="auto"/>
          <w:sz w:val="21"/>
          <w:szCs w:val="21"/>
          <w:u w:val="none"/>
        </w:rPr>
        <w:t>于</w:t>
      </w:r>
      <w:r>
        <w:rPr>
          <w:rFonts w:ascii="宋体" w:hAnsi="宋体"/>
          <w:color w:val="auto"/>
          <w:sz w:val="21"/>
          <w:szCs w:val="21"/>
          <w:u w:val="single"/>
        </w:rPr>
        <w:t xml:space="preserve"> </w:t>
      </w:r>
      <w:r>
        <w:rPr>
          <w:rFonts w:hint="eastAsia" w:ascii="宋体" w:hAnsi="宋体"/>
          <w:color w:val="auto"/>
          <w:sz w:val="21"/>
          <w:szCs w:val="21"/>
          <w:u w:val="single"/>
          <w:lang w:val="en-US" w:eastAsia="zh-CN"/>
        </w:rPr>
        <w:t>100</w:t>
      </w:r>
      <w:r>
        <w:rPr>
          <w:rFonts w:ascii="宋体" w:hAnsi="宋体"/>
          <w:color w:val="auto"/>
          <w:sz w:val="21"/>
          <w:szCs w:val="21"/>
          <w:u w:val="single"/>
        </w:rPr>
        <w:t xml:space="preserve"> </w:t>
      </w:r>
      <w:r>
        <w:rPr>
          <w:rFonts w:hint="eastAsia" w:ascii="宋体" w:hAnsi="宋体"/>
          <w:color w:val="auto"/>
          <w:sz w:val="21"/>
          <w:szCs w:val="21"/>
          <w:u w:val="none"/>
        </w:rPr>
        <w:t>%</w:t>
      </w:r>
      <w:r>
        <w:rPr>
          <w:rFonts w:hint="eastAsia" w:ascii="宋体" w:hAnsi="宋体"/>
          <w:color w:val="auto"/>
          <w:sz w:val="21"/>
          <w:szCs w:val="21"/>
        </w:rPr>
        <w:t>之间，根据中标费率计算结算价款。</w:t>
      </w:r>
      <w:r>
        <w:rPr>
          <w:rFonts w:hint="eastAsia" w:ascii="宋体" w:hAnsi="宋体"/>
          <w:color w:val="auto"/>
          <w:sz w:val="21"/>
          <w:szCs w:val="21"/>
          <w:highlight w:val="none"/>
          <w:u w:val="single"/>
        </w:rPr>
        <w:t>本项目以投标人最终投标结算费率作为定标依据。</w:t>
      </w:r>
    </w:p>
    <w:p>
      <w:pPr>
        <w:pStyle w:val="53"/>
        <w:spacing w:after="0" w:line="360" w:lineRule="auto"/>
        <w:ind w:left="0" w:leftChars="0" w:firstLine="310" w:firstLineChars="147"/>
        <w:rPr>
          <w:rFonts w:hint="eastAsia" w:ascii="宋体" w:hAnsi="宋体" w:eastAsia="宋体"/>
          <w:b/>
          <w:color w:val="auto"/>
          <w:sz w:val="21"/>
          <w:szCs w:val="21"/>
        </w:rPr>
      </w:pPr>
      <w:r>
        <w:rPr>
          <w:rFonts w:hint="eastAsia" w:ascii="宋体" w:hAnsi="宋体" w:eastAsia="宋体"/>
          <w:b/>
          <w:color w:val="auto"/>
          <w:sz w:val="21"/>
          <w:szCs w:val="21"/>
          <w:lang w:val="en-US" w:eastAsia="zh-CN"/>
        </w:rPr>
        <w:t>五</w:t>
      </w:r>
      <w:r>
        <w:rPr>
          <w:rFonts w:hint="eastAsia" w:ascii="宋体" w:hAnsi="宋体" w:eastAsia="宋体"/>
          <w:b/>
          <w:color w:val="auto"/>
          <w:sz w:val="21"/>
          <w:szCs w:val="21"/>
        </w:rPr>
        <w:t>. 质量要求及验收标准：</w:t>
      </w:r>
    </w:p>
    <w:p>
      <w:pPr>
        <w:pStyle w:val="53"/>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1、所有产品的供货严格按照招标文件采购清单和技术要求进行，保证所供货产品质量及规格与招标文件中的清单及技术要求相一致，并符合国家、地方、行业相关的标准规范。</w:t>
      </w:r>
    </w:p>
    <w:p>
      <w:pPr>
        <w:pStyle w:val="53"/>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2、投标人所供产品均应满足招标文件技术要求，招标人未明确的产品材料均应达到国家或行业标准。所有用品须经委托人考察认可，方可供货。</w:t>
      </w:r>
    </w:p>
    <w:p>
      <w:pPr>
        <w:pStyle w:val="53"/>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3、所供产品将严格按招标文件技术要求中的材质进行验收。</w:t>
      </w:r>
    </w:p>
    <w:p>
      <w:pPr>
        <w:pStyle w:val="53"/>
        <w:numPr>
          <w:ilvl w:val="0"/>
          <w:numId w:val="3"/>
        </w:numPr>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中标人所供产品的材质、尺寸、外观颜色等规格参数，要严格遵照招标方提供的要求；</w:t>
      </w:r>
    </w:p>
    <w:p>
      <w:pPr>
        <w:pStyle w:val="53"/>
        <w:numPr>
          <w:ilvl w:val="0"/>
          <w:numId w:val="3"/>
        </w:numPr>
        <w:spacing w:after="0" w:line="360" w:lineRule="auto"/>
        <w:ind w:left="0" w:leftChars="0" w:firstLine="480"/>
        <w:rPr>
          <w:rFonts w:hint="eastAsia" w:ascii="宋体" w:hAnsi="宋体" w:eastAsia="宋体"/>
          <w:color w:val="auto"/>
          <w:sz w:val="21"/>
          <w:szCs w:val="21"/>
        </w:rPr>
      </w:pPr>
      <w:r>
        <w:rPr>
          <w:rFonts w:hint="eastAsia" w:ascii="宋体" w:hAnsi="宋体" w:eastAsia="宋体"/>
          <w:color w:val="auto"/>
          <w:sz w:val="21"/>
          <w:szCs w:val="21"/>
        </w:rPr>
        <w:t>供货的产品数量以货到现场，实收数量为准，如有缺失、破损，中标人无条件免费补货且不得影响招标方正常使用。</w:t>
      </w:r>
    </w:p>
    <w:bookmarkEnd w:id="337"/>
    <w:bookmarkEnd w:id="338"/>
    <w:bookmarkEnd w:id="339"/>
    <w:bookmarkEnd w:id="340"/>
    <w:p>
      <w:pPr>
        <w:pStyle w:val="2"/>
        <w:spacing w:before="0" w:after="0" w:line="500" w:lineRule="exact"/>
        <w:rPr>
          <w:rFonts w:hint="eastAsia" w:ascii="宋体" w:hAnsi="宋体" w:eastAsia="宋体" w:cs="Times New Roman"/>
          <w:b/>
          <w:bCs/>
          <w:color w:val="auto"/>
          <w:kern w:val="2"/>
          <w:sz w:val="21"/>
          <w:szCs w:val="21"/>
          <w:lang w:val="en-US" w:eastAsia="zh-CN" w:bidi="ar-SA"/>
        </w:rPr>
      </w:pPr>
      <w:bookmarkStart w:id="341" w:name="_Toc19612"/>
      <w:bookmarkStart w:id="342" w:name="_Toc29979"/>
      <w:r>
        <w:rPr>
          <w:rFonts w:hint="eastAsia" w:ascii="宋体" w:hAnsi="宋体" w:eastAsia="宋体" w:cs="Times New Roman"/>
          <w:b/>
          <w:bCs/>
          <w:color w:val="auto"/>
          <w:kern w:val="2"/>
          <w:sz w:val="21"/>
          <w:szCs w:val="21"/>
          <w:lang w:val="en-US" w:eastAsia="zh-CN" w:bidi="ar-SA"/>
        </w:rPr>
        <w:t>六、付款方式</w:t>
      </w:r>
      <w:bookmarkEnd w:id="341"/>
      <w:bookmarkEnd w:id="34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1"/>
          <w:lang w:val="en-US" w:eastAsia="zh-CN"/>
        </w:rPr>
      </w:pPr>
      <w:bookmarkStart w:id="343" w:name="_Toc17242"/>
      <w:bookmarkStart w:id="344" w:name="_Toc27891"/>
      <w:r>
        <w:rPr>
          <w:rFonts w:hint="eastAsia" w:asciiTheme="minorEastAsia" w:hAnsiTheme="minorEastAsia" w:eastAsiaTheme="minorEastAsia" w:cstheme="minorEastAsia"/>
          <w:color w:val="auto"/>
          <w:kern w:val="2"/>
          <w:sz w:val="21"/>
          <w:szCs w:val="21"/>
        </w:rPr>
        <w:t>结算费率为    ，按月结算，次月结上月货款。安徽云里安凹乡村旅游发展有限公司以及庐江县文旅投资有限公司云里安凹云溪山舍分公司根据实际供货、安装数量，按照既定单价分别付款。每月15日之前，甲乙双方必须对上个月的供货清单进行核对，并组织进行市场询价，经甲方在供货清单的对帐表上签字确认后，市场价格乘以费率即为最终结算金额，乙方应按甲方最终确认的结算额开具正规发票给甲方。货款支付前，乙方按照甲方审核确认后的金额，开具有效发票，并履行甲方计量支付流程。乙方指定账户的名称须是乙方单位，开具的发票单位也须是乙方单位。</w:t>
      </w:r>
    </w:p>
    <w:p>
      <w:pPr>
        <w:spacing w:line="500" w:lineRule="exact"/>
        <w:jc w:val="left"/>
        <w:rPr>
          <w:b/>
          <w:bCs/>
          <w:color w:val="auto"/>
          <w:sz w:val="21"/>
          <w:szCs w:val="21"/>
        </w:rPr>
      </w:pPr>
      <w:r>
        <w:rPr>
          <w:b/>
          <w:bCs/>
          <w:color w:val="auto"/>
          <w:sz w:val="21"/>
          <w:szCs w:val="21"/>
        </w:rPr>
        <w:t>在采购人付款前，中标人需向采购人交付等额的增值税专用发票，否则采购人有权拒绝或者延迟付款，且不承担违约责任。</w:t>
      </w:r>
    </w:p>
    <w:p>
      <w:pPr>
        <w:spacing w:line="500" w:lineRule="exact"/>
        <w:jc w:val="left"/>
        <w:rPr>
          <w:rFonts w:hint="eastAsia" w:ascii="宋体" w:hAnsi="宋体" w:cs="宋体"/>
          <w:b/>
          <w:bCs/>
          <w:color w:val="auto"/>
          <w:sz w:val="21"/>
          <w:szCs w:val="21"/>
        </w:rPr>
      </w:pPr>
      <w:r>
        <w:rPr>
          <w:b/>
          <w:bCs/>
          <w:color w:val="auto"/>
          <w:sz w:val="21"/>
          <w:szCs w:val="21"/>
        </w:rPr>
        <w:t>投标人提交的投标文件中如有关于付款条件的表述与招标文件规定不符，投标无效。</w:t>
      </w:r>
      <w:r>
        <w:rPr>
          <w:rFonts w:hint="eastAsia" w:ascii="宋体" w:hAnsi="宋体" w:cs="宋体"/>
          <w:b/>
          <w:bCs/>
          <w:color w:val="auto"/>
          <w:sz w:val="21"/>
          <w:szCs w:val="21"/>
        </w:rPr>
        <w:t xml:space="preserve">   </w:t>
      </w:r>
    </w:p>
    <w:bookmarkEnd w:id="343"/>
    <w:bookmarkEnd w:id="344"/>
    <w:p>
      <w:pPr>
        <w:bidi w:val="0"/>
        <w:jc w:val="center"/>
        <w:rPr>
          <w:rFonts w:eastAsia="黑体"/>
          <w:b w:val="0"/>
          <w:color w:val="auto"/>
        </w:rPr>
      </w:pPr>
      <w:r>
        <w:rPr>
          <w:color w:val="auto"/>
          <w:kern w:val="2"/>
          <w:sz w:val="21"/>
          <w:szCs w:val="21"/>
        </w:rPr>
        <w:br w:type="page"/>
      </w:r>
      <w:bookmarkStart w:id="345" w:name="_Toc24425"/>
      <w:bookmarkStart w:id="346" w:name="_Toc1894"/>
      <w:r>
        <w:rPr>
          <w:rFonts w:eastAsia="黑体"/>
          <w:color w:val="auto"/>
          <w:kern w:val="2"/>
          <w:sz w:val="32"/>
          <w:szCs w:val="32"/>
        </w:rPr>
        <w:t>第六章  投标文件格式</w:t>
      </w:r>
      <w:bookmarkEnd w:id="345"/>
      <w:bookmarkEnd w:id="346"/>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28"/>
          <w:szCs w:val="28"/>
        </w:rPr>
      </w:pPr>
      <w:r>
        <w:rPr>
          <w:rFonts w:eastAsia="黑体"/>
          <w:color w:val="auto"/>
          <w:sz w:val="32"/>
          <w:szCs w:val="32"/>
        </w:rPr>
        <w:br w:type="page"/>
      </w:r>
      <w:r>
        <w:rPr>
          <w:rFonts w:eastAsia="黑体"/>
          <w:color w:val="auto"/>
          <w:sz w:val="28"/>
          <w:szCs w:val="28"/>
          <w:u w:val="single"/>
        </w:rPr>
        <w:t>某招标项目名称</w:t>
      </w:r>
      <w:r>
        <w:rPr>
          <w:rFonts w:eastAsia="黑体"/>
          <w:color w:val="auto"/>
          <w:sz w:val="28"/>
          <w:szCs w:val="28"/>
        </w:rPr>
        <w:t>招标</w:t>
      </w:r>
    </w:p>
    <w:p>
      <w:pPr>
        <w:spacing w:line="500" w:lineRule="exact"/>
        <w:jc w:val="center"/>
        <w:rPr>
          <w:rFonts w:eastAsia="黑体"/>
          <w:color w:val="auto"/>
          <w:sz w:val="28"/>
          <w:szCs w:val="28"/>
        </w:rPr>
      </w:pPr>
    </w:p>
    <w:p>
      <w:pPr>
        <w:spacing w:line="500" w:lineRule="exact"/>
        <w:jc w:val="center"/>
        <w:rPr>
          <w:rFonts w:eastAsia="黑体"/>
          <w:b/>
          <w:color w:val="auto"/>
          <w:sz w:val="44"/>
          <w:szCs w:val="44"/>
        </w:rPr>
      </w:pPr>
      <w:bookmarkStart w:id="347" w:name="_Toc11124"/>
      <w:bookmarkStart w:id="348" w:name="_Toc23957"/>
    </w:p>
    <w:p>
      <w:pPr>
        <w:spacing w:line="500" w:lineRule="exact"/>
        <w:jc w:val="center"/>
        <w:rPr>
          <w:rFonts w:eastAsia="黑体"/>
          <w:b/>
          <w:color w:val="auto"/>
          <w:sz w:val="44"/>
          <w:szCs w:val="44"/>
        </w:rPr>
      </w:pPr>
    </w:p>
    <w:p>
      <w:pPr>
        <w:pStyle w:val="2"/>
        <w:spacing w:before="0" w:after="0" w:line="500" w:lineRule="exact"/>
        <w:jc w:val="center"/>
        <w:rPr>
          <w:rFonts w:hint="eastAsia" w:ascii="Times New Roman" w:hAnsi="Times New Roman" w:eastAsia="黑体"/>
          <w:b w:val="0"/>
          <w:color w:val="auto"/>
          <w:sz w:val="44"/>
          <w:szCs w:val="44"/>
          <w:lang w:eastAsia="zh-CN"/>
        </w:rPr>
      </w:pPr>
      <w:bookmarkStart w:id="349" w:name="_Toc31144"/>
      <w:r>
        <w:rPr>
          <w:rFonts w:ascii="Times New Roman" w:hAnsi="Times New Roman" w:eastAsia="黑体"/>
          <w:b w:val="0"/>
          <w:color w:val="auto"/>
          <w:sz w:val="44"/>
          <w:szCs w:val="44"/>
        </w:rPr>
        <w:t>投标文件</w:t>
      </w:r>
    </w:p>
    <w:p>
      <w:pPr>
        <w:pStyle w:val="2"/>
        <w:spacing w:before="0" w:after="0" w:line="500" w:lineRule="exact"/>
        <w:jc w:val="center"/>
        <w:rPr>
          <w:rFonts w:ascii="Times New Roman" w:hAnsi="Times New Roman" w:eastAsia="黑体"/>
          <w:b w:val="0"/>
          <w:color w:val="auto"/>
        </w:rPr>
      </w:pPr>
      <w:r>
        <w:rPr>
          <w:rFonts w:ascii="Times New Roman" w:hAnsi="Times New Roman" w:eastAsia="黑体"/>
          <w:b w:val="0"/>
          <w:color w:val="auto"/>
        </w:rPr>
        <w:t>（商务及技术文件）</w:t>
      </w:r>
      <w:bookmarkEnd w:id="347"/>
      <w:bookmarkEnd w:id="348"/>
      <w:bookmarkEnd w:id="349"/>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ind w:firstLine="1260" w:firstLineChars="450"/>
        <w:rPr>
          <w:rFonts w:eastAsia="黑体"/>
          <w:color w:val="auto"/>
          <w:sz w:val="28"/>
          <w:szCs w:val="28"/>
        </w:rPr>
      </w:pPr>
      <w:r>
        <w:rPr>
          <w:rFonts w:eastAsia="黑体"/>
          <w:color w:val="auto"/>
          <w:sz w:val="28"/>
          <w:szCs w:val="28"/>
        </w:rPr>
        <w:t>投标人：</w:t>
      </w:r>
      <w:r>
        <w:rPr>
          <w:rFonts w:eastAsia="黑体"/>
          <w:color w:val="auto"/>
          <w:sz w:val="28"/>
          <w:szCs w:val="28"/>
          <w:u w:val="single"/>
        </w:rPr>
        <w:t xml:space="preserve">                               </w:t>
      </w:r>
    </w:p>
    <w:p>
      <w:pPr>
        <w:spacing w:line="500" w:lineRule="exact"/>
        <w:jc w:val="center"/>
        <w:rPr>
          <w:rFonts w:eastAsia="黑体"/>
          <w:color w:val="auto"/>
          <w:sz w:val="28"/>
          <w:szCs w:val="28"/>
        </w:rPr>
      </w:pPr>
    </w:p>
    <w:p>
      <w:pPr>
        <w:spacing w:line="500" w:lineRule="exact"/>
        <w:jc w:val="center"/>
        <w:rPr>
          <w:rFonts w:eastAsia="黑体"/>
          <w:color w:val="auto"/>
          <w:sz w:val="28"/>
          <w:szCs w:val="28"/>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spacing w:before="120" w:beforeLines="50" w:after="120" w:afterLines="50" w:line="500" w:lineRule="exact"/>
        <w:jc w:val="center"/>
        <w:rPr>
          <w:b/>
          <w:color w:val="auto"/>
          <w:sz w:val="32"/>
          <w:szCs w:val="32"/>
        </w:rPr>
      </w:pPr>
      <w:r>
        <w:rPr>
          <w:rFonts w:eastAsia="黑体"/>
          <w:color w:val="auto"/>
          <w:sz w:val="28"/>
          <w:szCs w:val="28"/>
        </w:rPr>
        <w:br w:type="page"/>
      </w:r>
      <w:bookmarkStart w:id="350" w:name="_Toc524462521"/>
      <w:bookmarkStart w:id="351" w:name="_Toc530142180"/>
      <w:bookmarkStart w:id="352" w:name="_Toc26700787"/>
      <w:bookmarkStart w:id="353" w:name="_Toc479262713"/>
      <w:r>
        <w:rPr>
          <w:b/>
          <w:color w:val="auto"/>
          <w:sz w:val="32"/>
          <w:szCs w:val="32"/>
        </w:rPr>
        <w:t>评审因素索引表</w:t>
      </w:r>
      <w:bookmarkEnd w:id="350"/>
      <w:bookmarkEnd w:id="351"/>
      <w:bookmarkEnd w:id="352"/>
      <w:bookmarkEnd w:id="353"/>
    </w:p>
    <w:tbl>
      <w:tblPr>
        <w:tblStyle w:val="54"/>
        <w:tblW w:w="8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798"/>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b/>
                <w:color w:val="auto"/>
                <w:sz w:val="24"/>
              </w:rPr>
            </w:pPr>
            <w:bookmarkStart w:id="354" w:name="_Toc256691567"/>
            <w:bookmarkStart w:id="355" w:name="_Toc256695443"/>
            <w:r>
              <w:rPr>
                <w:b/>
                <w:color w:val="auto"/>
                <w:sz w:val="24"/>
              </w:rPr>
              <w:t>序号</w:t>
            </w:r>
            <w:bookmarkEnd w:id="354"/>
            <w:bookmarkEnd w:id="355"/>
          </w:p>
        </w:tc>
        <w:tc>
          <w:tcPr>
            <w:tcW w:w="3798" w:type="dxa"/>
            <w:noWrap w:val="0"/>
            <w:vAlign w:val="center"/>
          </w:tcPr>
          <w:p>
            <w:pPr>
              <w:spacing w:line="500" w:lineRule="exact"/>
              <w:jc w:val="center"/>
              <w:rPr>
                <w:b/>
                <w:color w:val="auto"/>
                <w:sz w:val="24"/>
              </w:rPr>
            </w:pPr>
            <w:bookmarkStart w:id="356" w:name="_Toc256695444"/>
            <w:bookmarkStart w:id="357" w:name="_Toc256691568"/>
            <w:r>
              <w:rPr>
                <w:b/>
                <w:color w:val="auto"/>
                <w:sz w:val="24"/>
              </w:rPr>
              <w:t>评审因素</w:t>
            </w:r>
            <w:bookmarkEnd w:id="356"/>
            <w:bookmarkEnd w:id="357"/>
          </w:p>
        </w:tc>
        <w:tc>
          <w:tcPr>
            <w:tcW w:w="2649" w:type="dxa"/>
            <w:noWrap w:val="0"/>
            <w:vAlign w:val="center"/>
          </w:tcPr>
          <w:p>
            <w:pPr>
              <w:spacing w:line="500" w:lineRule="exact"/>
              <w:jc w:val="center"/>
              <w:rPr>
                <w:b/>
                <w:color w:val="auto"/>
                <w:sz w:val="24"/>
              </w:rPr>
            </w:pPr>
            <w:bookmarkStart w:id="358" w:name="_Toc256691569"/>
            <w:bookmarkStart w:id="359" w:name="_Toc256695445"/>
            <w:r>
              <w:rPr>
                <w:b/>
                <w:color w:val="auto"/>
                <w:sz w:val="24"/>
              </w:rPr>
              <w:t>投标文件页码范围</w:t>
            </w:r>
            <w:bookmarkEnd w:id="358"/>
            <w:bookmarkEnd w:id="3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4"/>
              </w:rPr>
            </w:pPr>
          </w:p>
        </w:tc>
        <w:tc>
          <w:tcPr>
            <w:tcW w:w="3798" w:type="dxa"/>
            <w:noWrap w:val="0"/>
            <w:vAlign w:val="center"/>
          </w:tcPr>
          <w:p>
            <w:pPr>
              <w:spacing w:line="500" w:lineRule="exact"/>
              <w:jc w:val="center"/>
              <w:rPr>
                <w:color w:val="auto"/>
                <w:sz w:val="24"/>
              </w:rPr>
            </w:pPr>
          </w:p>
        </w:tc>
        <w:tc>
          <w:tcPr>
            <w:tcW w:w="2649" w:type="dxa"/>
            <w:noWrap w:val="0"/>
            <w:vAlign w:val="center"/>
          </w:tcPr>
          <w:p>
            <w:pPr>
              <w:spacing w:line="500" w:lineRule="exact"/>
              <w:jc w:val="center"/>
              <w:rPr>
                <w:color w:val="auto"/>
                <w:sz w:val="24"/>
              </w:rPr>
            </w:pPr>
            <w:bookmarkStart w:id="360" w:name="_Toc256691570"/>
            <w:bookmarkStart w:id="361" w:name="_Toc256695446"/>
            <w:r>
              <w:rPr>
                <w:color w:val="auto"/>
                <w:sz w:val="24"/>
              </w:rPr>
              <w:t>P</w:t>
            </w:r>
            <w:r>
              <w:rPr>
                <w:color w:val="auto"/>
                <w:sz w:val="24"/>
                <w:u w:val="single"/>
              </w:rPr>
              <w:t xml:space="preserve">     </w:t>
            </w:r>
            <w:r>
              <w:rPr>
                <w:color w:val="auto"/>
                <w:sz w:val="24"/>
              </w:rPr>
              <w:t>---  P</w:t>
            </w:r>
            <w:bookmarkEnd w:id="360"/>
            <w:bookmarkEnd w:id="361"/>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2" w:name="_Toc256695447"/>
            <w:bookmarkStart w:id="363" w:name="_Toc256691571"/>
            <w:r>
              <w:rPr>
                <w:color w:val="auto"/>
                <w:sz w:val="24"/>
              </w:rPr>
              <w:t>P</w:t>
            </w:r>
            <w:r>
              <w:rPr>
                <w:color w:val="auto"/>
                <w:sz w:val="24"/>
                <w:u w:val="single"/>
              </w:rPr>
              <w:t xml:space="preserve">      </w:t>
            </w:r>
            <w:r>
              <w:rPr>
                <w:color w:val="auto"/>
                <w:sz w:val="24"/>
              </w:rPr>
              <w:t>---  P</w:t>
            </w:r>
            <w:bookmarkEnd w:id="362"/>
            <w:bookmarkEnd w:id="363"/>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4" w:name="_Toc256691572"/>
            <w:bookmarkStart w:id="365" w:name="_Toc256695448"/>
            <w:r>
              <w:rPr>
                <w:color w:val="auto"/>
                <w:sz w:val="24"/>
              </w:rPr>
              <w:t>P</w:t>
            </w:r>
            <w:r>
              <w:rPr>
                <w:color w:val="auto"/>
                <w:sz w:val="24"/>
                <w:u w:val="single"/>
              </w:rPr>
              <w:t xml:space="preserve">      </w:t>
            </w:r>
            <w:r>
              <w:rPr>
                <w:color w:val="auto"/>
                <w:sz w:val="24"/>
              </w:rPr>
              <w:t>---  P</w:t>
            </w:r>
            <w:bookmarkEnd w:id="364"/>
            <w:bookmarkEnd w:id="365"/>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6" w:name="_Toc256695449"/>
            <w:bookmarkStart w:id="367" w:name="_Toc256691573"/>
            <w:r>
              <w:rPr>
                <w:color w:val="auto"/>
                <w:sz w:val="24"/>
              </w:rPr>
              <w:t>P</w:t>
            </w:r>
            <w:r>
              <w:rPr>
                <w:color w:val="auto"/>
                <w:sz w:val="24"/>
                <w:u w:val="single"/>
              </w:rPr>
              <w:t xml:space="preserve">      </w:t>
            </w:r>
            <w:r>
              <w:rPr>
                <w:color w:val="auto"/>
                <w:sz w:val="24"/>
              </w:rPr>
              <w:t>---  P</w:t>
            </w:r>
            <w:bookmarkEnd w:id="366"/>
            <w:bookmarkEnd w:id="367"/>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8" w:name="_Toc256695450"/>
            <w:bookmarkStart w:id="369" w:name="_Toc256691574"/>
            <w:r>
              <w:rPr>
                <w:color w:val="auto"/>
                <w:sz w:val="24"/>
              </w:rPr>
              <w:t>P</w:t>
            </w:r>
            <w:r>
              <w:rPr>
                <w:color w:val="auto"/>
                <w:sz w:val="24"/>
                <w:u w:val="single"/>
              </w:rPr>
              <w:t xml:space="preserve">      </w:t>
            </w:r>
            <w:r>
              <w:rPr>
                <w:color w:val="auto"/>
                <w:sz w:val="24"/>
              </w:rPr>
              <w:t>---  P</w:t>
            </w:r>
            <w:bookmarkEnd w:id="368"/>
            <w:bookmarkEnd w:id="369"/>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0" w:name="_Toc256691575"/>
            <w:bookmarkStart w:id="371" w:name="_Toc256695451"/>
            <w:r>
              <w:rPr>
                <w:color w:val="auto"/>
                <w:sz w:val="24"/>
              </w:rPr>
              <w:t>P</w:t>
            </w:r>
            <w:r>
              <w:rPr>
                <w:color w:val="auto"/>
                <w:sz w:val="24"/>
                <w:u w:val="single"/>
              </w:rPr>
              <w:t xml:space="preserve">      </w:t>
            </w:r>
            <w:r>
              <w:rPr>
                <w:color w:val="auto"/>
                <w:sz w:val="24"/>
              </w:rPr>
              <w:t>---  P</w:t>
            </w:r>
            <w:bookmarkEnd w:id="370"/>
            <w:bookmarkEnd w:id="371"/>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2" w:name="_Toc256691576"/>
            <w:bookmarkStart w:id="373" w:name="_Toc256695452"/>
            <w:r>
              <w:rPr>
                <w:color w:val="auto"/>
                <w:sz w:val="24"/>
              </w:rPr>
              <w:t>P</w:t>
            </w:r>
            <w:r>
              <w:rPr>
                <w:color w:val="auto"/>
                <w:sz w:val="24"/>
                <w:u w:val="single"/>
              </w:rPr>
              <w:t xml:space="preserve">      </w:t>
            </w:r>
            <w:r>
              <w:rPr>
                <w:color w:val="auto"/>
                <w:sz w:val="24"/>
              </w:rPr>
              <w:t>---  P</w:t>
            </w:r>
            <w:bookmarkEnd w:id="372"/>
            <w:bookmarkEnd w:id="373"/>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4" w:name="_Toc256691577"/>
            <w:bookmarkStart w:id="375" w:name="_Toc256695453"/>
            <w:r>
              <w:rPr>
                <w:color w:val="auto"/>
                <w:sz w:val="24"/>
              </w:rPr>
              <w:t>P</w:t>
            </w:r>
            <w:r>
              <w:rPr>
                <w:color w:val="auto"/>
                <w:sz w:val="24"/>
                <w:u w:val="single"/>
              </w:rPr>
              <w:t xml:space="preserve">      </w:t>
            </w:r>
            <w:r>
              <w:rPr>
                <w:color w:val="auto"/>
                <w:sz w:val="24"/>
              </w:rPr>
              <w:t>---  P</w:t>
            </w:r>
            <w:bookmarkEnd w:id="374"/>
            <w:bookmarkEnd w:id="375"/>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6" w:name="_Toc256695454"/>
            <w:bookmarkStart w:id="377" w:name="_Toc256691578"/>
            <w:r>
              <w:rPr>
                <w:color w:val="auto"/>
                <w:sz w:val="24"/>
              </w:rPr>
              <w:t>P</w:t>
            </w:r>
            <w:r>
              <w:rPr>
                <w:color w:val="auto"/>
                <w:sz w:val="24"/>
                <w:u w:val="single"/>
              </w:rPr>
              <w:t xml:space="preserve">      </w:t>
            </w:r>
            <w:r>
              <w:rPr>
                <w:color w:val="auto"/>
                <w:sz w:val="24"/>
              </w:rPr>
              <w:t>---  P</w:t>
            </w:r>
            <w:bookmarkEnd w:id="376"/>
            <w:bookmarkEnd w:id="377"/>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8" w:name="_Toc256695455"/>
            <w:bookmarkStart w:id="379" w:name="_Toc256691579"/>
            <w:r>
              <w:rPr>
                <w:color w:val="auto"/>
                <w:sz w:val="24"/>
              </w:rPr>
              <w:t>P</w:t>
            </w:r>
            <w:r>
              <w:rPr>
                <w:color w:val="auto"/>
                <w:sz w:val="24"/>
                <w:u w:val="single"/>
              </w:rPr>
              <w:t xml:space="preserve">      </w:t>
            </w:r>
            <w:r>
              <w:rPr>
                <w:color w:val="auto"/>
                <w:sz w:val="24"/>
              </w:rPr>
              <w:t>---  P</w:t>
            </w:r>
            <w:bookmarkEnd w:id="378"/>
            <w:bookmarkEnd w:id="379"/>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80" w:name="_Toc256691580"/>
            <w:bookmarkStart w:id="381" w:name="_Toc256695456"/>
            <w:r>
              <w:rPr>
                <w:color w:val="auto"/>
                <w:sz w:val="24"/>
              </w:rPr>
              <w:t>P</w:t>
            </w:r>
            <w:r>
              <w:rPr>
                <w:color w:val="auto"/>
                <w:sz w:val="24"/>
                <w:u w:val="single"/>
              </w:rPr>
              <w:t xml:space="preserve">      </w:t>
            </w:r>
            <w:r>
              <w:rPr>
                <w:color w:val="auto"/>
                <w:sz w:val="24"/>
              </w:rPr>
              <w:t>---  P</w:t>
            </w:r>
            <w:bookmarkEnd w:id="380"/>
            <w:bookmarkEnd w:id="381"/>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82" w:name="_Toc256695457"/>
            <w:bookmarkStart w:id="383" w:name="_Toc256691581"/>
            <w:r>
              <w:rPr>
                <w:color w:val="auto"/>
                <w:sz w:val="24"/>
              </w:rPr>
              <w:t>P</w:t>
            </w:r>
            <w:r>
              <w:rPr>
                <w:color w:val="auto"/>
                <w:sz w:val="24"/>
                <w:u w:val="single"/>
              </w:rPr>
              <w:t xml:space="preserve">      </w:t>
            </w:r>
            <w:r>
              <w:rPr>
                <w:color w:val="auto"/>
                <w:sz w:val="24"/>
              </w:rPr>
              <w:t>---  P</w:t>
            </w:r>
            <w:bookmarkEnd w:id="382"/>
            <w:bookmarkEnd w:id="383"/>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84" w:name="_Toc256691582"/>
            <w:bookmarkStart w:id="385" w:name="_Toc256695458"/>
            <w:r>
              <w:rPr>
                <w:color w:val="auto"/>
                <w:sz w:val="24"/>
              </w:rPr>
              <w:t>P</w:t>
            </w:r>
            <w:r>
              <w:rPr>
                <w:color w:val="auto"/>
                <w:sz w:val="24"/>
                <w:u w:val="single"/>
              </w:rPr>
              <w:t xml:space="preserve">      </w:t>
            </w:r>
            <w:r>
              <w:rPr>
                <w:color w:val="auto"/>
                <w:sz w:val="24"/>
              </w:rPr>
              <w:t>---  P</w:t>
            </w:r>
            <w:bookmarkEnd w:id="384"/>
            <w:bookmarkEnd w:id="385"/>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bookmarkStart w:id="386" w:name="_Toc256691583"/>
            <w:bookmarkStart w:id="387" w:name="_Toc256695459"/>
            <w:r>
              <w:rPr>
                <w:color w:val="auto"/>
                <w:sz w:val="28"/>
                <w:szCs w:val="28"/>
              </w:rPr>
              <w:t>……</w:t>
            </w:r>
            <w:bookmarkEnd w:id="386"/>
            <w:bookmarkEnd w:id="387"/>
          </w:p>
        </w:tc>
        <w:tc>
          <w:tcPr>
            <w:tcW w:w="2649" w:type="dxa"/>
            <w:noWrap w:val="0"/>
            <w:vAlign w:val="center"/>
          </w:tcPr>
          <w:p>
            <w:pPr>
              <w:spacing w:line="500" w:lineRule="exact"/>
              <w:jc w:val="center"/>
              <w:rPr>
                <w:color w:val="auto"/>
                <w:sz w:val="24"/>
              </w:rPr>
            </w:pPr>
            <w:bookmarkStart w:id="388" w:name="_Toc256691584"/>
            <w:bookmarkStart w:id="389" w:name="_Toc256695460"/>
            <w:r>
              <w:rPr>
                <w:color w:val="auto"/>
                <w:sz w:val="28"/>
                <w:szCs w:val="28"/>
              </w:rPr>
              <w:t>……</w:t>
            </w:r>
            <w:bookmarkEnd w:id="388"/>
            <w:bookmarkEnd w:id="389"/>
          </w:p>
        </w:tc>
      </w:tr>
    </w:tbl>
    <w:p>
      <w:pPr>
        <w:spacing w:line="500" w:lineRule="exact"/>
        <w:jc w:val="center"/>
        <w:rPr>
          <w:rFonts w:eastAsia="黑体"/>
          <w:color w:val="auto"/>
          <w:sz w:val="28"/>
          <w:szCs w:val="28"/>
        </w:rPr>
      </w:pPr>
      <w:r>
        <w:rPr>
          <w:rFonts w:eastAsia="黑体"/>
          <w:color w:val="auto"/>
          <w:sz w:val="28"/>
          <w:szCs w:val="28"/>
        </w:rPr>
        <w:br w:type="page"/>
      </w:r>
      <w:r>
        <w:rPr>
          <w:rFonts w:eastAsia="黑体"/>
          <w:color w:val="auto"/>
          <w:sz w:val="28"/>
          <w:szCs w:val="28"/>
        </w:rPr>
        <w:t>目  录</w:t>
      </w:r>
    </w:p>
    <w:p>
      <w:pPr>
        <w:spacing w:line="500" w:lineRule="exact"/>
        <w:rPr>
          <w:color w:val="auto"/>
          <w:szCs w:val="21"/>
        </w:rPr>
      </w:pPr>
      <w:r>
        <w:rPr>
          <w:color w:val="auto"/>
          <w:szCs w:val="21"/>
        </w:rPr>
        <w:t>一、投标函（不含报价）</w:t>
      </w:r>
    </w:p>
    <w:p>
      <w:pPr>
        <w:spacing w:line="500" w:lineRule="exact"/>
        <w:rPr>
          <w:color w:val="auto"/>
          <w:szCs w:val="21"/>
        </w:rPr>
      </w:pPr>
      <w:r>
        <w:rPr>
          <w:color w:val="auto"/>
          <w:szCs w:val="21"/>
        </w:rPr>
        <w:t>二、法定代表人（单位负责人）身份证明或授权委托书</w:t>
      </w:r>
    </w:p>
    <w:p>
      <w:pPr>
        <w:spacing w:line="500" w:lineRule="exact"/>
        <w:rPr>
          <w:color w:val="auto"/>
          <w:szCs w:val="21"/>
        </w:rPr>
      </w:pPr>
      <w:r>
        <w:rPr>
          <w:color w:val="auto"/>
          <w:szCs w:val="21"/>
        </w:rPr>
        <w:t>三、投标保证金</w:t>
      </w:r>
    </w:p>
    <w:p>
      <w:pPr>
        <w:spacing w:line="500" w:lineRule="exact"/>
        <w:rPr>
          <w:color w:val="auto"/>
          <w:szCs w:val="21"/>
        </w:rPr>
      </w:pPr>
      <w:r>
        <w:rPr>
          <w:color w:val="auto"/>
          <w:szCs w:val="21"/>
        </w:rPr>
        <w:t>四、投标保证金退还声明</w:t>
      </w:r>
    </w:p>
    <w:p>
      <w:pPr>
        <w:spacing w:line="500" w:lineRule="exact"/>
        <w:rPr>
          <w:color w:val="auto"/>
          <w:szCs w:val="21"/>
        </w:rPr>
      </w:pPr>
      <w:r>
        <w:rPr>
          <w:color w:val="auto"/>
          <w:szCs w:val="21"/>
        </w:rPr>
        <w:t>五、</w:t>
      </w:r>
      <w:r>
        <w:rPr>
          <w:rFonts w:hint="eastAsia"/>
          <w:color w:val="auto"/>
          <w:szCs w:val="21"/>
        </w:rPr>
        <w:t>商务和技术偏差表</w:t>
      </w:r>
    </w:p>
    <w:p>
      <w:pPr>
        <w:spacing w:line="500" w:lineRule="exact"/>
        <w:rPr>
          <w:color w:val="auto"/>
          <w:szCs w:val="21"/>
        </w:rPr>
      </w:pPr>
      <w:r>
        <w:rPr>
          <w:color w:val="auto"/>
          <w:szCs w:val="21"/>
        </w:rPr>
        <w:t>六、资格审查资料；</w:t>
      </w:r>
    </w:p>
    <w:p>
      <w:pPr>
        <w:spacing w:line="500" w:lineRule="exact"/>
        <w:rPr>
          <w:color w:val="auto"/>
          <w:szCs w:val="21"/>
        </w:rPr>
      </w:pPr>
      <w:r>
        <w:rPr>
          <w:color w:val="auto"/>
          <w:szCs w:val="21"/>
        </w:rPr>
        <w:t>（一）投标人基本情况表</w:t>
      </w:r>
    </w:p>
    <w:p>
      <w:pPr>
        <w:spacing w:line="500" w:lineRule="exact"/>
        <w:rPr>
          <w:color w:val="auto"/>
          <w:szCs w:val="21"/>
        </w:rPr>
      </w:pPr>
      <w:r>
        <w:rPr>
          <w:color w:val="auto"/>
          <w:szCs w:val="21"/>
        </w:rPr>
        <w:t>（二）近年财务状况</w:t>
      </w:r>
    </w:p>
    <w:p>
      <w:pPr>
        <w:spacing w:line="500" w:lineRule="exact"/>
        <w:rPr>
          <w:color w:val="auto"/>
          <w:szCs w:val="21"/>
        </w:rPr>
      </w:pPr>
      <w:r>
        <w:rPr>
          <w:color w:val="auto"/>
          <w:szCs w:val="21"/>
        </w:rPr>
        <w:t>（三）近年完成的类似项目情况表</w:t>
      </w:r>
    </w:p>
    <w:p>
      <w:pPr>
        <w:spacing w:line="500" w:lineRule="exact"/>
        <w:rPr>
          <w:color w:val="auto"/>
          <w:szCs w:val="21"/>
        </w:rPr>
      </w:pPr>
      <w:r>
        <w:rPr>
          <w:color w:val="auto"/>
          <w:szCs w:val="21"/>
        </w:rPr>
        <w:t>（四）制造商授权书</w:t>
      </w:r>
    </w:p>
    <w:p>
      <w:pPr>
        <w:spacing w:line="500" w:lineRule="exact"/>
        <w:rPr>
          <w:color w:val="auto"/>
          <w:szCs w:val="21"/>
        </w:rPr>
      </w:pPr>
      <w:r>
        <w:rPr>
          <w:color w:val="auto"/>
          <w:szCs w:val="21"/>
        </w:rPr>
        <w:t>（五）拟委任的项目负责人简历</w:t>
      </w:r>
    </w:p>
    <w:p>
      <w:pPr>
        <w:spacing w:line="500" w:lineRule="exact"/>
        <w:rPr>
          <w:rFonts w:hint="eastAsia"/>
          <w:color w:val="auto"/>
          <w:szCs w:val="21"/>
          <w:lang w:val="en-US" w:eastAsia="zh-CN"/>
        </w:rPr>
      </w:pPr>
      <w:r>
        <w:rPr>
          <w:rFonts w:hint="eastAsia"/>
          <w:color w:val="auto"/>
          <w:szCs w:val="21"/>
          <w:lang w:val="en-US" w:eastAsia="zh-CN"/>
        </w:rPr>
        <w:t>七、公司制度</w:t>
      </w:r>
    </w:p>
    <w:p>
      <w:pPr>
        <w:spacing w:line="500" w:lineRule="exact"/>
        <w:rPr>
          <w:color w:val="auto"/>
          <w:szCs w:val="21"/>
        </w:rPr>
      </w:pPr>
      <w:r>
        <w:rPr>
          <w:color w:val="auto"/>
          <w:szCs w:val="21"/>
        </w:rPr>
        <w:t>八、</w:t>
      </w:r>
      <w:r>
        <w:rPr>
          <w:rFonts w:hint="eastAsia"/>
          <w:color w:val="auto"/>
          <w:szCs w:val="21"/>
          <w:lang w:val="en-US" w:eastAsia="zh-CN"/>
        </w:rPr>
        <w:t>配送服务能力</w:t>
      </w:r>
    </w:p>
    <w:p>
      <w:pPr>
        <w:spacing w:line="500" w:lineRule="exact"/>
        <w:rPr>
          <w:color w:val="auto"/>
          <w:szCs w:val="21"/>
        </w:rPr>
      </w:pPr>
      <w:r>
        <w:rPr>
          <w:color w:val="auto"/>
          <w:szCs w:val="21"/>
        </w:rPr>
        <w:t>九、</w:t>
      </w:r>
      <w:r>
        <w:rPr>
          <w:rFonts w:hint="eastAsia"/>
          <w:color w:val="auto"/>
          <w:szCs w:val="21"/>
          <w:lang w:val="en-US" w:eastAsia="zh-CN"/>
        </w:rPr>
        <w:t>应急处理方案</w:t>
      </w:r>
    </w:p>
    <w:p>
      <w:pPr>
        <w:spacing w:line="500" w:lineRule="exact"/>
        <w:rPr>
          <w:color w:val="auto"/>
          <w:szCs w:val="21"/>
        </w:rPr>
      </w:pPr>
      <w:r>
        <w:rPr>
          <w:color w:val="auto"/>
          <w:szCs w:val="21"/>
        </w:rPr>
        <w:t>十、</w:t>
      </w:r>
      <w:r>
        <w:rPr>
          <w:rFonts w:hint="eastAsia"/>
          <w:color w:val="auto"/>
          <w:szCs w:val="21"/>
          <w:lang w:val="en-US" w:eastAsia="zh-CN"/>
        </w:rPr>
        <w:t>食材管理方案</w:t>
      </w:r>
    </w:p>
    <w:p>
      <w:pPr>
        <w:spacing w:line="500" w:lineRule="exact"/>
        <w:rPr>
          <w:color w:val="auto"/>
          <w:szCs w:val="21"/>
        </w:rPr>
      </w:pPr>
      <w:r>
        <w:rPr>
          <w:color w:val="auto"/>
          <w:szCs w:val="21"/>
        </w:rPr>
        <w:t>十一、</w:t>
      </w:r>
      <w:r>
        <w:rPr>
          <w:rFonts w:hint="eastAsia"/>
          <w:color w:val="auto"/>
          <w:szCs w:val="21"/>
        </w:rPr>
        <w:t>售后服务</w:t>
      </w:r>
    </w:p>
    <w:p>
      <w:pPr>
        <w:spacing w:line="500" w:lineRule="exact"/>
        <w:rPr>
          <w:color w:val="auto"/>
          <w:szCs w:val="21"/>
        </w:rPr>
      </w:pPr>
      <w:r>
        <w:rPr>
          <w:color w:val="auto"/>
          <w:szCs w:val="21"/>
        </w:rPr>
        <w:t>十二、其他资料</w:t>
      </w:r>
    </w:p>
    <w:p>
      <w:pPr>
        <w:spacing w:line="500" w:lineRule="exact"/>
        <w:rPr>
          <w:color w:val="auto"/>
          <w:szCs w:val="21"/>
        </w:rPr>
      </w:pPr>
    </w:p>
    <w:p>
      <w:pPr>
        <w:pStyle w:val="4"/>
        <w:spacing w:before="0" w:after="0" w:line="500" w:lineRule="exact"/>
        <w:jc w:val="center"/>
        <w:rPr>
          <w:rFonts w:ascii="Times New Roman" w:hAnsi="Times New Roman"/>
          <w:color w:val="auto"/>
        </w:rPr>
      </w:pPr>
      <w:r>
        <w:rPr>
          <w:rFonts w:ascii="Times New Roman" w:hAnsi="Times New Roman"/>
          <w:color w:val="auto"/>
          <w:szCs w:val="21"/>
        </w:rPr>
        <w:br w:type="page"/>
      </w:r>
      <w:bookmarkStart w:id="390" w:name="_Toc390411621"/>
      <w:bookmarkStart w:id="391" w:name="_Toc460227108"/>
      <w:bookmarkStart w:id="392" w:name="_Toc460660223"/>
      <w:bookmarkStart w:id="393" w:name="_Toc421917001"/>
      <w:bookmarkStart w:id="394" w:name="_Toc224103496"/>
      <w:r>
        <w:rPr>
          <w:rFonts w:ascii="Times New Roman" w:hAnsi="Times New Roman"/>
          <w:color w:val="auto"/>
        </w:rPr>
        <w:t>一、投标函（不含报价）</w:t>
      </w:r>
    </w:p>
    <w:p>
      <w:pPr>
        <w:adjustRightInd w:val="0"/>
        <w:snapToGrid w:val="0"/>
        <w:spacing w:line="500" w:lineRule="exact"/>
        <w:rPr>
          <w:color w:val="auto"/>
          <w:szCs w:val="22"/>
          <w:u w:val="single"/>
        </w:rPr>
      </w:pPr>
      <w:r>
        <w:rPr>
          <w:color w:val="auto"/>
          <w:szCs w:val="22"/>
        </w:rPr>
        <w:t>致：</w:t>
      </w:r>
      <w:r>
        <w:rPr>
          <w:i/>
          <w:iCs/>
          <w:color w:val="auto"/>
          <w:szCs w:val="21"/>
          <w:u w:val="single"/>
        </w:rPr>
        <w:t>某委托单位</w:t>
      </w:r>
    </w:p>
    <w:p>
      <w:pPr>
        <w:spacing w:line="500" w:lineRule="exact"/>
        <w:ind w:firstLine="420" w:firstLineChars="200"/>
        <w:rPr>
          <w:color w:val="auto"/>
          <w:szCs w:val="21"/>
        </w:rPr>
      </w:pPr>
      <w:r>
        <w:rPr>
          <w:color w:val="auto"/>
          <w:szCs w:val="21"/>
        </w:rPr>
        <w:t>1. 我方已仔细研究了</w:t>
      </w:r>
      <w:r>
        <w:rPr>
          <w:rFonts w:hint="eastAsia"/>
          <w:i w:val="0"/>
          <w:iCs w:val="0"/>
          <w:color w:val="auto"/>
          <w:szCs w:val="21"/>
          <w:u w:val="single"/>
        </w:rPr>
        <w:t>庐江文旅投资食品原材料采购米、油、调味品类</w:t>
      </w:r>
      <w:r>
        <w:rPr>
          <w:color w:val="auto"/>
        </w:rPr>
        <w:t>项目</w:t>
      </w:r>
      <w:r>
        <w:rPr>
          <w:color w:val="auto"/>
          <w:szCs w:val="21"/>
        </w:rPr>
        <w:t>招标文件的全部内容，愿意以</w:t>
      </w:r>
      <w:r>
        <w:rPr>
          <w:color w:val="auto"/>
          <w:szCs w:val="21"/>
          <w:u w:val="single"/>
        </w:rPr>
        <w:t>报价文件投标函中</w:t>
      </w:r>
      <w:r>
        <w:rPr>
          <w:color w:val="auto"/>
          <w:szCs w:val="21"/>
        </w:rPr>
        <w:t>的投标总报价提供招标文件要求的货物、安装及技术服务和质保售后服务等，并按合同约定履行义务。</w:t>
      </w:r>
    </w:p>
    <w:p>
      <w:pPr>
        <w:spacing w:line="500" w:lineRule="exact"/>
        <w:ind w:firstLine="420" w:firstLineChars="200"/>
        <w:rPr>
          <w:color w:val="auto"/>
          <w:szCs w:val="21"/>
        </w:rPr>
      </w:pPr>
      <w:r>
        <w:rPr>
          <w:color w:val="auto"/>
          <w:szCs w:val="21"/>
        </w:rPr>
        <w:t>2. 我方承诺除</w:t>
      </w:r>
      <w:r>
        <w:rPr>
          <w:color w:val="auto"/>
          <w:sz w:val="22"/>
        </w:rPr>
        <w:t>商务和技术</w:t>
      </w:r>
      <w:r>
        <w:rPr>
          <w:color w:val="auto"/>
          <w:szCs w:val="21"/>
        </w:rPr>
        <w:t>偏差表列出的偏差外，我方响应招标文件的全部要求。</w:t>
      </w:r>
    </w:p>
    <w:p>
      <w:pPr>
        <w:spacing w:line="500" w:lineRule="exact"/>
        <w:ind w:firstLine="420" w:firstLineChars="200"/>
        <w:rPr>
          <w:color w:val="auto"/>
          <w:szCs w:val="21"/>
        </w:rPr>
      </w:pPr>
      <w:r>
        <w:rPr>
          <w:color w:val="auto"/>
          <w:szCs w:val="21"/>
        </w:rPr>
        <w:t>3. 我方承诺在招标文件规定的投标有效期内不撤销投标文件。</w:t>
      </w:r>
    </w:p>
    <w:p>
      <w:pPr>
        <w:spacing w:line="500" w:lineRule="exact"/>
        <w:ind w:firstLine="420" w:firstLineChars="200"/>
        <w:rPr>
          <w:color w:val="auto"/>
          <w:szCs w:val="21"/>
        </w:rPr>
      </w:pPr>
      <w:r>
        <w:rPr>
          <w:color w:val="auto"/>
          <w:szCs w:val="21"/>
        </w:rPr>
        <w:t>4. 如我方中标，我方承诺：</w:t>
      </w:r>
    </w:p>
    <w:p>
      <w:pPr>
        <w:spacing w:line="500" w:lineRule="exact"/>
        <w:ind w:firstLine="405"/>
        <w:rPr>
          <w:color w:val="auto"/>
        </w:rPr>
      </w:pPr>
      <w:r>
        <w:rPr>
          <w:color w:val="auto"/>
        </w:rPr>
        <w:t>（1）在收到中标通知书后，在中标通知书规定的期限内与你方签订合同；</w:t>
      </w:r>
    </w:p>
    <w:p>
      <w:pPr>
        <w:spacing w:line="500" w:lineRule="exact"/>
        <w:ind w:firstLine="405"/>
        <w:rPr>
          <w:color w:val="auto"/>
        </w:rPr>
      </w:pPr>
      <w:r>
        <w:rPr>
          <w:color w:val="auto"/>
        </w:rPr>
        <w:t>（2）在签订合同时不向你方提出附加条件；</w:t>
      </w:r>
    </w:p>
    <w:p>
      <w:pPr>
        <w:spacing w:line="500" w:lineRule="exact"/>
        <w:ind w:firstLine="405"/>
        <w:rPr>
          <w:color w:val="auto"/>
        </w:rPr>
      </w:pPr>
      <w:r>
        <w:rPr>
          <w:color w:val="auto"/>
        </w:rPr>
        <w:t>（3）按照招标文件要求提交履约保证金；</w:t>
      </w:r>
      <w:bookmarkStart w:id="395" w:name="_Toc352691658"/>
      <w:bookmarkStart w:id="396" w:name="_Toc369531694"/>
      <w:bookmarkStart w:id="397" w:name="_Toc1187"/>
    </w:p>
    <w:p>
      <w:pPr>
        <w:spacing w:line="500" w:lineRule="exact"/>
        <w:ind w:firstLine="405"/>
        <w:rPr>
          <w:color w:val="auto"/>
        </w:rPr>
      </w:pPr>
      <w:r>
        <w:rPr>
          <w:color w:val="auto"/>
        </w:rPr>
        <w:t>（4</w:t>
      </w:r>
      <w:bookmarkEnd w:id="395"/>
      <w:bookmarkEnd w:id="396"/>
      <w:bookmarkEnd w:id="397"/>
      <w:r>
        <w:rPr>
          <w:color w:val="auto"/>
        </w:rPr>
        <w:t>）在合同约定的期限内完成合同规定的全部义务。</w:t>
      </w:r>
    </w:p>
    <w:p>
      <w:pPr>
        <w:spacing w:line="500" w:lineRule="exact"/>
        <w:ind w:firstLine="405"/>
        <w:rPr>
          <w:color w:val="auto"/>
        </w:rPr>
      </w:pPr>
      <w:r>
        <w:rPr>
          <w:color w:val="auto"/>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500" w:lineRule="exact"/>
        <w:ind w:firstLine="420" w:firstLineChars="200"/>
        <w:rPr>
          <w:color w:val="auto"/>
        </w:rPr>
      </w:pPr>
      <w:r>
        <w:rPr>
          <w:color w:val="auto"/>
          <w:szCs w:val="21"/>
        </w:rPr>
        <w:t xml:space="preserve">5. </w:t>
      </w:r>
      <w:r>
        <w:rPr>
          <w:color w:val="auto"/>
        </w:rPr>
        <w:t>我方在此声明，所递交的投标文件及有关资料内容完整、真实和准确，符合资格审查条件（信誉最低要求），且不存在第二章“投标人须知”第1.4.3项、第1.4.4项规定的任何一种情形。</w:t>
      </w:r>
    </w:p>
    <w:p>
      <w:pPr>
        <w:adjustRightInd w:val="0"/>
        <w:snapToGrid w:val="0"/>
        <w:spacing w:line="500" w:lineRule="exact"/>
        <w:ind w:firstLine="367" w:firstLineChars="175"/>
        <w:rPr>
          <w:bCs/>
          <w:color w:val="auto"/>
          <w:szCs w:val="32"/>
        </w:rPr>
      </w:pPr>
      <w:r>
        <w:rPr>
          <w:color w:val="auto"/>
          <w:szCs w:val="21"/>
        </w:rPr>
        <w:t xml:space="preserve">6. </w:t>
      </w:r>
      <w:r>
        <w:rPr>
          <w:color w:val="auto"/>
          <w:szCs w:val="22"/>
          <w:u w:val="single"/>
        </w:rPr>
        <w:t xml:space="preserve">                 </w:t>
      </w:r>
      <w:r>
        <w:rPr>
          <w:color w:val="auto"/>
          <w:szCs w:val="21"/>
        </w:rPr>
        <w:t>（其他补充说明）。</w:t>
      </w:r>
    </w:p>
    <w:p>
      <w:pPr>
        <w:adjustRightInd w:val="0"/>
        <w:snapToGrid w:val="0"/>
        <w:spacing w:line="500" w:lineRule="exact"/>
        <w:ind w:firstLine="1470" w:firstLineChars="700"/>
        <w:rPr>
          <w:bCs/>
          <w:color w:val="auto"/>
          <w:szCs w:val="21"/>
          <w:u w:val="single"/>
        </w:rPr>
      </w:pPr>
      <w:r>
        <w:rPr>
          <w:bCs/>
          <w:color w:val="auto"/>
          <w:szCs w:val="21"/>
        </w:rPr>
        <w:t>投 标 人：</w:t>
      </w:r>
      <w:r>
        <w:rPr>
          <w:bCs/>
          <w:color w:val="auto"/>
          <w:szCs w:val="21"/>
          <w:u w:val="single"/>
        </w:rPr>
        <w:t xml:space="preserve">                                             </w:t>
      </w:r>
      <w:r>
        <w:rPr>
          <w:bCs/>
          <w:color w:val="auto"/>
          <w:szCs w:val="21"/>
        </w:rPr>
        <w:t>（盖单位章）</w:t>
      </w:r>
    </w:p>
    <w:p>
      <w:pPr>
        <w:adjustRightInd w:val="0"/>
        <w:snapToGrid w:val="0"/>
        <w:spacing w:line="500" w:lineRule="exact"/>
        <w:ind w:firstLine="1470" w:firstLineChars="700"/>
        <w:jc w:val="left"/>
        <w:rPr>
          <w:color w:val="auto"/>
          <w:szCs w:val="21"/>
          <w:u w:val="single"/>
        </w:rPr>
      </w:pPr>
      <w:r>
        <w:rPr>
          <w:color w:val="auto"/>
          <w:szCs w:val="21"/>
        </w:rPr>
        <w:t>法定代表人（单位负责人）：</w:t>
      </w:r>
      <w:r>
        <w:rPr>
          <w:color w:val="auto"/>
          <w:szCs w:val="21"/>
          <w:u w:val="single"/>
        </w:rPr>
        <w:t xml:space="preserve">             </w:t>
      </w:r>
      <w:r>
        <w:rPr>
          <w:color w:val="auto"/>
          <w:szCs w:val="21"/>
        </w:rPr>
        <w:t>（签字或盖章）</w:t>
      </w:r>
    </w:p>
    <w:p>
      <w:pPr>
        <w:adjustRightInd w:val="0"/>
        <w:snapToGrid w:val="0"/>
        <w:spacing w:line="500" w:lineRule="exact"/>
        <w:ind w:firstLine="1470" w:firstLineChars="700"/>
        <w:rPr>
          <w:color w:val="auto"/>
          <w:szCs w:val="21"/>
          <w:u w:val="single"/>
        </w:rPr>
      </w:pPr>
      <w:r>
        <w:rPr>
          <w:color w:val="auto"/>
          <w:szCs w:val="21"/>
        </w:rPr>
        <w:t>单位地址：</w:t>
      </w:r>
      <w:r>
        <w:rPr>
          <w:color w:val="auto"/>
          <w:szCs w:val="21"/>
          <w:u w:val="single"/>
        </w:rPr>
        <w:t xml:space="preserve">                                                       </w:t>
      </w:r>
    </w:p>
    <w:p>
      <w:pPr>
        <w:adjustRightInd w:val="0"/>
        <w:snapToGrid w:val="0"/>
        <w:spacing w:line="500" w:lineRule="exact"/>
        <w:ind w:firstLine="1470" w:firstLineChars="700"/>
        <w:rPr>
          <w:color w:val="auto"/>
          <w:szCs w:val="21"/>
        </w:rPr>
      </w:pPr>
      <w:r>
        <w:rPr>
          <w:bCs/>
          <w:color w:val="auto"/>
          <w:szCs w:val="21"/>
        </w:rPr>
        <w:t>邮政编码</w:t>
      </w:r>
      <w:r>
        <w:rPr>
          <w:color w:val="auto"/>
          <w:szCs w:val="21"/>
        </w:rPr>
        <w:t>：</w:t>
      </w:r>
      <w:r>
        <w:rPr>
          <w:bCs/>
          <w:color w:val="auto"/>
          <w:szCs w:val="32"/>
          <w:u w:val="single"/>
        </w:rPr>
        <w:t xml:space="preserve">           </w:t>
      </w:r>
      <w:r>
        <w:rPr>
          <w:color w:val="auto"/>
          <w:szCs w:val="21"/>
        </w:rPr>
        <w:t>电话：</w:t>
      </w:r>
      <w:r>
        <w:rPr>
          <w:bCs/>
          <w:color w:val="auto"/>
          <w:szCs w:val="32"/>
          <w:u w:val="single"/>
        </w:rPr>
        <w:t xml:space="preserve">           </w:t>
      </w:r>
      <w:r>
        <w:rPr>
          <w:color w:val="auto"/>
          <w:szCs w:val="21"/>
        </w:rPr>
        <w:t xml:space="preserve"> 传真：</w:t>
      </w:r>
      <w:r>
        <w:rPr>
          <w:color w:val="auto"/>
          <w:szCs w:val="21"/>
          <w:u w:val="single"/>
        </w:rPr>
        <w:t xml:space="preserve">                    </w:t>
      </w:r>
    </w:p>
    <w:p>
      <w:pPr>
        <w:adjustRightInd w:val="0"/>
        <w:snapToGrid w:val="0"/>
        <w:spacing w:line="500" w:lineRule="exact"/>
        <w:ind w:firstLine="367" w:firstLineChars="175"/>
        <w:jc w:val="right"/>
        <w:rPr>
          <w:color w:val="auto"/>
          <w:szCs w:val="21"/>
        </w:rPr>
      </w:pPr>
      <w:r>
        <w:rPr>
          <w:color w:val="auto"/>
          <w:szCs w:val="21"/>
          <w:u w:val="single"/>
        </w:rPr>
        <w:t xml:space="preserve">    </w:t>
      </w:r>
      <w:r>
        <w:rPr>
          <w:color w:val="auto"/>
          <w:szCs w:val="21"/>
        </w:rPr>
        <w:t>_年</w:t>
      </w:r>
      <w:r>
        <w:rPr>
          <w:color w:val="auto"/>
          <w:szCs w:val="21"/>
          <w:u w:val="single"/>
        </w:rPr>
        <w:t xml:space="preserve">    _</w:t>
      </w:r>
      <w:r>
        <w:rPr>
          <w:color w:val="auto"/>
          <w:szCs w:val="21"/>
        </w:rPr>
        <w:t>月</w:t>
      </w:r>
      <w:r>
        <w:rPr>
          <w:color w:val="auto"/>
          <w:szCs w:val="21"/>
          <w:u w:val="single"/>
        </w:rPr>
        <w:t xml:space="preserve">    </w:t>
      </w:r>
      <w:r>
        <w:rPr>
          <w:color w:val="auto"/>
          <w:szCs w:val="21"/>
        </w:rPr>
        <w:t>日</w:t>
      </w:r>
    </w:p>
    <w:p>
      <w:pPr>
        <w:pStyle w:val="4"/>
        <w:spacing w:before="0" w:after="0" w:line="500" w:lineRule="exact"/>
        <w:jc w:val="center"/>
        <w:rPr>
          <w:rFonts w:ascii="Times New Roman" w:hAnsi="Times New Roman"/>
          <w:color w:val="auto"/>
        </w:rPr>
      </w:pPr>
      <w:r>
        <w:rPr>
          <w:rFonts w:ascii="Times New Roman" w:hAnsi="Times New Roman"/>
          <w:color w:val="auto"/>
          <w:sz w:val="28"/>
          <w:szCs w:val="28"/>
        </w:rPr>
        <w:br w:type="page"/>
      </w:r>
      <w:r>
        <w:rPr>
          <w:rFonts w:ascii="Times New Roman" w:hAnsi="Times New Roman"/>
          <w:color w:val="auto"/>
        </w:rPr>
        <w:t>二、</w:t>
      </w:r>
      <w:bookmarkEnd w:id="390"/>
      <w:bookmarkEnd w:id="391"/>
      <w:bookmarkEnd w:id="392"/>
      <w:bookmarkEnd w:id="393"/>
      <w:r>
        <w:rPr>
          <w:rFonts w:ascii="Times New Roman" w:hAnsi="Times New Roman"/>
          <w:color w:val="auto"/>
        </w:rPr>
        <w:t>法定代表人（单位负责人）身份证明或授权委托书</w:t>
      </w:r>
    </w:p>
    <w:p>
      <w:pPr>
        <w:spacing w:line="500" w:lineRule="exact"/>
        <w:ind w:firstLine="1164" w:firstLineChars="414"/>
        <w:rPr>
          <w:b/>
          <w:bCs/>
          <w:color w:val="auto"/>
          <w:sz w:val="28"/>
          <w:szCs w:val="22"/>
        </w:rPr>
      </w:pPr>
    </w:p>
    <w:p>
      <w:pPr>
        <w:spacing w:line="500" w:lineRule="exact"/>
        <w:jc w:val="center"/>
        <w:rPr>
          <w:rFonts w:eastAsia="黑体"/>
          <w:bCs/>
          <w:color w:val="auto"/>
          <w:sz w:val="24"/>
        </w:rPr>
      </w:pPr>
      <w:r>
        <w:rPr>
          <w:rFonts w:eastAsia="黑体"/>
          <w:bCs/>
          <w:color w:val="auto"/>
          <w:sz w:val="24"/>
        </w:rPr>
        <w:t>法定代表人（单位负责人）身份证明</w:t>
      </w:r>
    </w:p>
    <w:p>
      <w:pPr>
        <w:spacing w:line="500" w:lineRule="exact"/>
        <w:ind w:left="765"/>
        <w:rPr>
          <w:color w:val="auto"/>
          <w:szCs w:val="22"/>
        </w:rPr>
      </w:pPr>
    </w:p>
    <w:p>
      <w:pPr>
        <w:spacing w:line="500" w:lineRule="exact"/>
        <w:rPr>
          <w:color w:val="auto"/>
          <w:szCs w:val="21"/>
        </w:rPr>
      </w:pPr>
      <w:r>
        <w:rPr>
          <w:color w:val="auto"/>
          <w:szCs w:val="21"/>
        </w:rPr>
        <w:t>投 标 人：</w:t>
      </w:r>
      <w:r>
        <w:rPr>
          <w:color w:val="auto"/>
          <w:szCs w:val="21"/>
          <w:u w:val="single"/>
        </w:rPr>
        <w:t xml:space="preserve">                                                        </w:t>
      </w:r>
    </w:p>
    <w:p>
      <w:pPr>
        <w:spacing w:line="500" w:lineRule="exact"/>
        <w:rPr>
          <w:color w:val="auto"/>
          <w:szCs w:val="21"/>
        </w:rPr>
      </w:pPr>
      <w:r>
        <w:rPr>
          <w:color w:val="auto"/>
          <w:szCs w:val="21"/>
        </w:rPr>
        <w:t>单位性质：</w:t>
      </w:r>
      <w:r>
        <w:rPr>
          <w:color w:val="auto"/>
          <w:szCs w:val="21"/>
          <w:u w:val="single"/>
        </w:rPr>
        <w:t xml:space="preserve">                                                        </w:t>
      </w:r>
    </w:p>
    <w:p>
      <w:pPr>
        <w:spacing w:line="500" w:lineRule="exact"/>
        <w:rPr>
          <w:color w:val="auto"/>
          <w:szCs w:val="21"/>
        </w:rPr>
      </w:pPr>
      <w:r>
        <w:rPr>
          <w:color w:val="auto"/>
          <w:szCs w:val="21"/>
        </w:rPr>
        <w:t>地    址：</w:t>
      </w:r>
      <w:r>
        <w:rPr>
          <w:color w:val="auto"/>
          <w:szCs w:val="21"/>
          <w:u w:val="single"/>
        </w:rPr>
        <w:t xml:space="preserve">                                                        </w:t>
      </w:r>
    </w:p>
    <w:p>
      <w:pPr>
        <w:spacing w:line="500" w:lineRule="exact"/>
        <w:rPr>
          <w:color w:val="auto"/>
          <w:szCs w:val="21"/>
        </w:rPr>
      </w:pPr>
      <w:r>
        <w:rPr>
          <w:color w:val="auto"/>
          <w:szCs w:val="21"/>
        </w:rPr>
        <w:t>成立时间：</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500" w:lineRule="exact"/>
        <w:rPr>
          <w:color w:val="auto"/>
          <w:szCs w:val="21"/>
        </w:rPr>
      </w:pPr>
      <w:r>
        <w:rPr>
          <w:color w:val="auto"/>
          <w:szCs w:val="21"/>
        </w:rPr>
        <w:t>经营期限：</w:t>
      </w:r>
      <w:r>
        <w:rPr>
          <w:color w:val="auto"/>
          <w:szCs w:val="21"/>
          <w:u w:val="single"/>
        </w:rPr>
        <w:t xml:space="preserve">                                                        </w:t>
      </w:r>
    </w:p>
    <w:p>
      <w:pPr>
        <w:spacing w:line="500" w:lineRule="exact"/>
        <w:rPr>
          <w:color w:val="auto"/>
          <w:szCs w:val="21"/>
        </w:rPr>
      </w:pPr>
      <w:r>
        <w:rPr>
          <w:color w:val="auto"/>
          <w:szCs w:val="21"/>
        </w:rPr>
        <w:t>姓    名：</w:t>
      </w:r>
      <w:r>
        <w:rPr>
          <w:color w:val="auto"/>
          <w:szCs w:val="21"/>
          <w:u w:val="single"/>
        </w:rPr>
        <w:t xml:space="preserve">                          </w:t>
      </w:r>
      <w:r>
        <w:rPr>
          <w:color w:val="auto"/>
          <w:szCs w:val="21"/>
        </w:rPr>
        <w:t>性        别：</w:t>
      </w:r>
      <w:r>
        <w:rPr>
          <w:color w:val="auto"/>
          <w:szCs w:val="21"/>
          <w:u w:val="single"/>
        </w:rPr>
        <w:t xml:space="preserve">                </w:t>
      </w:r>
    </w:p>
    <w:p>
      <w:pPr>
        <w:spacing w:line="500" w:lineRule="exact"/>
        <w:rPr>
          <w:color w:val="auto"/>
          <w:szCs w:val="21"/>
        </w:rPr>
      </w:pPr>
      <w:r>
        <w:rPr>
          <w:color w:val="auto"/>
          <w:szCs w:val="21"/>
        </w:rPr>
        <w:t>年    龄：</w:t>
      </w:r>
      <w:r>
        <w:rPr>
          <w:color w:val="auto"/>
          <w:szCs w:val="21"/>
          <w:u w:val="single"/>
        </w:rPr>
        <w:t xml:space="preserve">                          </w:t>
      </w:r>
      <w:r>
        <w:rPr>
          <w:color w:val="auto"/>
          <w:szCs w:val="21"/>
        </w:rPr>
        <w:t>职        务：</w:t>
      </w:r>
      <w:r>
        <w:rPr>
          <w:color w:val="auto"/>
          <w:szCs w:val="21"/>
          <w:u w:val="single"/>
        </w:rPr>
        <w:t xml:space="preserve">                </w:t>
      </w:r>
    </w:p>
    <w:p>
      <w:pPr>
        <w:spacing w:line="500" w:lineRule="exact"/>
        <w:rPr>
          <w:color w:val="auto"/>
          <w:szCs w:val="21"/>
        </w:rPr>
      </w:pPr>
      <w:r>
        <w:rPr>
          <w:color w:val="auto"/>
          <w:szCs w:val="21"/>
        </w:rPr>
        <w:t>系</w:t>
      </w:r>
      <w:r>
        <w:rPr>
          <w:color w:val="auto"/>
          <w:szCs w:val="21"/>
          <w:u w:val="single"/>
        </w:rPr>
        <w:t xml:space="preserve">                                        </w:t>
      </w:r>
      <w:r>
        <w:rPr>
          <w:color w:val="auto"/>
          <w:szCs w:val="21"/>
        </w:rPr>
        <w:t>（投标人名称）的法定代表人（单位负责人）。</w:t>
      </w:r>
    </w:p>
    <w:p>
      <w:pPr>
        <w:spacing w:line="500" w:lineRule="exact"/>
        <w:rPr>
          <w:color w:val="auto"/>
          <w:szCs w:val="21"/>
        </w:rPr>
      </w:pPr>
      <w:r>
        <w:rPr>
          <w:color w:val="auto"/>
          <w:szCs w:val="21"/>
        </w:rPr>
        <w:t>特此证明。</w:t>
      </w:r>
    </w:p>
    <w:p>
      <w:pPr>
        <w:spacing w:line="500" w:lineRule="exact"/>
        <w:rPr>
          <w:color w:val="auto"/>
          <w:szCs w:val="21"/>
        </w:rPr>
      </w:pPr>
    </w:p>
    <w:p>
      <w:pPr>
        <w:spacing w:line="500" w:lineRule="exact"/>
        <w:rPr>
          <w:color w:val="auto"/>
          <w:szCs w:val="21"/>
        </w:rPr>
      </w:pPr>
    </w:p>
    <w:p>
      <w:pPr>
        <w:wordWrap w:val="0"/>
        <w:spacing w:line="500" w:lineRule="exact"/>
        <w:jc w:val="right"/>
        <w:rPr>
          <w:color w:val="auto"/>
          <w:szCs w:val="21"/>
        </w:rPr>
      </w:pPr>
      <w:r>
        <w:rPr>
          <w:color w:val="auto"/>
          <w:szCs w:val="21"/>
        </w:rPr>
        <w:t>投标人：</w:t>
      </w:r>
      <w:r>
        <w:rPr>
          <w:color w:val="auto"/>
          <w:szCs w:val="21"/>
          <w:u w:val="single"/>
        </w:rPr>
        <w:t xml:space="preserve">                          </w:t>
      </w:r>
      <w:r>
        <w:rPr>
          <w:color w:val="auto"/>
          <w:szCs w:val="21"/>
        </w:rPr>
        <w:t>（盖单位章）</w:t>
      </w:r>
    </w:p>
    <w:p>
      <w:pPr>
        <w:spacing w:line="500" w:lineRule="exact"/>
        <w:ind w:firstLine="3570" w:firstLineChars="1700"/>
        <w:rPr>
          <w:color w:val="auto"/>
          <w:sz w:val="24"/>
          <w:szCs w:val="22"/>
        </w:rPr>
      </w:pP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月</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日</w:t>
      </w:r>
    </w:p>
    <w:p>
      <w:pPr>
        <w:spacing w:line="500" w:lineRule="exact"/>
        <w:ind w:firstLine="3840" w:firstLineChars="1600"/>
        <w:rPr>
          <w:color w:val="auto"/>
          <w:sz w:val="24"/>
          <w:szCs w:val="22"/>
        </w:rPr>
      </w:pPr>
    </w:p>
    <w:p>
      <w:pPr>
        <w:spacing w:line="500" w:lineRule="exact"/>
        <w:rPr>
          <w:b/>
          <w:bCs/>
          <w:color w:val="auto"/>
          <w:sz w:val="24"/>
          <w:szCs w:val="22"/>
        </w:rPr>
      </w:pPr>
    </w:p>
    <w:p>
      <w:pPr>
        <w:spacing w:line="500" w:lineRule="exact"/>
        <w:rPr>
          <w:b/>
          <w:bCs/>
          <w:color w:val="auto"/>
          <w:sz w:val="24"/>
          <w:szCs w:val="22"/>
        </w:rPr>
      </w:pPr>
    </w:p>
    <w:p>
      <w:pPr>
        <w:spacing w:line="500" w:lineRule="exact"/>
        <w:rPr>
          <w:b/>
          <w:bCs/>
          <w:color w:val="auto"/>
          <w:sz w:val="24"/>
          <w:szCs w:val="22"/>
        </w:rPr>
      </w:pPr>
    </w:p>
    <w:bookmarkEnd w:id="394"/>
    <w:p>
      <w:pPr>
        <w:spacing w:line="500" w:lineRule="exact"/>
        <w:jc w:val="center"/>
        <w:rPr>
          <w:color w:val="auto"/>
          <w:sz w:val="32"/>
          <w:szCs w:val="32"/>
        </w:rPr>
      </w:pPr>
      <w:bookmarkStart w:id="398" w:name="_Toc535241084"/>
      <w:bookmarkStart w:id="399" w:name="_Toc535241227"/>
      <w:bookmarkStart w:id="400" w:name="_Toc535241130"/>
      <w:bookmarkStart w:id="401" w:name="_Toc224103497"/>
      <w:bookmarkStart w:id="402" w:name="_Toc224103498"/>
      <w:r>
        <w:rPr>
          <w:color w:val="auto"/>
          <w:sz w:val="32"/>
          <w:szCs w:val="32"/>
        </w:rPr>
        <w:br w:type="page"/>
      </w:r>
      <w:r>
        <w:rPr>
          <w:rFonts w:eastAsia="黑体"/>
          <w:bCs/>
          <w:color w:val="auto"/>
          <w:sz w:val="24"/>
        </w:rPr>
        <w:t>授权委托书</w:t>
      </w:r>
      <w:bookmarkEnd w:id="398"/>
      <w:bookmarkEnd w:id="399"/>
      <w:bookmarkEnd w:id="400"/>
    </w:p>
    <w:p>
      <w:pPr>
        <w:spacing w:line="500" w:lineRule="exact"/>
        <w:rPr>
          <w:color w:val="auto"/>
        </w:rPr>
      </w:pPr>
    </w:p>
    <w:p>
      <w:pPr>
        <w:snapToGrid w:val="0"/>
        <w:spacing w:line="500" w:lineRule="exact"/>
        <w:ind w:firstLine="420" w:firstLineChars="200"/>
        <w:jc w:val="left"/>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（投标人名称）的法定代表人（单位负责人），现委托</w:t>
      </w:r>
      <w:r>
        <w:rPr>
          <w:color w:val="auto"/>
          <w:szCs w:val="21"/>
          <w:u w:val="single"/>
        </w:rPr>
        <w:t xml:space="preserve">      </w:t>
      </w:r>
      <w:r>
        <w:rPr>
          <w:color w:val="auto"/>
          <w:szCs w:val="21"/>
        </w:rPr>
        <w:t>（姓名）为我方代理人。代理人根据授权，以我方名义签署、澄清、说明、补正、递交、撤回、修改</w:t>
      </w:r>
      <w:r>
        <w:rPr>
          <w:rFonts w:hint="eastAsia"/>
          <w:color w:val="auto"/>
          <w:szCs w:val="21"/>
          <w:u w:val="single"/>
        </w:rPr>
        <w:t>庐江文旅投资食品原材料采购米、油、调味品类</w:t>
      </w:r>
      <w:r>
        <w:rPr>
          <w:color w:val="auto"/>
          <w:szCs w:val="21"/>
        </w:rPr>
        <w:t>项目投标文件、签订合同和处理有关事宜，其法律后果由我方承担。</w:t>
      </w:r>
    </w:p>
    <w:p>
      <w:pPr>
        <w:snapToGrid w:val="0"/>
        <w:spacing w:line="500" w:lineRule="exact"/>
        <w:ind w:firstLine="420" w:firstLineChars="200"/>
        <w:rPr>
          <w:color w:val="auto"/>
          <w:szCs w:val="21"/>
        </w:rPr>
      </w:pPr>
      <w:r>
        <w:rPr>
          <w:color w:val="auto"/>
          <w:szCs w:val="21"/>
        </w:rPr>
        <w:t>委托期限：</w:t>
      </w:r>
      <w:r>
        <w:rPr>
          <w:color w:val="auto"/>
          <w:szCs w:val="21"/>
          <w:u w:val="single"/>
        </w:rPr>
        <w:t>自本委托书签署之日起至投标有效期期满</w:t>
      </w:r>
      <w:r>
        <w:rPr>
          <w:color w:val="auto"/>
          <w:szCs w:val="21"/>
        </w:rPr>
        <w:t>。</w:t>
      </w:r>
    </w:p>
    <w:p>
      <w:pPr>
        <w:snapToGrid w:val="0"/>
        <w:spacing w:line="500" w:lineRule="exact"/>
        <w:ind w:firstLine="420" w:firstLineChars="200"/>
        <w:rPr>
          <w:color w:val="auto"/>
          <w:szCs w:val="21"/>
        </w:rPr>
      </w:pPr>
      <w:r>
        <w:rPr>
          <w:color w:val="auto"/>
          <w:szCs w:val="21"/>
        </w:rPr>
        <w:t>代理人无转委托权。</w:t>
      </w:r>
    </w:p>
    <w:p>
      <w:pPr>
        <w:snapToGrid w:val="0"/>
        <w:spacing w:line="500" w:lineRule="exact"/>
        <w:ind w:firstLine="420" w:firstLineChars="200"/>
        <w:rPr>
          <w:color w:val="auto"/>
          <w:szCs w:val="21"/>
        </w:rPr>
      </w:pPr>
      <w:r>
        <w:rPr>
          <w:color w:val="auto"/>
          <w:szCs w:val="21"/>
        </w:rPr>
        <w:t>附：法定代表人（单位负责人）身份证明</w:t>
      </w:r>
    </w:p>
    <w:p>
      <w:pPr>
        <w:spacing w:line="500" w:lineRule="exact"/>
        <w:rPr>
          <w:color w:val="auto"/>
          <w:szCs w:val="21"/>
        </w:rPr>
      </w:pPr>
    </w:p>
    <w:p>
      <w:pPr>
        <w:spacing w:line="500" w:lineRule="exact"/>
        <w:ind w:firstLine="3150" w:firstLineChars="1500"/>
        <w:rPr>
          <w:color w:val="auto"/>
          <w:szCs w:val="21"/>
        </w:rPr>
      </w:pPr>
      <w:r>
        <w:rPr>
          <w:color w:val="auto"/>
          <w:szCs w:val="21"/>
        </w:rPr>
        <w:t>投  标  人：</w:t>
      </w:r>
      <w:r>
        <w:rPr>
          <w:color w:val="auto"/>
          <w:szCs w:val="21"/>
          <w:u w:val="single"/>
        </w:rPr>
        <w:t xml:space="preserve">                         </w:t>
      </w:r>
      <w:r>
        <w:rPr>
          <w:color w:val="auto"/>
          <w:szCs w:val="21"/>
        </w:rPr>
        <w:t>（盖单位章）</w:t>
      </w:r>
    </w:p>
    <w:p>
      <w:pPr>
        <w:spacing w:line="500" w:lineRule="exact"/>
        <w:ind w:firstLine="3150" w:firstLineChars="1500"/>
        <w:rPr>
          <w:color w:val="auto"/>
          <w:szCs w:val="21"/>
        </w:rPr>
      </w:pPr>
      <w:r>
        <w:rPr>
          <w:color w:val="auto"/>
          <w:szCs w:val="21"/>
        </w:rPr>
        <w:t>法定代表人（单位负责人）：</w:t>
      </w:r>
      <w:r>
        <w:rPr>
          <w:color w:val="auto"/>
          <w:szCs w:val="21"/>
          <w:u w:val="single"/>
        </w:rPr>
        <w:t xml:space="preserve">          </w:t>
      </w:r>
      <w:r>
        <w:rPr>
          <w:color w:val="auto"/>
          <w:szCs w:val="21"/>
        </w:rPr>
        <w:t>（签字或盖章）</w:t>
      </w:r>
    </w:p>
    <w:p>
      <w:pPr>
        <w:spacing w:line="500" w:lineRule="exact"/>
        <w:ind w:firstLine="3150" w:firstLineChars="1500"/>
        <w:rPr>
          <w:color w:val="auto"/>
          <w:szCs w:val="21"/>
          <w:u w:val="single"/>
        </w:rPr>
      </w:pPr>
      <w:r>
        <w:rPr>
          <w:color w:val="auto"/>
          <w:szCs w:val="21"/>
        </w:rPr>
        <w:t>身份证号码（代理人）：</w:t>
      </w:r>
      <w:r>
        <w:rPr>
          <w:color w:val="auto"/>
          <w:szCs w:val="21"/>
          <w:u w:val="single"/>
        </w:rPr>
        <w:t xml:space="preserve">                                   </w:t>
      </w:r>
    </w:p>
    <w:p>
      <w:pPr>
        <w:spacing w:line="500" w:lineRule="exact"/>
        <w:ind w:firstLine="4830" w:firstLineChars="2300"/>
        <w:jc w:val="righ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autoSpaceDE w:val="0"/>
        <w:autoSpaceDN w:val="0"/>
        <w:adjustRightInd w:val="0"/>
        <w:snapToGrid w:val="0"/>
        <w:spacing w:line="500" w:lineRule="exact"/>
        <w:jc w:val="left"/>
        <w:rPr>
          <w:color w:val="auto"/>
          <w:kern w:val="0"/>
          <w:szCs w:val="22"/>
        </w:rPr>
      </w:pPr>
    </w:p>
    <w:p>
      <w:pPr>
        <w:tabs>
          <w:tab w:val="left" w:pos="5760"/>
        </w:tabs>
        <w:autoSpaceDE w:val="0"/>
        <w:autoSpaceDN w:val="0"/>
        <w:adjustRightInd w:val="0"/>
        <w:spacing w:line="500" w:lineRule="exact"/>
        <w:ind w:right="11"/>
        <w:rPr>
          <w:color w:val="auto"/>
          <w:kern w:val="0"/>
          <w:szCs w:val="22"/>
        </w:rPr>
      </w:pPr>
      <w:r>
        <w:rPr>
          <w:color w:val="auto"/>
          <w:kern w:val="0"/>
          <w:szCs w:val="22"/>
        </w:rPr>
        <w:t>注：</w:t>
      </w:r>
    </w:p>
    <w:p>
      <w:pPr>
        <w:tabs>
          <w:tab w:val="left" w:pos="5760"/>
        </w:tabs>
        <w:autoSpaceDE w:val="0"/>
        <w:autoSpaceDN w:val="0"/>
        <w:adjustRightInd w:val="0"/>
        <w:spacing w:line="500" w:lineRule="exact"/>
        <w:ind w:right="11"/>
        <w:rPr>
          <w:color w:val="auto"/>
          <w:kern w:val="0"/>
          <w:szCs w:val="22"/>
        </w:rPr>
      </w:pPr>
      <w:r>
        <w:rPr>
          <w:color w:val="auto"/>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401"/>
      <w:bookmarkEnd w:id="402"/>
      <w:bookmarkStart w:id="403" w:name="_Toc224103499"/>
      <w:bookmarkStart w:id="404" w:name="_Toc460660224"/>
      <w:bookmarkStart w:id="405" w:name="_Toc460227109"/>
      <w:bookmarkStart w:id="406" w:name="_Toc390411622"/>
      <w:bookmarkStart w:id="407" w:name="_Toc421917002"/>
    </w:p>
    <w:p>
      <w:pPr>
        <w:pStyle w:val="4"/>
        <w:spacing w:before="0" w:after="0" w:line="500" w:lineRule="exact"/>
        <w:ind w:firstLine="480" w:firstLineChars="200"/>
        <w:jc w:val="center"/>
        <w:rPr>
          <w:rFonts w:ascii="Times New Roman" w:hAnsi="Times New Roman" w:eastAsia="宋体"/>
          <w:bCs w:val="0"/>
          <w:color w:val="auto"/>
          <w:sz w:val="21"/>
          <w:szCs w:val="21"/>
        </w:rPr>
      </w:pPr>
      <w:r>
        <w:rPr>
          <w:rFonts w:ascii="Times New Roman" w:hAnsi="Times New Roman"/>
          <w:color w:val="auto"/>
          <w:kern w:val="0"/>
          <w:szCs w:val="22"/>
        </w:rPr>
        <w:br w:type="page"/>
      </w:r>
      <w:bookmarkEnd w:id="403"/>
      <w:bookmarkEnd w:id="404"/>
      <w:bookmarkEnd w:id="405"/>
      <w:bookmarkEnd w:id="406"/>
      <w:bookmarkEnd w:id="407"/>
      <w:bookmarkStart w:id="408" w:name="_Toc460227114"/>
      <w:bookmarkStart w:id="409" w:name="_Toc460660229"/>
      <w:bookmarkStart w:id="410" w:name="_Toc535241229"/>
      <w:bookmarkStart w:id="411" w:name="_Toc535241086"/>
      <w:bookmarkStart w:id="412" w:name="_Toc460227110"/>
      <w:bookmarkStart w:id="413" w:name="_Toc460660225"/>
      <w:bookmarkStart w:id="414" w:name="_Toc535241132"/>
      <w:r>
        <w:rPr>
          <w:rFonts w:hint="eastAsia" w:ascii="Times New Roman" w:hAnsi="Times New Roman"/>
          <w:color w:val="auto"/>
          <w:kern w:val="0"/>
          <w:szCs w:val="22"/>
          <w:lang w:val="en-US" w:eastAsia="zh-CN"/>
        </w:rPr>
        <w:t>三</w:t>
      </w:r>
      <w:r>
        <w:rPr>
          <w:rFonts w:ascii="Times New Roman" w:hAnsi="Times New Roman"/>
          <w:color w:val="auto"/>
        </w:rPr>
        <w:t>、投标保证金</w:t>
      </w:r>
      <w:bookmarkEnd w:id="408"/>
      <w:bookmarkEnd w:id="409"/>
    </w:p>
    <w:p>
      <w:pPr>
        <w:spacing w:line="500" w:lineRule="exact"/>
        <w:ind w:firstLine="420" w:firstLineChars="200"/>
        <w:rPr>
          <w:color w:val="auto"/>
          <w:szCs w:val="21"/>
        </w:rPr>
      </w:pPr>
      <w:r>
        <w:rPr>
          <w:color w:val="auto"/>
          <w:szCs w:val="21"/>
        </w:rPr>
        <w:t>投标人应在此提供银行回单的扫描件、基本账户开户许可证扫描件（或基本存款账户编号）。</w:t>
      </w:r>
    </w:p>
    <w:p>
      <w:pPr>
        <w:spacing w:line="500" w:lineRule="exact"/>
        <w:ind w:firstLine="420" w:firstLineChars="200"/>
        <w:jc w:val="left"/>
        <w:rPr>
          <w:color w:val="auto"/>
        </w:rPr>
      </w:pPr>
    </w:p>
    <w:p>
      <w:pPr>
        <w:pStyle w:val="4"/>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四</w:t>
      </w:r>
      <w:r>
        <w:rPr>
          <w:rFonts w:ascii="Times New Roman" w:hAnsi="Times New Roman"/>
          <w:color w:val="auto"/>
        </w:rPr>
        <w:t>、投标保证金退还声明</w:t>
      </w:r>
    </w:p>
    <w:p>
      <w:pPr>
        <w:spacing w:line="500" w:lineRule="exact"/>
        <w:ind w:firstLine="550" w:firstLineChars="262"/>
        <w:rPr>
          <w:color w:val="auto"/>
          <w:szCs w:val="21"/>
          <w:u w:val="single"/>
        </w:rPr>
      </w:pPr>
      <w:r>
        <w:rPr>
          <w:color w:val="auto"/>
          <w:szCs w:val="21"/>
        </w:rPr>
        <w:t>招标项目名称：</w:t>
      </w:r>
      <w:r>
        <w:rPr>
          <w:rFonts w:hint="eastAsia"/>
          <w:color w:val="auto"/>
          <w:szCs w:val="21"/>
          <w:u w:val="single"/>
        </w:rPr>
        <w:t>庐江文旅投资食品原材料采购米、油、调味品类</w:t>
      </w:r>
    </w:p>
    <w:p>
      <w:pPr>
        <w:spacing w:line="500" w:lineRule="exact"/>
        <w:ind w:firstLine="550" w:firstLineChars="262"/>
        <w:rPr>
          <w:color w:val="auto"/>
          <w:szCs w:val="21"/>
          <w:u w:val="single"/>
        </w:rPr>
      </w:pPr>
      <w:r>
        <w:rPr>
          <w:color w:val="auto"/>
          <w:szCs w:val="21"/>
        </w:rPr>
        <w:t>招标项目编号：</w:t>
      </w:r>
      <w:r>
        <w:rPr>
          <w:bCs/>
          <w:snapToGrid w:val="0"/>
          <w:color w:val="auto"/>
          <w:kern w:val="0"/>
          <w:szCs w:val="21"/>
          <w:u w:val="single"/>
        </w:rPr>
        <w:t>某招标项目标段编号</w:t>
      </w:r>
    </w:p>
    <w:p>
      <w:pPr>
        <w:spacing w:line="500" w:lineRule="exact"/>
        <w:ind w:firstLine="550" w:firstLineChars="262"/>
        <w:rPr>
          <w:color w:val="auto"/>
          <w:szCs w:val="21"/>
        </w:rPr>
      </w:pPr>
      <w:r>
        <w:rPr>
          <w:color w:val="auto"/>
          <w:szCs w:val="21"/>
        </w:rPr>
        <w:t>投标保证金金额：</w:t>
      </w:r>
      <w:r>
        <w:rPr>
          <w:color w:val="auto"/>
          <w:szCs w:val="21"/>
          <w:u w:val="single"/>
        </w:rPr>
        <w:t xml:space="preserve">                 </w:t>
      </w:r>
    </w:p>
    <w:p>
      <w:pPr>
        <w:spacing w:line="500" w:lineRule="exact"/>
        <w:ind w:firstLine="420" w:firstLineChars="200"/>
        <w:rPr>
          <w:color w:val="auto"/>
          <w:szCs w:val="21"/>
        </w:rPr>
      </w:pPr>
      <w:r>
        <w:rPr>
          <w:color w:val="auto"/>
          <w:szCs w:val="21"/>
        </w:rPr>
        <w:t>我单位投标保证金到期后请汇至如下账号：</w:t>
      </w:r>
    </w:p>
    <w:p>
      <w:pPr>
        <w:spacing w:line="500" w:lineRule="exact"/>
        <w:ind w:firstLine="629"/>
        <w:rPr>
          <w:color w:val="auto"/>
          <w:szCs w:val="21"/>
          <w:u w:val="single"/>
        </w:rPr>
      </w:pPr>
      <w:r>
        <w:rPr>
          <w:color w:val="auto"/>
          <w:szCs w:val="21"/>
        </w:rPr>
        <w:t>收款单位：</w:t>
      </w:r>
      <w:r>
        <w:rPr>
          <w:color w:val="auto"/>
          <w:szCs w:val="21"/>
          <w:u w:val="single"/>
        </w:rPr>
        <w:t xml:space="preserve">                       </w:t>
      </w:r>
    </w:p>
    <w:p>
      <w:pPr>
        <w:spacing w:line="500" w:lineRule="exact"/>
        <w:ind w:firstLine="629"/>
        <w:rPr>
          <w:color w:val="auto"/>
          <w:szCs w:val="21"/>
          <w:u w:val="single"/>
        </w:rPr>
      </w:pPr>
      <w:r>
        <w:rPr>
          <w:color w:val="auto"/>
          <w:szCs w:val="21"/>
        </w:rPr>
        <w:t>开 户 行：</w:t>
      </w:r>
      <w:r>
        <w:rPr>
          <w:color w:val="auto"/>
          <w:szCs w:val="21"/>
          <w:u w:val="single"/>
        </w:rPr>
        <w:t xml:space="preserve">                       </w:t>
      </w:r>
    </w:p>
    <w:p>
      <w:pPr>
        <w:spacing w:line="500" w:lineRule="exact"/>
        <w:ind w:firstLine="629"/>
        <w:rPr>
          <w:color w:val="auto"/>
          <w:szCs w:val="21"/>
          <w:u w:val="single"/>
        </w:rPr>
      </w:pPr>
      <w:r>
        <w:rPr>
          <w:color w:val="auto"/>
          <w:szCs w:val="21"/>
        </w:rPr>
        <w:t>银行账号：</w:t>
      </w:r>
      <w:r>
        <w:rPr>
          <w:color w:val="auto"/>
          <w:szCs w:val="21"/>
          <w:u w:val="single"/>
        </w:rPr>
        <w:t xml:space="preserve">                       </w:t>
      </w:r>
    </w:p>
    <w:p>
      <w:pPr>
        <w:spacing w:line="500" w:lineRule="exact"/>
        <w:ind w:firstLine="629"/>
        <w:rPr>
          <w:color w:val="auto"/>
          <w:szCs w:val="21"/>
          <w:u w:val="single"/>
        </w:rPr>
      </w:pPr>
      <w:r>
        <w:rPr>
          <w:color w:val="auto"/>
          <w:szCs w:val="21"/>
        </w:rPr>
        <w:t>电    话：</w:t>
      </w:r>
      <w:r>
        <w:rPr>
          <w:color w:val="auto"/>
          <w:szCs w:val="21"/>
          <w:u w:val="single"/>
        </w:rPr>
        <w:t xml:space="preserve">                       </w:t>
      </w:r>
    </w:p>
    <w:p>
      <w:pPr>
        <w:spacing w:line="500" w:lineRule="exact"/>
        <w:ind w:firstLine="629"/>
        <w:rPr>
          <w:color w:val="auto"/>
          <w:szCs w:val="21"/>
          <w:u w:val="single"/>
        </w:rPr>
      </w:pPr>
      <w:r>
        <w:rPr>
          <w:color w:val="auto"/>
          <w:szCs w:val="21"/>
        </w:rPr>
        <w:t>地    址：</w:t>
      </w:r>
      <w:r>
        <w:rPr>
          <w:color w:val="auto"/>
          <w:szCs w:val="21"/>
          <w:u w:val="single"/>
        </w:rPr>
        <w:t xml:space="preserve">                       </w:t>
      </w:r>
    </w:p>
    <w:p>
      <w:pPr>
        <w:spacing w:line="500" w:lineRule="exact"/>
        <w:rPr>
          <w:color w:val="auto"/>
          <w:szCs w:val="21"/>
        </w:rPr>
      </w:pPr>
    </w:p>
    <w:p>
      <w:pPr>
        <w:spacing w:line="500" w:lineRule="exact"/>
        <w:ind w:firstLine="630"/>
        <w:rPr>
          <w:color w:val="auto"/>
          <w:szCs w:val="21"/>
        </w:rPr>
      </w:pPr>
    </w:p>
    <w:p>
      <w:pPr>
        <w:spacing w:line="500" w:lineRule="exact"/>
        <w:ind w:firstLine="630"/>
        <w:rPr>
          <w:b/>
          <w:bCs/>
          <w:color w:val="auto"/>
          <w:szCs w:val="21"/>
        </w:rPr>
      </w:pPr>
      <w:r>
        <w:rPr>
          <w:color w:val="auto"/>
          <w:szCs w:val="21"/>
        </w:rPr>
        <w:t xml:space="preserve">                     </w:t>
      </w:r>
      <w:r>
        <w:rPr>
          <w:b/>
          <w:bCs/>
          <w:color w:val="auto"/>
          <w:szCs w:val="21"/>
        </w:rPr>
        <w:t xml:space="preserve">                 </w:t>
      </w:r>
      <w:r>
        <w:rPr>
          <w:bCs/>
          <w:color w:val="auto"/>
          <w:szCs w:val="21"/>
        </w:rPr>
        <w:t>投标人盖章：</w:t>
      </w:r>
      <w:r>
        <w:rPr>
          <w:rFonts w:hint="eastAsia"/>
          <w:bCs/>
          <w:color w:val="auto"/>
          <w:szCs w:val="21"/>
          <w:u w:val="single"/>
        </w:rPr>
        <w:t xml:space="preserve">              </w:t>
      </w: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pStyle w:val="4"/>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五</w:t>
      </w:r>
      <w:r>
        <w:rPr>
          <w:rFonts w:ascii="Times New Roman" w:hAnsi="Times New Roman"/>
          <w:color w:val="auto"/>
        </w:rPr>
        <w:t>、商务和技术偏差表</w:t>
      </w:r>
    </w:p>
    <w:p>
      <w:pPr>
        <w:pStyle w:val="4"/>
        <w:spacing w:before="0" w:after="0" w:line="500" w:lineRule="exact"/>
        <w:jc w:val="center"/>
        <w:rPr>
          <w:rFonts w:ascii="Times New Roman" w:hAnsi="Times New Roman"/>
          <w:color w:val="auto"/>
        </w:rPr>
      </w:pPr>
      <w:r>
        <w:rPr>
          <w:rFonts w:ascii="Times New Roman" w:hAnsi="Times New Roman"/>
          <w:color w:val="auto"/>
        </w:rPr>
        <w:t>（一）商务条款偏差表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2821" w:type="dxa"/>
            <w:gridSpan w:val="2"/>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977"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25" w:type="dxa"/>
            <w:vMerge w:val="continue"/>
            <w:noWrap w:val="0"/>
            <w:vAlign w:val="center"/>
          </w:tcPr>
          <w:p>
            <w:pPr>
              <w:widowControl/>
              <w:snapToGrid w:val="0"/>
              <w:spacing w:line="500" w:lineRule="exact"/>
              <w:jc w:val="center"/>
              <w:rPr>
                <w:color w:val="auto"/>
                <w:kern w:val="0"/>
                <w:szCs w:val="21"/>
              </w:rPr>
            </w:pPr>
          </w:p>
        </w:tc>
        <w:tc>
          <w:tcPr>
            <w:tcW w:w="1545"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276"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559"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41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1</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2</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3</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4</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szCs w:val="21"/>
        </w:rPr>
      </w:pPr>
    </w:p>
    <w:p>
      <w:pPr>
        <w:spacing w:line="500" w:lineRule="exact"/>
        <w:rPr>
          <w:color w:val="auto"/>
          <w:szCs w:val="21"/>
        </w:rPr>
      </w:pPr>
      <w:r>
        <w:rPr>
          <w:color w:val="auto"/>
          <w:szCs w:val="21"/>
        </w:rPr>
        <w:t>注：投标人对付款方式、交货期、交货地点、质量保证期、投标有效期及其他商务条款未完全响应的，应当填写上表。</w:t>
      </w:r>
    </w:p>
    <w:p>
      <w:pPr>
        <w:spacing w:line="500" w:lineRule="exact"/>
        <w:rPr>
          <w:color w:val="auto"/>
          <w:szCs w:val="21"/>
        </w:rPr>
      </w:pPr>
      <w:r>
        <w:rPr>
          <w:color w:val="auto"/>
          <w:szCs w:val="21"/>
        </w:rPr>
        <w:t>投标人保证：除商务和技术偏差表列出的偏差外，投标人响应招标文件的全部要求。</w:t>
      </w:r>
    </w:p>
    <w:p>
      <w:pPr>
        <w:spacing w:line="500" w:lineRule="exact"/>
        <w:rPr>
          <w:color w:val="auto"/>
          <w:szCs w:val="21"/>
        </w:rPr>
      </w:pPr>
    </w:p>
    <w:p>
      <w:pPr>
        <w:pStyle w:val="4"/>
        <w:pageBreakBefore/>
        <w:spacing w:before="0" w:after="0" w:line="500" w:lineRule="exact"/>
        <w:jc w:val="center"/>
        <w:rPr>
          <w:rFonts w:ascii="Times New Roman" w:hAnsi="Times New Roman"/>
          <w:color w:val="auto"/>
        </w:rPr>
      </w:pPr>
      <w:r>
        <w:rPr>
          <w:rFonts w:ascii="Times New Roman" w:hAnsi="Times New Roman"/>
          <w:color w:val="auto"/>
        </w:rPr>
        <w:t>（二）技术条款偏差表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03"/>
        <w:gridCol w:w="1020"/>
        <w:gridCol w:w="1065"/>
        <w:gridCol w:w="1020"/>
        <w:gridCol w:w="109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4088" w:type="dxa"/>
            <w:gridSpan w:val="3"/>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118"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noWrap w:val="0"/>
            <w:vAlign w:val="center"/>
          </w:tcPr>
          <w:p>
            <w:pPr>
              <w:widowControl/>
              <w:snapToGrid w:val="0"/>
              <w:spacing w:line="500" w:lineRule="exact"/>
              <w:jc w:val="center"/>
              <w:rPr>
                <w:b/>
                <w:color w:val="auto"/>
                <w:kern w:val="0"/>
                <w:szCs w:val="21"/>
              </w:rPr>
            </w:pPr>
            <w:r>
              <w:rPr>
                <w:b/>
                <w:color w:val="auto"/>
                <w:kern w:val="0"/>
                <w:szCs w:val="21"/>
              </w:rPr>
              <w:t>供货要求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65"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9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1</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供货范围</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2</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相关配置、功能、技术性能参数等具体要求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3</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检验考核要求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4</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技术服务要求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5</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参考品牌（或型号）</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其他要求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rPr>
      </w:pPr>
    </w:p>
    <w:p>
      <w:pPr>
        <w:spacing w:line="500" w:lineRule="exact"/>
        <w:jc w:val="left"/>
        <w:rPr>
          <w:color w:val="auto"/>
        </w:rPr>
      </w:pPr>
      <w:r>
        <w:rPr>
          <w:color w:val="auto"/>
        </w:rPr>
        <w:t>（1）投标人保证：除商务和技术偏差表列出的偏差外，投标人响应招标文件的全部要求。</w:t>
      </w:r>
    </w:p>
    <w:p>
      <w:pPr>
        <w:spacing w:line="500" w:lineRule="exact"/>
        <w:jc w:val="left"/>
        <w:rPr>
          <w:color w:val="auto"/>
        </w:rPr>
      </w:pPr>
      <w:r>
        <w:rPr>
          <w:color w:val="auto"/>
        </w:rPr>
        <w:t>（2）采用其他品牌（或型号）的应在上述《技术条款偏差表》中注明并提供有关技术性能指标证明资料等供评标委员会评审，未注明且未提供有关技术性能指标证明资料，或经评标委员会评审未通过的，中标后只能从招标人推荐（或参考）品牌中进行选择，合同价格不予调整。</w:t>
      </w: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center"/>
        <w:outlineLvl w:val="2"/>
        <w:rPr>
          <w:color w:val="auto"/>
        </w:rPr>
      </w:pPr>
      <w:r>
        <w:rPr>
          <w:rFonts w:hint="eastAsia" w:eastAsia="黑体"/>
          <w:bCs/>
          <w:color w:val="auto"/>
          <w:sz w:val="24"/>
          <w:lang w:val="en-US" w:eastAsia="zh-CN"/>
        </w:rPr>
        <w:t>六</w:t>
      </w:r>
      <w:r>
        <w:rPr>
          <w:rFonts w:eastAsia="黑体"/>
          <w:bCs/>
          <w:color w:val="auto"/>
          <w:sz w:val="24"/>
        </w:rPr>
        <w:t>、资格审查资料</w:t>
      </w:r>
    </w:p>
    <w:p>
      <w:pPr>
        <w:pStyle w:val="4"/>
        <w:spacing w:before="0" w:after="0" w:line="500" w:lineRule="exact"/>
        <w:jc w:val="center"/>
        <w:rPr>
          <w:rFonts w:ascii="Times New Roman" w:hAnsi="Times New Roman"/>
          <w:color w:val="auto"/>
          <w:szCs w:val="22"/>
        </w:rPr>
      </w:pPr>
      <w:r>
        <w:rPr>
          <w:rFonts w:ascii="Times New Roman" w:hAnsi="Times New Roman"/>
          <w:color w:val="auto"/>
        </w:rPr>
        <w:t>（一）投标人基本情况表</w:t>
      </w:r>
      <w:bookmarkEnd w:id="410"/>
      <w:bookmarkEnd w:id="411"/>
      <w:bookmarkEnd w:id="412"/>
      <w:bookmarkEnd w:id="413"/>
      <w:bookmarkEnd w:id="414"/>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注册</w:t>
            </w:r>
            <w:r>
              <w:rPr>
                <w:color w:val="auto"/>
                <w:szCs w:val="21"/>
              </w:rPr>
              <w:t>资金</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邮政编码</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联系人</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网址</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法定代表人</w:t>
            </w:r>
          </w:p>
          <w:p>
            <w:pPr>
              <w:topLinePunct/>
              <w:spacing w:line="500" w:lineRule="exact"/>
              <w:jc w:val="center"/>
              <w:rPr>
                <w:color w:val="auto"/>
                <w:szCs w:val="21"/>
              </w:rPr>
            </w:pPr>
            <w:r>
              <w:rPr>
                <w:color w:val="auto"/>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姓名</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r>
              <w:rPr>
                <w:color w:val="auto"/>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近三年营业额</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投标货物制造商名称</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投标人须知要求</w:t>
            </w:r>
          </w:p>
          <w:p>
            <w:pPr>
              <w:topLinePunct/>
              <w:spacing w:line="500" w:lineRule="exact"/>
              <w:jc w:val="center"/>
              <w:rPr>
                <w:color w:val="auto"/>
                <w:szCs w:val="21"/>
              </w:rPr>
            </w:pPr>
            <w:r>
              <w:rPr>
                <w:color w:val="auto"/>
                <w:szCs w:val="21"/>
              </w:rPr>
              <w:t>投标货物制造商需具有的资质证书</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bl>
    <w:p>
      <w:pPr>
        <w:spacing w:line="500" w:lineRule="exact"/>
        <w:rPr>
          <w:color w:val="auto"/>
        </w:rPr>
      </w:pPr>
      <w:r>
        <w:rPr>
          <w:color w:val="auto"/>
        </w:rPr>
        <w:t>注：1. 投标人应根据投标人须知第3.5.1项的要求在本表后附相关证明材料。根据投标人须知前附表第3.4.1项的要求需要投标人提供基本账户开户证明的，还应附基本账户开户许可证明扫描件。</w:t>
      </w:r>
    </w:p>
    <w:p>
      <w:pPr>
        <w:spacing w:line="500" w:lineRule="exact"/>
        <w:ind w:firstLine="420" w:firstLineChars="200"/>
        <w:rPr>
          <w:color w:val="auto"/>
          <w:szCs w:val="22"/>
        </w:rPr>
      </w:pPr>
      <w:r>
        <w:rPr>
          <w:color w:val="auto"/>
        </w:rPr>
        <w:t>2. 如果投标人须知第1.4.1项对投标货物制造商的资质提出了要求，投标人应根据投标人须知第3.5.1项的要求在本表后附相关资质证书扫描件。</w:t>
      </w:r>
    </w:p>
    <w:p>
      <w:pPr>
        <w:pStyle w:val="4"/>
        <w:spacing w:before="0" w:after="0" w:line="500" w:lineRule="exact"/>
        <w:jc w:val="center"/>
        <w:rPr>
          <w:rFonts w:ascii="Times New Roman" w:hAnsi="Times New Roman"/>
          <w:color w:val="auto"/>
        </w:rPr>
      </w:pPr>
      <w:r>
        <w:rPr>
          <w:rFonts w:ascii="Times New Roman" w:hAnsi="Times New Roman"/>
          <w:color w:val="auto"/>
          <w:szCs w:val="22"/>
        </w:rPr>
        <w:br w:type="page"/>
      </w:r>
      <w:bookmarkStart w:id="415" w:name="_Toc535241230"/>
      <w:bookmarkStart w:id="416" w:name="_Toc535241133"/>
      <w:bookmarkStart w:id="417" w:name="_Toc535241087"/>
      <w:r>
        <w:rPr>
          <w:rFonts w:ascii="Times New Roman" w:hAnsi="Times New Roman"/>
          <w:color w:val="auto"/>
        </w:rPr>
        <w:t>（二）近年财务状况</w:t>
      </w:r>
    </w:p>
    <w:p>
      <w:pPr>
        <w:spacing w:line="500" w:lineRule="exact"/>
        <w:jc w:val="center"/>
        <w:rPr>
          <w:i/>
          <w:iCs/>
          <w:color w:val="auto"/>
          <w:szCs w:val="21"/>
        </w:rPr>
      </w:pPr>
      <w:r>
        <w:rPr>
          <w:i/>
          <w:iCs/>
          <w:color w:val="auto"/>
          <w:szCs w:val="21"/>
        </w:rPr>
        <w:t>（未要求提供财务状况的，无需此件）</w:t>
      </w:r>
    </w:p>
    <w:p>
      <w:pPr>
        <w:spacing w:line="500" w:lineRule="exact"/>
        <w:jc w:val="center"/>
        <w:rPr>
          <w:rFonts w:eastAsia="黑体"/>
          <w:color w:val="auto"/>
          <w:kern w:val="0"/>
          <w:sz w:val="20"/>
          <w:szCs w:val="20"/>
        </w:rPr>
      </w:pPr>
      <w:r>
        <w:rPr>
          <w:rFonts w:eastAsia="黑体"/>
          <w:color w:val="auto"/>
          <w:sz w:val="24"/>
          <w:szCs w:val="21"/>
        </w:rPr>
        <w:t>财务状况表</w:t>
      </w:r>
    </w:p>
    <w:tbl>
      <w:tblPr>
        <w:tblStyle w:val="54"/>
        <w:tblW w:w="0" w:type="auto"/>
        <w:jc w:val="center"/>
        <w:tblLayout w:type="fixed"/>
        <w:tblCellMar>
          <w:top w:w="0" w:type="dxa"/>
          <w:left w:w="0" w:type="dxa"/>
          <w:bottom w:w="0" w:type="dxa"/>
          <w:right w:w="0" w:type="dxa"/>
        </w:tblCellMar>
      </w:tblPr>
      <w:tblGrid>
        <w:gridCol w:w="3016"/>
        <w:gridCol w:w="900"/>
        <w:gridCol w:w="1320"/>
        <w:gridCol w:w="1321"/>
        <w:gridCol w:w="1320"/>
      </w:tblGrid>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项目</w:t>
            </w:r>
            <w:r>
              <w:rPr>
                <w:color w:val="auto"/>
                <w:spacing w:val="-2"/>
                <w:kern w:val="0"/>
                <w:szCs w:val="21"/>
              </w:rPr>
              <w:t>或</w:t>
            </w:r>
            <w:r>
              <w:rPr>
                <w:color w:val="auto"/>
                <w:kern w:val="0"/>
                <w:szCs w:val="21"/>
              </w:rPr>
              <w:t>指标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单位</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一、</w:t>
            </w:r>
            <w:r>
              <w:rPr>
                <w:color w:val="auto"/>
                <w:spacing w:val="-2"/>
                <w:kern w:val="0"/>
                <w:szCs w:val="21"/>
              </w:rPr>
              <w:t xml:space="preserve"> </w:t>
            </w:r>
            <w:r>
              <w:rPr>
                <w:color w:val="auto"/>
                <w:kern w:val="0"/>
                <w:szCs w:val="21"/>
              </w:rPr>
              <w:t>注</w:t>
            </w:r>
            <w:r>
              <w:rPr>
                <w:color w:val="auto"/>
                <w:spacing w:val="-2"/>
                <w:kern w:val="0"/>
                <w:szCs w:val="21"/>
              </w:rPr>
              <w:t>册</w:t>
            </w:r>
            <w:r>
              <w:rPr>
                <w:color w:val="auto"/>
                <w:kern w:val="0"/>
                <w:szCs w:val="21"/>
              </w:rPr>
              <w:t>资本</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二、</w:t>
            </w:r>
            <w:r>
              <w:rPr>
                <w:color w:val="auto"/>
                <w:spacing w:val="-2"/>
                <w:kern w:val="0"/>
                <w:szCs w:val="21"/>
              </w:rPr>
              <w:t xml:space="preserve"> </w:t>
            </w:r>
            <w:r>
              <w:rPr>
                <w:color w:val="auto"/>
                <w:kern w:val="0"/>
                <w:szCs w:val="21"/>
              </w:rPr>
              <w:t>净</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三、</w:t>
            </w:r>
            <w:r>
              <w:rPr>
                <w:color w:val="auto"/>
                <w:spacing w:val="-2"/>
                <w:kern w:val="0"/>
                <w:szCs w:val="21"/>
              </w:rPr>
              <w:t xml:space="preserve"> </w:t>
            </w:r>
            <w:r>
              <w:rPr>
                <w:color w:val="auto"/>
                <w:kern w:val="0"/>
                <w:szCs w:val="21"/>
              </w:rPr>
              <w:t>总</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四、</w:t>
            </w:r>
            <w:r>
              <w:rPr>
                <w:color w:val="auto"/>
                <w:spacing w:val="-2"/>
                <w:kern w:val="0"/>
                <w:szCs w:val="21"/>
              </w:rPr>
              <w:t xml:space="preserve"> </w:t>
            </w:r>
            <w:r>
              <w:rPr>
                <w:color w:val="auto"/>
                <w:kern w:val="0"/>
                <w:szCs w:val="21"/>
              </w:rPr>
              <w:t>固</w:t>
            </w:r>
            <w:r>
              <w:rPr>
                <w:color w:val="auto"/>
                <w:spacing w:val="-2"/>
                <w:kern w:val="0"/>
                <w:szCs w:val="21"/>
              </w:rPr>
              <w:t>定</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五、</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六、</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负债</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七、</w:t>
            </w:r>
            <w:r>
              <w:rPr>
                <w:color w:val="auto"/>
                <w:spacing w:val="-2"/>
                <w:kern w:val="0"/>
                <w:szCs w:val="21"/>
              </w:rPr>
              <w:t xml:space="preserve"> </w:t>
            </w:r>
            <w:r>
              <w:rPr>
                <w:color w:val="auto"/>
                <w:kern w:val="0"/>
                <w:szCs w:val="21"/>
              </w:rPr>
              <w:t>负</w:t>
            </w:r>
            <w:r>
              <w:rPr>
                <w:color w:val="auto"/>
                <w:spacing w:val="-2"/>
                <w:kern w:val="0"/>
                <w:szCs w:val="21"/>
              </w:rPr>
              <w:t>债</w:t>
            </w:r>
            <w:r>
              <w:rPr>
                <w:color w:val="auto"/>
                <w:kern w:val="0"/>
                <w:szCs w:val="21"/>
              </w:rPr>
              <w:t>合计</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八、</w:t>
            </w:r>
            <w:r>
              <w:rPr>
                <w:color w:val="auto"/>
                <w:spacing w:val="-2"/>
                <w:kern w:val="0"/>
                <w:szCs w:val="21"/>
              </w:rPr>
              <w:t xml:space="preserve"> </w:t>
            </w:r>
            <w:r>
              <w:rPr>
                <w:color w:val="auto"/>
                <w:kern w:val="0"/>
                <w:szCs w:val="21"/>
              </w:rPr>
              <w:t>营</w:t>
            </w:r>
            <w:r>
              <w:rPr>
                <w:color w:val="auto"/>
                <w:spacing w:val="-2"/>
                <w:kern w:val="0"/>
                <w:szCs w:val="21"/>
              </w:rPr>
              <w:t>业</w:t>
            </w:r>
            <w:r>
              <w:rPr>
                <w:color w:val="auto"/>
                <w:kern w:val="0"/>
                <w:szCs w:val="21"/>
              </w:rPr>
              <w:t>收入</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九、</w:t>
            </w:r>
            <w:r>
              <w:rPr>
                <w:color w:val="auto"/>
                <w:spacing w:val="-2"/>
                <w:kern w:val="0"/>
                <w:szCs w:val="21"/>
              </w:rPr>
              <w:t xml:space="preserve"> </w:t>
            </w:r>
            <w:r>
              <w:rPr>
                <w:color w:val="auto"/>
                <w:kern w:val="0"/>
                <w:szCs w:val="21"/>
              </w:rPr>
              <w:t>净</w:t>
            </w:r>
            <w:r>
              <w:rPr>
                <w:color w:val="auto"/>
                <w:spacing w:val="-2"/>
                <w:kern w:val="0"/>
                <w:szCs w:val="21"/>
              </w:rPr>
              <w:t>利</w:t>
            </w:r>
            <w:r>
              <w:rPr>
                <w:color w:val="auto"/>
                <w:kern w:val="0"/>
                <w:szCs w:val="21"/>
              </w:rPr>
              <w:t>润</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w:t>
            </w:r>
            <w:r>
              <w:rPr>
                <w:color w:val="auto"/>
                <w:spacing w:val="-2"/>
                <w:kern w:val="0"/>
                <w:szCs w:val="21"/>
              </w:rPr>
              <w:t xml:space="preserve"> </w:t>
            </w:r>
            <w:r>
              <w:rPr>
                <w:color w:val="auto"/>
                <w:kern w:val="0"/>
                <w:szCs w:val="21"/>
              </w:rPr>
              <w:t>现</w:t>
            </w:r>
            <w:r>
              <w:rPr>
                <w:color w:val="auto"/>
                <w:spacing w:val="-2"/>
                <w:kern w:val="0"/>
                <w:szCs w:val="21"/>
              </w:rPr>
              <w:t>金</w:t>
            </w:r>
            <w:r>
              <w:rPr>
                <w:color w:val="auto"/>
                <w:kern w:val="0"/>
                <w:szCs w:val="21"/>
              </w:rPr>
              <w:t>流</w:t>
            </w:r>
            <w:r>
              <w:rPr>
                <w:color w:val="auto"/>
                <w:spacing w:val="-2"/>
                <w:kern w:val="0"/>
                <w:szCs w:val="21"/>
              </w:rPr>
              <w:t>量</w:t>
            </w:r>
            <w:r>
              <w:rPr>
                <w:color w:val="auto"/>
                <w:kern w:val="0"/>
                <w:szCs w:val="21"/>
              </w:rPr>
              <w:t>净额</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十一、</w:t>
            </w:r>
            <w:r>
              <w:rPr>
                <w:color w:val="auto"/>
                <w:spacing w:val="-2"/>
                <w:kern w:val="0"/>
                <w:szCs w:val="21"/>
              </w:rPr>
              <w:t xml:space="preserve"> 主</w:t>
            </w:r>
            <w:r>
              <w:rPr>
                <w:color w:val="auto"/>
                <w:kern w:val="0"/>
                <w:szCs w:val="21"/>
              </w:rPr>
              <w:t>要</w:t>
            </w:r>
            <w:r>
              <w:rPr>
                <w:color w:val="auto"/>
                <w:spacing w:val="-2"/>
                <w:kern w:val="0"/>
                <w:szCs w:val="21"/>
              </w:rPr>
              <w:t>财</w:t>
            </w:r>
            <w:r>
              <w:rPr>
                <w:color w:val="auto"/>
                <w:kern w:val="0"/>
                <w:szCs w:val="21"/>
              </w:rPr>
              <w:t>务</w:t>
            </w:r>
            <w:r>
              <w:rPr>
                <w:color w:val="auto"/>
                <w:spacing w:val="-2"/>
                <w:kern w:val="0"/>
                <w:szCs w:val="21"/>
              </w:rPr>
              <w:t>指</w:t>
            </w:r>
            <w:r>
              <w:rPr>
                <w:color w:val="auto"/>
                <w:kern w:val="0"/>
                <w:szCs w:val="21"/>
              </w:rPr>
              <w:t>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1. 净资产收益率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7"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2. 总资产报酬率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3. 主营业务利润率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4. 资产负债率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5. 流动比率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6. 速动比率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bl>
    <w:p>
      <w:pPr>
        <w:autoSpaceDE w:val="0"/>
        <w:autoSpaceDN w:val="0"/>
        <w:adjustRightInd w:val="0"/>
        <w:jc w:val="left"/>
        <w:rPr>
          <w:color w:val="auto"/>
          <w:kern w:val="0"/>
          <w:szCs w:val="21"/>
        </w:rPr>
      </w:pPr>
      <w:r>
        <w:rPr>
          <w:color w:val="auto"/>
          <w:kern w:val="0"/>
          <w:szCs w:val="21"/>
        </w:rPr>
        <w:t>注：1.投标人应根据招标文件第二章“投标人须知”前附表附录2的要求在本表后附相关证明材料。</w:t>
      </w:r>
    </w:p>
    <w:p>
      <w:pPr>
        <w:autoSpaceDE w:val="0"/>
        <w:autoSpaceDN w:val="0"/>
        <w:adjustRightInd w:val="0"/>
        <w:jc w:val="left"/>
        <w:rPr>
          <w:color w:val="auto"/>
          <w:kern w:val="0"/>
          <w:szCs w:val="21"/>
        </w:rPr>
      </w:pPr>
      <w:r>
        <w:rPr>
          <w:color w:val="auto"/>
          <w:kern w:val="0"/>
          <w:szCs w:val="21"/>
        </w:rPr>
        <w:t xml:space="preserve">    2.近年财务状况表应的财务会计报表，投标人成立时间少于规定年份的，应提供成立以来的财务状况表。</w:t>
      </w:r>
    </w:p>
    <w:p>
      <w:pPr>
        <w:autoSpaceDE w:val="0"/>
        <w:autoSpaceDN w:val="0"/>
        <w:adjustRightInd w:val="0"/>
        <w:jc w:val="left"/>
        <w:rPr>
          <w:color w:val="auto"/>
          <w:kern w:val="0"/>
          <w:szCs w:val="21"/>
        </w:rPr>
      </w:pPr>
      <w:r>
        <w:rPr>
          <w:color w:val="auto"/>
          <w:kern w:val="0"/>
          <w:szCs w:val="21"/>
        </w:rPr>
        <w:t xml:space="preserve">    3.以联合体形式参与投标的，联合体各成员应分别填写。</w:t>
      </w:r>
    </w:p>
    <w:p>
      <w:pPr>
        <w:pStyle w:val="4"/>
        <w:spacing w:before="0" w:after="0" w:line="500" w:lineRule="exact"/>
        <w:jc w:val="center"/>
        <w:rPr>
          <w:rFonts w:ascii="Times New Roman" w:hAnsi="Times New Roman"/>
          <w:color w:val="auto"/>
        </w:rPr>
      </w:pPr>
      <w:r>
        <w:rPr>
          <w:rFonts w:ascii="Times New Roman" w:hAnsi="Times New Roman"/>
          <w:color w:val="auto"/>
        </w:rPr>
        <w:br w:type="page"/>
      </w:r>
      <w:r>
        <w:rPr>
          <w:rFonts w:ascii="Times New Roman" w:hAnsi="Times New Roman"/>
          <w:color w:val="auto"/>
        </w:rPr>
        <w:t>（三）</w:t>
      </w:r>
      <w:bookmarkEnd w:id="415"/>
      <w:bookmarkEnd w:id="416"/>
      <w:bookmarkEnd w:id="417"/>
      <w:r>
        <w:rPr>
          <w:rFonts w:ascii="Times New Roman" w:hAnsi="Times New Roman"/>
          <w:color w:val="auto"/>
        </w:rPr>
        <w:t>近年完成的类似项目情况表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500" w:lineRule="exact"/>
              <w:jc w:val="center"/>
              <w:rPr>
                <w:color w:val="auto"/>
                <w:szCs w:val="21"/>
              </w:rPr>
            </w:pPr>
            <w:r>
              <w:rPr>
                <w:color w:val="auto"/>
                <w:szCs w:val="21"/>
              </w:rPr>
              <w:t>货物名称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500" w:lineRule="exact"/>
              <w:jc w:val="center"/>
              <w:rPr>
                <w:color w:val="auto"/>
                <w:szCs w:val="21"/>
              </w:rPr>
            </w:pPr>
            <w:r>
              <w:rPr>
                <w:color w:val="auto"/>
                <w:szCs w:val="21"/>
              </w:rPr>
              <w:t>规格和型号</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pPr>
              <w:topLinePunct/>
              <w:spacing w:line="500" w:lineRule="exact"/>
              <w:jc w:val="center"/>
              <w:rPr>
                <w:color w:val="auto"/>
                <w:szCs w:val="21"/>
              </w:rPr>
            </w:pPr>
            <w:r>
              <w:rPr>
                <w:color w:val="auto"/>
                <w:szCs w:val="21"/>
              </w:rPr>
              <w:t>项目名称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opLinePunct/>
              <w:spacing w:line="500" w:lineRule="exact"/>
              <w:jc w:val="center"/>
              <w:rPr>
                <w:color w:val="auto"/>
                <w:szCs w:val="21"/>
              </w:rPr>
            </w:pPr>
            <w:r>
              <w:rPr>
                <w:color w:val="auto"/>
                <w:szCs w:val="21"/>
              </w:rPr>
              <w:t>买方名称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opLinePunct/>
              <w:spacing w:line="500" w:lineRule="exact"/>
              <w:jc w:val="center"/>
              <w:rPr>
                <w:color w:val="auto"/>
                <w:szCs w:val="21"/>
              </w:rPr>
            </w:pPr>
            <w:r>
              <w:rPr>
                <w:color w:val="auto"/>
                <w:szCs w:val="21"/>
              </w:rPr>
              <w:t>买方联系人及电话</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合同价格</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合同项目负责人（如有）</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项目概况及投标人履约情况</w:t>
            </w:r>
          </w:p>
        </w:tc>
        <w:tc>
          <w:tcPr>
            <w:tcW w:w="6253" w:type="dxa"/>
            <w:noWrap w:val="0"/>
            <w:vAlign w:val="center"/>
          </w:tcPr>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备注</w:t>
            </w:r>
          </w:p>
        </w:tc>
        <w:tc>
          <w:tcPr>
            <w:tcW w:w="6253" w:type="dxa"/>
            <w:noWrap w:val="0"/>
            <w:vAlign w:val="center"/>
          </w:tcPr>
          <w:p>
            <w:pPr>
              <w:topLinePunct/>
              <w:spacing w:line="500" w:lineRule="exact"/>
              <w:rPr>
                <w:color w:val="auto"/>
              </w:rPr>
            </w:pPr>
          </w:p>
        </w:tc>
      </w:tr>
    </w:tbl>
    <w:p>
      <w:pPr>
        <w:spacing w:line="500" w:lineRule="exact"/>
        <w:rPr>
          <w:color w:val="auto"/>
        </w:rPr>
      </w:pPr>
      <w:r>
        <w:rPr>
          <w:color w:val="auto"/>
        </w:rPr>
        <w:t>注：1. 投标人应根据投标人须知第3.5.1项的要求在本表后附相关证明材料。</w:t>
      </w:r>
    </w:p>
    <w:p>
      <w:pPr>
        <w:spacing w:line="500" w:lineRule="exact"/>
        <w:ind w:firstLine="420" w:firstLineChars="200"/>
        <w:rPr>
          <w:color w:val="auto"/>
        </w:rPr>
      </w:pPr>
      <w:r>
        <w:rPr>
          <w:color w:val="auto"/>
        </w:rPr>
        <w:t>2. 投标人为代理经销商的，投标人须知第1.4.1项要求投标人提供投标</w:t>
      </w:r>
      <w:r>
        <w:rPr>
          <w:color w:val="auto"/>
          <w:szCs w:val="21"/>
        </w:rPr>
        <w:t>货物</w:t>
      </w:r>
      <w:r>
        <w:rPr>
          <w:color w:val="auto"/>
        </w:rPr>
        <w:t>的业绩的，投标人应按照上表的格式提供投标</w:t>
      </w:r>
      <w:r>
        <w:rPr>
          <w:color w:val="auto"/>
          <w:szCs w:val="21"/>
        </w:rPr>
        <w:t>货物</w:t>
      </w:r>
      <w:r>
        <w:rPr>
          <w:color w:val="auto"/>
        </w:rPr>
        <w:t>的业绩情况并根据投标人须知第3.5.1项的要求在本表后附相关证明材料。</w:t>
      </w:r>
    </w:p>
    <w:p>
      <w:pPr>
        <w:adjustRightInd w:val="0"/>
        <w:snapToGrid w:val="0"/>
        <w:spacing w:line="500" w:lineRule="exact"/>
        <w:jc w:val="center"/>
        <w:outlineLvl w:val="2"/>
        <w:rPr>
          <w:color w:val="auto"/>
        </w:rPr>
      </w:pPr>
      <w:bookmarkStart w:id="418" w:name="_Toc460227112"/>
      <w:bookmarkStart w:id="419" w:name="_Toc460660227"/>
      <w:bookmarkStart w:id="420" w:name="_Toc390411625"/>
      <w:bookmarkStart w:id="421" w:name="_Toc421917005"/>
      <w:r>
        <w:rPr>
          <w:b/>
          <w:bCs/>
          <w:color w:val="auto"/>
          <w:szCs w:val="21"/>
        </w:rPr>
        <w:br w:type="page"/>
      </w:r>
      <w:bookmarkEnd w:id="418"/>
      <w:bookmarkEnd w:id="419"/>
      <w:bookmarkEnd w:id="420"/>
      <w:bookmarkEnd w:id="421"/>
      <w:bookmarkStart w:id="422" w:name="_Toc460660230"/>
      <w:bookmarkStart w:id="423" w:name="_Toc459832202"/>
      <w:bookmarkStart w:id="424" w:name="_Toc421917009"/>
      <w:r>
        <w:rPr>
          <w:rFonts w:eastAsia="黑体"/>
          <w:bCs/>
          <w:color w:val="auto"/>
          <w:sz w:val="24"/>
        </w:rPr>
        <w:t>（四）</w:t>
      </w:r>
      <w:bookmarkEnd w:id="422"/>
      <w:r>
        <w:rPr>
          <w:rFonts w:eastAsia="黑体"/>
          <w:bCs/>
          <w:color w:val="auto"/>
          <w:sz w:val="24"/>
        </w:rPr>
        <w:t>制造商授权书</w:t>
      </w:r>
      <w:r>
        <w:rPr>
          <w:rFonts w:eastAsia="黑体"/>
          <w:bCs/>
          <w:color w:val="auto"/>
          <w:sz w:val="24"/>
          <w:vertAlign w:val="superscript"/>
        </w:rPr>
        <w:footnoteReference w:id="1"/>
      </w:r>
    </w:p>
    <w:bookmarkEnd w:id="423"/>
    <w:bookmarkEnd w:id="424"/>
    <w:p>
      <w:pPr>
        <w:spacing w:line="500" w:lineRule="exact"/>
        <w:jc w:val="center"/>
        <w:rPr>
          <w:i/>
          <w:iCs/>
          <w:color w:val="auto"/>
          <w:szCs w:val="21"/>
        </w:rPr>
      </w:pPr>
      <w:r>
        <w:rPr>
          <w:i/>
          <w:iCs/>
          <w:color w:val="auto"/>
          <w:szCs w:val="21"/>
        </w:rPr>
        <w:t>（未要求提供制造商授权书的，无需此件）</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致：</w:t>
      </w:r>
      <w:r>
        <w:rPr>
          <w:color w:val="auto"/>
          <w:szCs w:val="21"/>
          <w:u w:val="single"/>
        </w:rPr>
        <w:t>某委托单位</w:t>
      </w:r>
    </w:p>
    <w:p>
      <w:pPr>
        <w:spacing w:line="500" w:lineRule="exact"/>
        <w:ind w:firstLine="420" w:firstLineChars="200"/>
        <w:rPr>
          <w:bCs/>
          <w:color w:val="auto"/>
          <w:szCs w:val="21"/>
        </w:rPr>
      </w:pPr>
      <w:r>
        <w:rPr>
          <w:bCs/>
          <w:color w:val="auto"/>
          <w:szCs w:val="21"/>
        </w:rPr>
        <w:t>我单位</w:t>
      </w:r>
      <w:r>
        <w:rPr>
          <w:bCs/>
          <w:color w:val="auto"/>
          <w:szCs w:val="21"/>
          <w:u w:val="single"/>
        </w:rPr>
        <w:t xml:space="preserve">                  </w:t>
      </w:r>
      <w:r>
        <w:rPr>
          <w:bCs/>
          <w:color w:val="auto"/>
          <w:szCs w:val="21"/>
        </w:rPr>
        <w:t>（制造商名称）是按</w:t>
      </w:r>
      <w:r>
        <w:rPr>
          <w:bCs/>
          <w:color w:val="auto"/>
          <w:szCs w:val="21"/>
          <w:u w:val="single"/>
        </w:rPr>
        <w:t xml:space="preserve">            </w:t>
      </w:r>
      <w:r>
        <w:rPr>
          <w:bCs/>
          <w:color w:val="auto"/>
          <w:szCs w:val="21"/>
        </w:rPr>
        <w:t>（国家／地区名称）法律成立的一家制造商，主要营业地点设在</w:t>
      </w:r>
      <w:r>
        <w:rPr>
          <w:bCs/>
          <w:color w:val="auto"/>
          <w:szCs w:val="21"/>
          <w:u w:val="single"/>
        </w:rPr>
        <w:t xml:space="preserve">             </w:t>
      </w:r>
      <w:r>
        <w:rPr>
          <w:bCs/>
          <w:color w:val="auto"/>
          <w:szCs w:val="21"/>
        </w:rPr>
        <w:t>（制造商地址）。兹授权按</w:t>
      </w:r>
      <w:r>
        <w:rPr>
          <w:bCs/>
          <w:color w:val="auto"/>
          <w:szCs w:val="21"/>
          <w:u w:val="single"/>
        </w:rPr>
        <w:t xml:space="preserve">           </w:t>
      </w:r>
      <w:r>
        <w:rPr>
          <w:bCs/>
          <w:color w:val="auto"/>
          <w:szCs w:val="21"/>
        </w:rPr>
        <w:t>（国家／地区名称）的法律正式成立的，主要营业地点设在</w:t>
      </w:r>
      <w:r>
        <w:rPr>
          <w:bCs/>
          <w:color w:val="auto"/>
          <w:szCs w:val="21"/>
          <w:u w:val="single"/>
        </w:rPr>
        <w:t xml:space="preserve">         </w:t>
      </w:r>
      <w:r>
        <w:rPr>
          <w:bCs/>
          <w:color w:val="auto"/>
          <w:szCs w:val="21"/>
        </w:rPr>
        <w:t>（投标人的单位地址）的</w:t>
      </w:r>
      <w:r>
        <w:rPr>
          <w:bCs/>
          <w:color w:val="auto"/>
          <w:szCs w:val="21"/>
          <w:u w:val="single"/>
        </w:rPr>
        <w:t xml:space="preserve">         </w:t>
      </w:r>
      <w:r>
        <w:rPr>
          <w:bCs/>
          <w:color w:val="auto"/>
          <w:szCs w:val="21"/>
        </w:rPr>
        <w:t>（投标人名称）以我单位制造的</w:t>
      </w:r>
      <w:r>
        <w:rPr>
          <w:bCs/>
          <w:color w:val="auto"/>
          <w:szCs w:val="21"/>
          <w:u w:val="single"/>
        </w:rPr>
        <w:t xml:space="preserve">                  </w:t>
      </w:r>
      <w:r>
        <w:rPr>
          <w:bCs/>
          <w:color w:val="auto"/>
          <w:szCs w:val="21"/>
        </w:rPr>
        <w:t>（</w:t>
      </w:r>
      <w:r>
        <w:rPr>
          <w:color w:val="auto"/>
          <w:szCs w:val="21"/>
        </w:rPr>
        <w:t>货物</w:t>
      </w:r>
      <w:r>
        <w:rPr>
          <w:bCs/>
          <w:color w:val="auto"/>
          <w:szCs w:val="21"/>
        </w:rPr>
        <w:t>名称）进行</w:t>
      </w:r>
      <w:r>
        <w:rPr>
          <w:rFonts w:hint="eastAsia"/>
          <w:color w:val="auto"/>
          <w:szCs w:val="21"/>
          <w:u w:val="single"/>
        </w:rPr>
        <w:t>庐江文旅投资食品原材料采购米、油、调味品类</w:t>
      </w:r>
      <w:r>
        <w:rPr>
          <w:bCs/>
          <w:color w:val="auto"/>
          <w:szCs w:val="21"/>
        </w:rPr>
        <w:t>投标活动。我单位同意按照中标合同供货，并对产品质量承担责任。</w:t>
      </w:r>
    </w:p>
    <w:p>
      <w:pPr>
        <w:spacing w:line="500" w:lineRule="exact"/>
        <w:ind w:firstLine="420" w:firstLineChars="200"/>
        <w:rPr>
          <w:bCs/>
          <w:color w:val="auto"/>
          <w:szCs w:val="21"/>
        </w:rPr>
      </w:pPr>
      <w:r>
        <w:rPr>
          <w:bCs/>
          <w:color w:val="auto"/>
          <w:szCs w:val="21"/>
        </w:rPr>
        <w:t>授权期限：</w:t>
      </w:r>
      <w:r>
        <w:rPr>
          <w:bCs/>
          <w:color w:val="auto"/>
          <w:szCs w:val="21"/>
          <w:u w:val="single"/>
        </w:rPr>
        <w:t xml:space="preserve">                  </w:t>
      </w:r>
      <w:r>
        <w:rPr>
          <w:bCs/>
          <w:color w:val="auto"/>
          <w:szCs w:val="21"/>
        </w:rPr>
        <w:t>。</w:t>
      </w:r>
    </w:p>
    <w:p>
      <w:pPr>
        <w:spacing w:line="500" w:lineRule="exact"/>
        <w:ind w:firstLine="420" w:firstLineChars="200"/>
        <w:rPr>
          <w:bCs/>
          <w:color w:val="auto"/>
          <w:szCs w:val="21"/>
        </w:rPr>
      </w:pP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投标人名称：</w:t>
      </w:r>
      <w:r>
        <w:rPr>
          <w:bCs/>
          <w:color w:val="auto"/>
          <w:szCs w:val="21"/>
          <w:u w:val="single"/>
        </w:rPr>
        <w:t xml:space="preserve">                  </w:t>
      </w:r>
      <w:r>
        <w:rPr>
          <w:bCs/>
          <w:color w:val="auto"/>
          <w:szCs w:val="21"/>
        </w:rPr>
        <w:t>（盖单位章）  制造商名称：</w:t>
      </w:r>
      <w:r>
        <w:rPr>
          <w:bCs/>
          <w:color w:val="auto"/>
          <w:szCs w:val="21"/>
          <w:u w:val="single"/>
        </w:rPr>
        <w:t xml:space="preserve">              </w:t>
      </w:r>
      <w:r>
        <w:rPr>
          <w:bCs/>
          <w:color w:val="auto"/>
          <w:szCs w:val="21"/>
        </w:rPr>
        <w:t>（盖单位章）</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签字人职务：</w:t>
      </w:r>
      <w:r>
        <w:rPr>
          <w:bCs/>
          <w:color w:val="auto"/>
          <w:szCs w:val="21"/>
          <w:u w:val="single"/>
        </w:rPr>
        <w:t xml:space="preserve">                             </w:t>
      </w:r>
      <w:r>
        <w:rPr>
          <w:bCs/>
          <w:color w:val="auto"/>
          <w:szCs w:val="21"/>
        </w:rPr>
        <w:t xml:space="preserve">   签字人职务：</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签字人姓名：</w:t>
      </w:r>
      <w:r>
        <w:rPr>
          <w:bCs/>
          <w:color w:val="auto"/>
          <w:szCs w:val="21"/>
          <w:u w:val="single"/>
        </w:rPr>
        <w:t xml:space="preserve">                             </w:t>
      </w:r>
      <w:r>
        <w:rPr>
          <w:bCs/>
          <w:color w:val="auto"/>
          <w:szCs w:val="21"/>
        </w:rPr>
        <w:t xml:space="preserve">   签字人姓名：</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签字人签名：</w:t>
      </w:r>
      <w:r>
        <w:rPr>
          <w:bCs/>
          <w:color w:val="auto"/>
          <w:szCs w:val="21"/>
          <w:u w:val="single"/>
        </w:rPr>
        <w:t xml:space="preserve">                             </w:t>
      </w:r>
      <w:r>
        <w:rPr>
          <w:bCs/>
          <w:color w:val="auto"/>
          <w:szCs w:val="21"/>
        </w:rPr>
        <w:t xml:space="preserve">   签字人签名：</w:t>
      </w:r>
      <w:r>
        <w:rPr>
          <w:bCs/>
          <w:color w:val="auto"/>
          <w:szCs w:val="21"/>
          <w:u w:val="single"/>
        </w:rPr>
        <w:t xml:space="preserve">                       </w:t>
      </w:r>
    </w:p>
    <w:p>
      <w:pPr>
        <w:pStyle w:val="4"/>
        <w:spacing w:before="0" w:after="0" w:line="500" w:lineRule="exact"/>
        <w:jc w:val="center"/>
        <w:rPr>
          <w:rFonts w:ascii="Times New Roman" w:hAnsi="Times New Roman"/>
          <w:color w:val="auto"/>
        </w:rPr>
      </w:pPr>
      <w:r>
        <w:rPr>
          <w:rFonts w:ascii="Times New Roman" w:hAnsi="Times New Roman"/>
          <w:color w:val="auto"/>
          <w:szCs w:val="22"/>
        </w:rPr>
        <w:br w:type="page"/>
      </w:r>
      <w:r>
        <w:rPr>
          <w:rFonts w:ascii="Times New Roman" w:hAnsi="Times New Roman"/>
          <w:color w:val="auto"/>
        </w:rPr>
        <w:t>（五）拟委任的项目负责人简历</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0"/>
        <w:gridCol w:w="1433"/>
        <w:gridCol w:w="1081"/>
        <w:gridCol w:w="209"/>
        <w:gridCol w:w="1474"/>
        <w:gridCol w:w="1268"/>
        <w:gridCol w:w="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姓  名</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年 龄</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学 历</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职  称</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单位</w:t>
            </w:r>
          </w:p>
          <w:p>
            <w:pPr>
              <w:spacing w:line="500" w:lineRule="exact"/>
              <w:jc w:val="center"/>
              <w:rPr>
                <w:color w:val="auto"/>
                <w:szCs w:val="21"/>
              </w:rPr>
            </w:pPr>
            <w:r>
              <w:rPr>
                <w:color w:val="auto"/>
                <w:szCs w:val="21"/>
              </w:rPr>
              <w:t>职务</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拟在本标段</w:t>
            </w:r>
          </w:p>
          <w:p>
            <w:pPr>
              <w:spacing w:line="500" w:lineRule="exact"/>
              <w:jc w:val="center"/>
              <w:rPr>
                <w:color w:val="auto"/>
                <w:szCs w:val="21"/>
              </w:rPr>
            </w:pPr>
            <w:r>
              <w:rPr>
                <w:color w:val="auto"/>
                <w:szCs w:val="21"/>
              </w:rPr>
              <w:t>项目担任职务</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执业资格</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资格证书编号</w:t>
            </w:r>
          </w:p>
        </w:tc>
        <w:tc>
          <w:tcPr>
            <w:tcW w:w="5144" w:type="dxa"/>
            <w:gridSpan w:val="4"/>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毕业学校</w:t>
            </w:r>
          </w:p>
        </w:tc>
        <w:tc>
          <w:tcPr>
            <w:tcW w:w="7887" w:type="dxa"/>
            <w:gridSpan w:val="8"/>
            <w:noWrap w:val="0"/>
            <w:vAlign w:val="center"/>
          </w:tcPr>
          <w:p>
            <w:pPr>
              <w:spacing w:line="500" w:lineRule="exac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月毕业于</w:t>
            </w:r>
            <w:r>
              <w:rPr>
                <w:color w:val="auto"/>
                <w:szCs w:val="21"/>
                <w:u w:val="single"/>
              </w:rPr>
              <w:t xml:space="preserve">            </w:t>
            </w:r>
            <w:r>
              <w:rPr>
                <w:color w:val="auto"/>
                <w:szCs w:val="21"/>
              </w:rPr>
              <w:t>学校</w:t>
            </w:r>
            <w:r>
              <w:rPr>
                <w:color w:val="auto"/>
                <w:szCs w:val="21"/>
                <w:u w:val="single"/>
              </w:rPr>
              <w:t xml:space="preserve">        </w:t>
            </w:r>
            <w:r>
              <w:rPr>
                <w:color w:val="auto"/>
                <w:szCs w:val="21"/>
              </w:rPr>
              <w:t>专业，学制</w:t>
            </w:r>
            <w:r>
              <w:rPr>
                <w:color w:val="auto"/>
                <w:szCs w:val="21"/>
                <w:u w:val="single"/>
              </w:rPr>
              <w:t xml:space="preserve">   </w:t>
            </w:r>
            <w:r>
              <w:rPr>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5" w:type="dxa"/>
            <w:gridSpan w:val="9"/>
            <w:noWrap w:val="0"/>
            <w:vAlign w:val="center"/>
          </w:tcPr>
          <w:p>
            <w:pPr>
              <w:spacing w:line="500" w:lineRule="exact"/>
              <w:jc w:val="center"/>
              <w:rPr>
                <w:color w:val="auto"/>
              </w:rPr>
            </w:pPr>
            <w:r>
              <w:rPr>
                <w:color w:val="auto"/>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jc w:val="center"/>
              <w:rPr>
                <w:color w:val="auto"/>
                <w:szCs w:val="21"/>
              </w:rPr>
            </w:pPr>
            <w:r>
              <w:rPr>
                <w:color w:val="auto"/>
                <w:szCs w:val="21"/>
              </w:rPr>
              <w:t>时间</w:t>
            </w:r>
          </w:p>
        </w:tc>
        <w:tc>
          <w:tcPr>
            <w:tcW w:w="2514" w:type="dxa"/>
            <w:gridSpan w:val="2"/>
            <w:noWrap w:val="0"/>
            <w:vAlign w:val="center"/>
          </w:tcPr>
          <w:p>
            <w:pPr>
              <w:spacing w:line="500" w:lineRule="exact"/>
              <w:jc w:val="center"/>
              <w:rPr>
                <w:color w:val="auto"/>
                <w:szCs w:val="21"/>
              </w:rPr>
            </w:pPr>
            <w:r>
              <w:rPr>
                <w:color w:val="auto"/>
                <w:szCs w:val="21"/>
              </w:rPr>
              <w:t>参加过的项目名称</w:t>
            </w:r>
          </w:p>
        </w:tc>
        <w:tc>
          <w:tcPr>
            <w:tcW w:w="1683" w:type="dxa"/>
            <w:gridSpan w:val="2"/>
            <w:noWrap w:val="0"/>
            <w:vAlign w:val="center"/>
          </w:tcPr>
          <w:p>
            <w:pPr>
              <w:spacing w:line="500" w:lineRule="exact"/>
              <w:jc w:val="center"/>
              <w:rPr>
                <w:color w:val="auto"/>
                <w:szCs w:val="21"/>
              </w:rPr>
            </w:pPr>
            <w:r>
              <w:rPr>
                <w:color w:val="auto"/>
                <w:szCs w:val="21"/>
              </w:rPr>
              <w:t>签约合同价金额（万元）</w:t>
            </w:r>
          </w:p>
        </w:tc>
        <w:tc>
          <w:tcPr>
            <w:tcW w:w="1268" w:type="dxa"/>
            <w:noWrap w:val="0"/>
            <w:vAlign w:val="center"/>
          </w:tcPr>
          <w:p>
            <w:pPr>
              <w:spacing w:line="500" w:lineRule="exact"/>
              <w:jc w:val="center"/>
              <w:rPr>
                <w:color w:val="auto"/>
                <w:szCs w:val="21"/>
              </w:rPr>
            </w:pPr>
            <w:r>
              <w:rPr>
                <w:color w:val="auto"/>
                <w:szCs w:val="21"/>
              </w:rPr>
              <w:t>担任职务</w:t>
            </w:r>
          </w:p>
        </w:tc>
        <w:tc>
          <w:tcPr>
            <w:tcW w:w="2402" w:type="dxa"/>
            <w:gridSpan w:val="2"/>
            <w:noWrap w:val="0"/>
            <w:vAlign w:val="center"/>
          </w:tcPr>
          <w:p>
            <w:pPr>
              <w:spacing w:line="500" w:lineRule="exact"/>
              <w:jc w:val="center"/>
              <w:rPr>
                <w:color w:val="auto"/>
                <w:szCs w:val="21"/>
              </w:rPr>
            </w:pPr>
            <w:r>
              <w:rPr>
                <w:color w:val="auto"/>
                <w:szCs w:val="21"/>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color w:val="auto"/>
                <w:szCs w:val="21"/>
              </w:rPr>
            </w:pPr>
          </w:p>
        </w:tc>
        <w:tc>
          <w:tcPr>
            <w:tcW w:w="2514" w:type="dxa"/>
            <w:gridSpan w:val="2"/>
            <w:noWrap w:val="0"/>
            <w:vAlign w:val="top"/>
          </w:tcPr>
          <w:p>
            <w:pPr>
              <w:spacing w:line="500" w:lineRule="exact"/>
              <w:rPr>
                <w:color w:val="auto"/>
                <w:szCs w:val="21"/>
              </w:rPr>
            </w:pPr>
          </w:p>
        </w:tc>
        <w:tc>
          <w:tcPr>
            <w:tcW w:w="1683" w:type="dxa"/>
            <w:gridSpan w:val="2"/>
            <w:noWrap w:val="0"/>
            <w:vAlign w:val="top"/>
          </w:tcPr>
          <w:p>
            <w:pPr>
              <w:spacing w:line="500" w:lineRule="exact"/>
              <w:rPr>
                <w:color w:val="auto"/>
                <w:szCs w:val="21"/>
              </w:rPr>
            </w:pPr>
          </w:p>
        </w:tc>
        <w:tc>
          <w:tcPr>
            <w:tcW w:w="1268" w:type="dxa"/>
            <w:noWrap w:val="0"/>
            <w:vAlign w:val="top"/>
          </w:tcPr>
          <w:p>
            <w:pPr>
              <w:spacing w:line="500" w:lineRule="exact"/>
              <w:rPr>
                <w:color w:val="auto"/>
                <w:szCs w:val="21"/>
              </w:rPr>
            </w:pPr>
          </w:p>
        </w:tc>
        <w:tc>
          <w:tcPr>
            <w:tcW w:w="2402" w:type="dxa"/>
            <w:gridSpan w:val="2"/>
            <w:noWrap w:val="0"/>
            <w:vAlign w:val="top"/>
          </w:tcPr>
          <w:p>
            <w:pPr>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pStyle w:val="35"/>
              <w:spacing w:before="0" w:after="0" w:line="500" w:lineRule="exact"/>
              <w:rPr>
                <w:rFonts w:ascii="Times New Roman" w:hAnsi="Times New Roman" w:cs="Times New Roman"/>
                <w:color w:val="auto"/>
              </w:rPr>
            </w:pPr>
          </w:p>
        </w:tc>
        <w:tc>
          <w:tcPr>
            <w:tcW w:w="1683" w:type="dxa"/>
            <w:gridSpan w:val="2"/>
            <w:noWrap w:val="0"/>
            <w:vAlign w:val="top"/>
          </w:tcPr>
          <w:p>
            <w:pPr>
              <w:pStyle w:val="35"/>
              <w:spacing w:before="0" w:after="0" w:line="500" w:lineRule="exact"/>
              <w:rPr>
                <w:rFonts w:ascii="Times New Roman" w:hAnsi="Times New Roman" w:cs="Times New Roman"/>
                <w:color w:val="auto"/>
              </w:rPr>
            </w:pPr>
          </w:p>
        </w:tc>
        <w:tc>
          <w:tcPr>
            <w:tcW w:w="1268" w:type="dxa"/>
            <w:noWrap w:val="0"/>
            <w:vAlign w:val="top"/>
          </w:tcPr>
          <w:p>
            <w:pPr>
              <w:pStyle w:val="35"/>
              <w:spacing w:before="0" w:after="0" w:line="500" w:lineRule="exact"/>
              <w:rPr>
                <w:rFonts w:ascii="Times New Roman" w:hAnsi="Times New Roman" w:cs="Times New Roman"/>
                <w:color w:val="auto"/>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spacing w:line="500" w:lineRule="exact"/>
              <w:rPr>
                <w:rFonts w:eastAsia="黑体"/>
                <w:color w:val="auto"/>
                <w:szCs w:val="21"/>
              </w:rPr>
            </w:pPr>
          </w:p>
        </w:tc>
        <w:tc>
          <w:tcPr>
            <w:tcW w:w="1683" w:type="dxa"/>
            <w:gridSpan w:val="2"/>
            <w:noWrap w:val="0"/>
            <w:vAlign w:val="top"/>
          </w:tcPr>
          <w:p>
            <w:pPr>
              <w:spacing w:line="500" w:lineRule="exact"/>
              <w:rPr>
                <w:rFonts w:eastAsia="黑体"/>
                <w:color w:val="auto"/>
                <w:szCs w:val="21"/>
              </w:rPr>
            </w:pPr>
          </w:p>
        </w:tc>
        <w:tc>
          <w:tcPr>
            <w:tcW w:w="1268" w:type="dxa"/>
            <w:noWrap w:val="0"/>
            <w:vAlign w:val="top"/>
          </w:tcPr>
          <w:p>
            <w:pPr>
              <w:spacing w:line="500" w:lineRule="exact"/>
              <w:rPr>
                <w:rFonts w:eastAsia="黑体"/>
                <w:color w:val="auto"/>
                <w:szCs w:val="21"/>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tcBorders>
              <w:right w:val="single" w:color="auto" w:sz="8" w:space="0"/>
            </w:tcBorders>
            <w:noWrap w:val="0"/>
            <w:vAlign w:val="center"/>
          </w:tcPr>
          <w:p>
            <w:pPr>
              <w:spacing w:line="500" w:lineRule="exact"/>
              <w:rPr>
                <w:rFonts w:eastAsia="黑体"/>
                <w:color w:val="auto"/>
                <w:szCs w:val="21"/>
              </w:rPr>
            </w:pPr>
          </w:p>
        </w:tc>
        <w:tc>
          <w:tcPr>
            <w:tcW w:w="1268" w:type="dxa"/>
            <w:tcBorders>
              <w:left w:val="single" w:color="auto" w:sz="8" w:space="0"/>
            </w:tcBorders>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color w:val="auto"/>
                <w:szCs w:val="21"/>
              </w:rPr>
            </w:pPr>
            <w:r>
              <w:rPr>
                <w:color w:val="auto"/>
                <w:szCs w:val="21"/>
              </w:rPr>
              <w:t>获奖情况</w:t>
            </w:r>
          </w:p>
        </w:tc>
        <w:tc>
          <w:tcPr>
            <w:tcW w:w="7867" w:type="dxa"/>
            <w:gridSpan w:val="7"/>
            <w:noWrap w:val="0"/>
            <w:vAlign w:val="center"/>
          </w:tcPr>
          <w:p>
            <w:pPr>
              <w:spacing w:line="500" w:lineRule="exact"/>
              <w:rPr>
                <w:rFonts w:eastAsia="黑体"/>
                <w:color w:val="auto"/>
                <w:szCs w:val="21"/>
              </w:rPr>
            </w:pPr>
          </w:p>
        </w:tc>
      </w:tr>
    </w:tbl>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注：1. 本表应填写项目负责人相关情况。</w:t>
      </w:r>
    </w:p>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 xml:space="preserve">    2. 投标人应根据招标文件的要求在本表后附相关证明材料。</w:t>
      </w:r>
    </w:p>
    <w:p>
      <w:pPr>
        <w:spacing w:line="500" w:lineRule="exact"/>
        <w:jc w:val="center"/>
        <w:rPr>
          <w:rFonts w:hint="eastAsia" w:ascii="黑体" w:hAnsi="黑体" w:eastAsia="黑体" w:cs="黑体"/>
          <w:color w:val="auto"/>
          <w:sz w:val="32"/>
          <w:szCs w:val="32"/>
          <w:lang w:val="en-US" w:eastAsia="zh-CN"/>
        </w:rPr>
      </w:pPr>
      <w:r>
        <w:rPr>
          <w:rFonts w:ascii="Times New Roman" w:hAnsi="Times New Roman"/>
          <w:color w:val="auto"/>
          <w:szCs w:val="22"/>
        </w:rPr>
        <w:br w:type="page"/>
      </w:r>
      <w:bookmarkStart w:id="425" w:name="_Toc460660260"/>
      <w:bookmarkStart w:id="426" w:name="_Toc421917020"/>
      <w:bookmarkStart w:id="427" w:name="_Toc390411639"/>
      <w:bookmarkStart w:id="428" w:name="_Toc460227145"/>
      <w:bookmarkStart w:id="429" w:name="_Toc535241148"/>
      <w:bookmarkStart w:id="430" w:name="_Toc390411629"/>
      <w:bookmarkStart w:id="431" w:name="_Toc421917010"/>
      <w:bookmarkStart w:id="432" w:name="_Toc460227118"/>
      <w:bookmarkStart w:id="433" w:name="_Toc460660233"/>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w:t>
      </w:r>
      <w:bookmarkEnd w:id="425"/>
      <w:bookmarkEnd w:id="426"/>
      <w:bookmarkEnd w:id="427"/>
      <w:bookmarkEnd w:id="428"/>
      <w:bookmarkEnd w:id="429"/>
      <w:r>
        <w:rPr>
          <w:rFonts w:hint="eastAsia" w:ascii="黑体" w:hAnsi="黑体" w:eastAsia="黑体" w:cs="黑体"/>
          <w:color w:val="auto"/>
          <w:sz w:val="32"/>
          <w:szCs w:val="32"/>
          <w:lang w:val="en-US" w:eastAsia="zh-CN"/>
        </w:rPr>
        <w:t>公司制度</w:t>
      </w:r>
    </w:p>
    <w:p>
      <w:pPr>
        <w:spacing w:line="500" w:lineRule="exact"/>
        <w:jc w:val="center"/>
        <w:rPr>
          <w:rFonts w:hint="eastAsia" w:ascii="黑体" w:hAnsi="黑体" w:eastAsia="黑体" w:cs="黑体"/>
          <w:color w:val="auto"/>
          <w:sz w:val="32"/>
          <w:szCs w:val="32"/>
          <w:lang w:val="en-US" w:eastAsia="zh-CN"/>
        </w:rPr>
      </w:pPr>
    </w:p>
    <w:p>
      <w:pPr>
        <w:numPr>
          <w:ilvl w:val="0"/>
          <w:numId w:val="0"/>
        </w:numPr>
        <w:spacing w:line="50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八、配送服务能力</w:t>
      </w:r>
    </w:p>
    <w:p>
      <w:pPr>
        <w:numPr>
          <w:ilvl w:val="0"/>
          <w:numId w:val="0"/>
        </w:numPr>
        <w:spacing w:line="500" w:lineRule="exact"/>
        <w:jc w:val="both"/>
        <w:rPr>
          <w:rFonts w:hint="eastAsia" w:ascii="黑体" w:hAnsi="黑体" w:eastAsia="黑体" w:cs="黑体"/>
          <w:color w:val="auto"/>
          <w:sz w:val="32"/>
          <w:szCs w:val="32"/>
          <w:lang w:val="en-US" w:eastAsia="zh-CN"/>
        </w:rPr>
      </w:pPr>
    </w:p>
    <w:p>
      <w:pPr>
        <w:numPr>
          <w:ilvl w:val="0"/>
          <w:numId w:val="0"/>
        </w:numPr>
        <w:spacing w:line="500" w:lineRule="exact"/>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九、应急处理方案</w:t>
      </w:r>
    </w:p>
    <w:p>
      <w:pPr>
        <w:numPr>
          <w:ilvl w:val="0"/>
          <w:numId w:val="0"/>
        </w:numPr>
        <w:spacing w:line="500" w:lineRule="exact"/>
        <w:jc w:val="center"/>
        <w:rPr>
          <w:rFonts w:hint="default" w:ascii="黑体" w:hAnsi="黑体" w:eastAsia="黑体" w:cs="黑体"/>
          <w:color w:val="auto"/>
          <w:sz w:val="32"/>
          <w:szCs w:val="32"/>
          <w:lang w:val="en-US" w:eastAsia="zh-CN"/>
        </w:rPr>
      </w:pPr>
    </w:p>
    <w:p>
      <w:pPr>
        <w:numPr>
          <w:ilvl w:val="0"/>
          <w:numId w:val="0"/>
        </w:numPr>
        <w:spacing w:line="500" w:lineRule="exact"/>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十、食材管理方案</w:t>
      </w:r>
    </w:p>
    <w:p>
      <w:pPr>
        <w:numPr>
          <w:ilvl w:val="0"/>
          <w:numId w:val="0"/>
        </w:numPr>
        <w:spacing w:line="500" w:lineRule="exact"/>
        <w:jc w:val="center"/>
        <w:rPr>
          <w:rFonts w:hint="default" w:ascii="黑体" w:hAnsi="黑体" w:eastAsia="黑体" w:cs="黑体"/>
          <w:color w:val="auto"/>
          <w:sz w:val="32"/>
          <w:szCs w:val="32"/>
          <w:lang w:val="en-US" w:eastAsia="zh-CN"/>
        </w:rPr>
      </w:pPr>
    </w:p>
    <w:p>
      <w:pPr>
        <w:tabs>
          <w:tab w:val="left" w:pos="2580"/>
          <w:tab w:val="left" w:pos="5940"/>
        </w:tabs>
        <w:autoSpaceDE w:val="0"/>
        <w:autoSpaceDN w:val="0"/>
        <w:adjustRightInd w:val="0"/>
        <w:snapToGrid w:val="0"/>
        <w:spacing w:line="500" w:lineRule="exact"/>
        <w:jc w:val="center"/>
        <w:rPr>
          <w:b/>
          <w:bCs/>
          <w:color w:val="auto"/>
          <w:sz w:val="28"/>
          <w:szCs w:val="22"/>
        </w:rPr>
      </w:pPr>
      <w:r>
        <w:rPr>
          <w:rFonts w:hint="eastAsia" w:ascii="黑体" w:hAnsi="黑体" w:eastAsia="黑体" w:cs="黑体"/>
          <w:color w:val="auto"/>
          <w:sz w:val="32"/>
          <w:szCs w:val="32"/>
          <w:lang w:val="en-US" w:eastAsia="zh-CN"/>
        </w:rPr>
        <w:t>十一、售后服务</w:t>
      </w: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rPr>
          <w:color w:val="auto"/>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keepNext/>
        <w:keepLines/>
        <w:spacing w:line="500" w:lineRule="exact"/>
        <w:jc w:val="center"/>
        <w:rPr>
          <w:color w:val="auto"/>
          <w:sz w:val="28"/>
          <w:szCs w:val="28"/>
        </w:rPr>
      </w:pPr>
      <w:bookmarkStart w:id="434" w:name="_Toc460227153"/>
      <w:bookmarkStart w:id="435" w:name="_Toc535241090"/>
      <w:bookmarkStart w:id="436" w:name="_Toc535241233"/>
      <w:bookmarkStart w:id="437" w:name="_Toc535241156"/>
      <w:bookmarkStart w:id="438" w:name="_Toc421917022"/>
      <w:bookmarkStart w:id="439" w:name="_Toc460660268"/>
      <w:bookmarkStart w:id="440" w:name="_Toc390411641"/>
    </w:p>
    <w:bookmarkEnd w:id="434"/>
    <w:bookmarkEnd w:id="435"/>
    <w:bookmarkEnd w:id="436"/>
    <w:bookmarkEnd w:id="437"/>
    <w:bookmarkEnd w:id="438"/>
    <w:bookmarkEnd w:id="439"/>
    <w:bookmarkEnd w:id="440"/>
    <w:p>
      <w:pPr>
        <w:spacing w:line="500" w:lineRule="exact"/>
        <w:rPr>
          <w:color w:val="auto"/>
        </w:rPr>
      </w:pPr>
      <w:r>
        <w:rPr>
          <w:rFonts w:ascii="Times New Roman" w:hAnsi="Times New Roman"/>
          <w:color w:val="auto"/>
          <w:szCs w:val="22"/>
        </w:rPr>
        <w:br w:type="page"/>
      </w:r>
    </w:p>
    <w:p>
      <w:pPr>
        <w:pStyle w:val="4"/>
        <w:spacing w:before="0" w:after="0" w:line="500" w:lineRule="exact"/>
        <w:jc w:val="center"/>
        <w:rPr>
          <w:rFonts w:ascii="Times New Roman" w:hAnsi="Times New Roman"/>
          <w:color w:val="auto"/>
        </w:rPr>
      </w:pPr>
      <w:r>
        <w:rPr>
          <w:rFonts w:ascii="Times New Roman" w:hAnsi="Times New Roman"/>
          <w:color w:val="auto"/>
          <w:sz w:val="28"/>
          <w:szCs w:val="28"/>
        </w:rPr>
        <w:t>十</w:t>
      </w:r>
      <w:r>
        <w:rPr>
          <w:rFonts w:hint="eastAsia" w:ascii="Times New Roman" w:hAnsi="Times New Roman"/>
          <w:color w:val="auto"/>
          <w:sz w:val="28"/>
          <w:szCs w:val="28"/>
          <w:lang w:val="en-US" w:eastAsia="zh-CN"/>
        </w:rPr>
        <w:t>二</w:t>
      </w:r>
      <w:r>
        <w:rPr>
          <w:rFonts w:ascii="Times New Roman" w:hAnsi="Times New Roman"/>
          <w:color w:val="auto"/>
          <w:sz w:val="28"/>
          <w:szCs w:val="28"/>
        </w:rPr>
        <w:t>、其他资料</w:t>
      </w:r>
      <w:bookmarkEnd w:id="430"/>
      <w:bookmarkEnd w:id="431"/>
      <w:bookmarkEnd w:id="432"/>
      <w:bookmarkEnd w:id="433"/>
    </w:p>
    <w:p>
      <w:pPr>
        <w:tabs>
          <w:tab w:val="left" w:pos="5760"/>
        </w:tabs>
        <w:autoSpaceDE w:val="0"/>
        <w:autoSpaceDN w:val="0"/>
        <w:adjustRightInd w:val="0"/>
        <w:spacing w:line="500" w:lineRule="exact"/>
        <w:ind w:right="11" w:firstLine="420" w:firstLineChars="200"/>
        <w:jc w:val="left"/>
        <w:rPr>
          <w:bCs/>
          <w:snapToGrid w:val="0"/>
          <w:color w:val="auto"/>
          <w:kern w:val="0"/>
          <w:szCs w:val="21"/>
        </w:rPr>
      </w:pPr>
      <w:r>
        <w:rPr>
          <w:color w:val="auto"/>
          <w:szCs w:val="22"/>
        </w:rPr>
        <w:t>投标人对照评标办法要求，自行提供其他相关资料（如有）</w:t>
      </w: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rPr>
          <w:color w:val="auto"/>
          <w:szCs w:val="22"/>
        </w:rPr>
      </w:pPr>
    </w:p>
    <w:p>
      <w:pPr>
        <w:spacing w:line="500" w:lineRule="exact"/>
        <w:rPr>
          <w:color w:val="auto"/>
          <w:szCs w:val="22"/>
        </w:rPr>
      </w:pPr>
    </w:p>
    <w:p>
      <w:pPr>
        <w:tabs>
          <w:tab w:val="left" w:pos="5760"/>
        </w:tabs>
        <w:autoSpaceDE w:val="0"/>
        <w:autoSpaceDN w:val="0"/>
        <w:adjustRightInd w:val="0"/>
        <w:spacing w:line="500" w:lineRule="exact"/>
        <w:ind w:right="11"/>
        <w:rPr>
          <w:color w:val="auto"/>
          <w:szCs w:val="22"/>
        </w:rPr>
      </w:pPr>
      <w:r>
        <w:rPr>
          <w:color w:val="auto"/>
          <w:szCs w:val="22"/>
        </w:rPr>
        <w:t>注：对照评标办法要求，由投标人自行提供相关证明。如证明或声明与实际不符，将被取消投标或中标资格，其投标保证金按规定予以处理。</w:t>
      </w:r>
    </w:p>
    <w:p>
      <w:pPr>
        <w:tabs>
          <w:tab w:val="left" w:pos="5760"/>
        </w:tabs>
        <w:autoSpaceDE w:val="0"/>
        <w:autoSpaceDN w:val="0"/>
        <w:adjustRightInd w:val="0"/>
        <w:spacing w:line="500" w:lineRule="exact"/>
        <w:ind w:right="11"/>
        <w:rPr>
          <w:color w:val="auto"/>
          <w:szCs w:val="22"/>
        </w:rPr>
      </w:pPr>
    </w:p>
    <w:p>
      <w:pPr>
        <w:tabs>
          <w:tab w:val="left" w:pos="5760"/>
        </w:tabs>
        <w:autoSpaceDE w:val="0"/>
        <w:autoSpaceDN w:val="0"/>
        <w:adjustRightInd w:val="0"/>
        <w:spacing w:line="500" w:lineRule="exact"/>
        <w:ind w:right="11"/>
        <w:rPr>
          <w:color w:val="auto"/>
          <w:szCs w:val="22"/>
        </w:rPr>
      </w:pPr>
    </w:p>
    <w:p>
      <w:pPr>
        <w:tabs>
          <w:tab w:val="left" w:pos="2580"/>
          <w:tab w:val="left" w:pos="5940"/>
        </w:tabs>
        <w:autoSpaceDE w:val="0"/>
        <w:autoSpaceDN w:val="0"/>
        <w:adjustRightInd w:val="0"/>
        <w:snapToGrid w:val="0"/>
        <w:spacing w:line="500" w:lineRule="exact"/>
        <w:jc w:val="left"/>
        <w:rPr>
          <w:color w:val="auto"/>
          <w:kern w:val="0"/>
          <w:sz w:val="28"/>
          <w:u w:val="single"/>
        </w:rPr>
      </w:pPr>
    </w:p>
    <w:p>
      <w:pPr>
        <w:tabs>
          <w:tab w:val="left" w:pos="3395"/>
          <w:tab w:val="left" w:pos="5940"/>
        </w:tabs>
        <w:autoSpaceDE w:val="0"/>
        <w:autoSpaceDN w:val="0"/>
        <w:adjustRightInd w:val="0"/>
        <w:snapToGrid w:val="0"/>
        <w:spacing w:line="500" w:lineRule="exact"/>
        <w:ind w:firstLine="560" w:firstLineChars="200"/>
        <w:jc w:val="center"/>
        <w:rPr>
          <w:rFonts w:eastAsia="黑体"/>
          <w:b/>
          <w:bCs/>
          <w:color w:val="auto"/>
          <w:kern w:val="0"/>
          <w:sz w:val="28"/>
          <w:szCs w:val="22"/>
        </w:rPr>
      </w:pPr>
      <w:r>
        <w:rPr>
          <w:rFonts w:eastAsia="黑体"/>
          <w:color w:val="auto"/>
          <w:sz w:val="28"/>
          <w:szCs w:val="28"/>
          <w:u w:val="single"/>
        </w:rPr>
        <w:t>某招标项目标段名称</w:t>
      </w:r>
      <w:r>
        <w:rPr>
          <w:rFonts w:eastAsia="黑体"/>
          <w:color w:val="auto"/>
          <w:sz w:val="28"/>
          <w:szCs w:val="28"/>
        </w:rPr>
        <w:t>招标项目</w:t>
      </w: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pStyle w:val="2"/>
        <w:spacing w:before="0" w:after="0" w:line="500" w:lineRule="exact"/>
        <w:jc w:val="center"/>
        <w:rPr>
          <w:rFonts w:hint="eastAsia" w:ascii="Times New Roman" w:hAnsi="Times New Roman" w:eastAsia="黑体"/>
          <w:b w:val="0"/>
          <w:color w:val="auto"/>
          <w:sz w:val="44"/>
          <w:szCs w:val="44"/>
          <w:lang w:eastAsia="zh-CN"/>
        </w:rPr>
      </w:pPr>
      <w:bookmarkStart w:id="441" w:name="_Toc22504"/>
      <w:bookmarkStart w:id="442" w:name="_Toc24598"/>
      <w:bookmarkStart w:id="443" w:name="_Toc25064"/>
      <w:r>
        <w:rPr>
          <w:rFonts w:ascii="Times New Roman" w:hAnsi="Times New Roman" w:eastAsia="黑体"/>
          <w:b w:val="0"/>
          <w:color w:val="auto"/>
          <w:sz w:val="44"/>
          <w:szCs w:val="44"/>
        </w:rPr>
        <w:t>投标文件</w:t>
      </w:r>
    </w:p>
    <w:p>
      <w:pPr>
        <w:pStyle w:val="2"/>
        <w:spacing w:before="0" w:after="0" w:line="500" w:lineRule="exact"/>
        <w:jc w:val="center"/>
        <w:rPr>
          <w:rFonts w:ascii="Times New Roman" w:hAnsi="Times New Roman" w:eastAsia="黑体"/>
          <w:b w:val="0"/>
          <w:color w:val="auto"/>
        </w:rPr>
      </w:pPr>
      <w:r>
        <w:rPr>
          <w:rFonts w:ascii="Times New Roman" w:hAnsi="Times New Roman" w:eastAsia="黑体"/>
          <w:b w:val="0"/>
          <w:color w:val="auto"/>
        </w:rPr>
        <w:t>（报价文件）</w:t>
      </w:r>
      <w:bookmarkEnd w:id="441"/>
      <w:bookmarkEnd w:id="442"/>
      <w:bookmarkEnd w:id="443"/>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pStyle w:val="53"/>
        <w:ind w:firstLine="560"/>
        <w:rPr>
          <w:rFonts w:ascii="Times New Roman" w:hAnsi="Times New Roman"/>
          <w:color w:val="auto"/>
        </w:rPr>
      </w:pPr>
    </w:p>
    <w:p>
      <w:pPr>
        <w:pStyle w:val="53"/>
        <w:ind w:firstLine="560"/>
        <w:rPr>
          <w:rFonts w:ascii="Times New Roman" w:hAnsi="Times New Roman"/>
          <w:color w:val="auto"/>
        </w:rPr>
      </w:pPr>
    </w:p>
    <w:p>
      <w:pPr>
        <w:pStyle w:val="53"/>
        <w:ind w:firstLine="560"/>
        <w:rPr>
          <w:rFonts w:ascii="Times New Roman" w:hAnsi="Times New Roman"/>
          <w:color w:val="auto"/>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spacing w:line="500" w:lineRule="exact"/>
        <w:ind w:firstLine="1400" w:firstLineChars="500"/>
        <w:rPr>
          <w:rFonts w:eastAsia="黑体"/>
          <w:color w:val="auto"/>
          <w:sz w:val="28"/>
          <w:szCs w:val="28"/>
        </w:rPr>
      </w:pPr>
      <w:r>
        <w:rPr>
          <w:rFonts w:eastAsia="黑体"/>
          <w:color w:val="auto"/>
          <w:sz w:val="28"/>
          <w:szCs w:val="28"/>
        </w:rPr>
        <w:t>投标人：</w:t>
      </w:r>
      <w:r>
        <w:rPr>
          <w:rFonts w:eastAsia="黑体"/>
          <w:color w:val="auto"/>
          <w:sz w:val="28"/>
          <w:szCs w:val="28"/>
          <w:u w:val="single"/>
        </w:rPr>
        <w:t xml:space="preserve">                               </w:t>
      </w:r>
    </w:p>
    <w:p>
      <w:pPr>
        <w:spacing w:line="500" w:lineRule="exact"/>
        <w:jc w:val="center"/>
        <w:rPr>
          <w:rFonts w:eastAsia="黑体"/>
          <w:color w:val="auto"/>
          <w:sz w:val="28"/>
          <w:szCs w:val="28"/>
        </w:rPr>
      </w:pPr>
    </w:p>
    <w:p>
      <w:pPr>
        <w:tabs>
          <w:tab w:val="left" w:pos="3280"/>
          <w:tab w:val="left" w:pos="4680"/>
          <w:tab w:val="left" w:pos="6080"/>
        </w:tabs>
        <w:autoSpaceDE w:val="0"/>
        <w:autoSpaceDN w:val="0"/>
        <w:adjustRightInd w:val="0"/>
        <w:snapToGrid w:val="0"/>
        <w:spacing w:line="500" w:lineRule="exact"/>
        <w:jc w:val="center"/>
        <w:rPr>
          <w:b/>
          <w:bCs/>
          <w:color w:val="auto"/>
          <w:kern w:val="0"/>
          <w:sz w:val="28"/>
          <w:szCs w:val="22"/>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autoSpaceDE w:val="0"/>
        <w:autoSpaceDN w:val="0"/>
        <w:adjustRightInd w:val="0"/>
        <w:snapToGrid w:val="0"/>
        <w:spacing w:line="500" w:lineRule="exact"/>
        <w:jc w:val="left"/>
        <w:rPr>
          <w:color w:val="auto"/>
          <w:kern w:val="0"/>
          <w:sz w:val="24"/>
          <w:szCs w:val="22"/>
        </w:rPr>
      </w:pPr>
      <w:r>
        <w:rPr>
          <w:bCs/>
          <w:color w:val="auto"/>
          <w:kern w:val="0"/>
          <w:sz w:val="24"/>
          <w:szCs w:val="22"/>
        </w:rPr>
        <w:br w:type="page"/>
      </w:r>
    </w:p>
    <w:p>
      <w:pPr>
        <w:autoSpaceDE w:val="0"/>
        <w:autoSpaceDN w:val="0"/>
        <w:adjustRightInd w:val="0"/>
        <w:snapToGrid w:val="0"/>
        <w:spacing w:line="500" w:lineRule="exact"/>
        <w:jc w:val="center"/>
        <w:rPr>
          <w:rFonts w:eastAsia="黑体"/>
          <w:b/>
          <w:bCs/>
          <w:color w:val="auto"/>
          <w:kern w:val="0"/>
          <w:sz w:val="32"/>
          <w:szCs w:val="22"/>
        </w:rPr>
      </w:pPr>
      <w:r>
        <w:rPr>
          <w:rFonts w:eastAsia="黑体"/>
          <w:b/>
          <w:bCs/>
          <w:color w:val="auto"/>
          <w:kern w:val="0"/>
          <w:sz w:val="32"/>
          <w:szCs w:val="22"/>
        </w:rPr>
        <w:t>目  录</w:t>
      </w:r>
    </w:p>
    <w:p>
      <w:pPr>
        <w:autoSpaceDE w:val="0"/>
        <w:autoSpaceDN w:val="0"/>
        <w:adjustRightInd w:val="0"/>
        <w:spacing w:line="500" w:lineRule="exact"/>
        <w:ind w:right="-20" w:firstLine="105" w:firstLineChars="50"/>
        <w:jc w:val="left"/>
        <w:rPr>
          <w:color w:val="auto"/>
          <w:szCs w:val="21"/>
        </w:rPr>
      </w:pPr>
    </w:p>
    <w:p>
      <w:pPr>
        <w:autoSpaceDE w:val="0"/>
        <w:autoSpaceDN w:val="0"/>
        <w:adjustRightInd w:val="0"/>
        <w:spacing w:line="500" w:lineRule="exact"/>
        <w:ind w:right="-20" w:firstLine="105" w:firstLineChars="50"/>
        <w:jc w:val="left"/>
        <w:rPr>
          <w:color w:val="auto"/>
          <w:szCs w:val="21"/>
        </w:rPr>
      </w:pPr>
      <w:r>
        <w:rPr>
          <w:color w:val="auto"/>
          <w:szCs w:val="21"/>
        </w:rPr>
        <w:t>一、投标函</w:t>
      </w:r>
    </w:p>
    <w:p>
      <w:pPr>
        <w:autoSpaceDE w:val="0"/>
        <w:autoSpaceDN w:val="0"/>
        <w:adjustRightInd w:val="0"/>
        <w:spacing w:line="500" w:lineRule="exact"/>
        <w:ind w:right="-20" w:firstLine="105" w:firstLineChars="50"/>
        <w:jc w:val="left"/>
        <w:rPr>
          <w:color w:val="auto"/>
          <w:szCs w:val="21"/>
        </w:rPr>
      </w:pPr>
      <w:r>
        <w:rPr>
          <w:color w:val="auto"/>
          <w:szCs w:val="21"/>
        </w:rPr>
        <w:t>二、分项报价表</w:t>
      </w:r>
    </w:p>
    <w:p>
      <w:pPr>
        <w:autoSpaceDE w:val="0"/>
        <w:autoSpaceDN w:val="0"/>
        <w:adjustRightInd w:val="0"/>
        <w:spacing w:line="500" w:lineRule="exact"/>
        <w:ind w:right="-20" w:firstLine="160" w:firstLineChars="50"/>
        <w:jc w:val="left"/>
        <w:rPr>
          <w:color w:val="auto"/>
          <w:sz w:val="32"/>
          <w:szCs w:val="22"/>
        </w:rPr>
      </w:pPr>
    </w:p>
    <w:p>
      <w:pPr>
        <w:autoSpaceDE w:val="0"/>
        <w:autoSpaceDN w:val="0"/>
        <w:adjustRightInd w:val="0"/>
        <w:spacing w:line="500" w:lineRule="exact"/>
        <w:ind w:right="-20" w:firstLine="160" w:firstLineChars="50"/>
        <w:jc w:val="left"/>
        <w:rPr>
          <w:color w:val="auto"/>
          <w:sz w:val="32"/>
          <w:szCs w:val="22"/>
        </w:rPr>
        <w:sectPr>
          <w:headerReference r:id="rId4" w:type="default"/>
          <w:footerReference r:id="rId6" w:type="default"/>
          <w:headerReference r:id="rId5" w:type="even"/>
          <w:footerReference r:id="rId7" w:type="even"/>
          <w:footnotePr>
            <w:numFmt w:val="decimalEnclosedCircleChinese"/>
            <w:numRestart w:val="eachPage"/>
          </w:footnotePr>
          <w:pgSz w:w="11907" w:h="16840"/>
          <w:pgMar w:top="1440" w:right="1800" w:bottom="1440" w:left="1800" w:header="850" w:footer="907" w:gutter="0"/>
          <w:cols w:space="720" w:num="1"/>
          <w:docGrid w:linePitch="286" w:charSpace="0"/>
        </w:sectPr>
      </w:pPr>
    </w:p>
    <w:p>
      <w:pPr>
        <w:pStyle w:val="4"/>
        <w:spacing w:before="0" w:after="0" w:line="500" w:lineRule="exact"/>
        <w:jc w:val="center"/>
        <w:rPr>
          <w:rFonts w:ascii="Times New Roman" w:hAnsi="Times New Roman"/>
          <w:color w:val="auto"/>
        </w:rPr>
      </w:pPr>
      <w:bookmarkStart w:id="444" w:name="_Toc460660235"/>
      <w:bookmarkStart w:id="445" w:name="_Toc390411631"/>
      <w:bookmarkStart w:id="446" w:name="_Toc421917012"/>
      <w:bookmarkStart w:id="447" w:name="_Toc460227120"/>
      <w:r>
        <w:rPr>
          <w:rFonts w:ascii="Times New Roman" w:hAnsi="Times New Roman"/>
          <w:color w:val="auto"/>
        </w:rPr>
        <w:t>一、投标函</w:t>
      </w:r>
      <w:bookmarkEnd w:id="444"/>
      <w:bookmarkEnd w:id="445"/>
      <w:bookmarkEnd w:id="446"/>
      <w:bookmarkEnd w:id="447"/>
    </w:p>
    <w:p>
      <w:pPr>
        <w:adjustRightInd w:val="0"/>
        <w:snapToGrid w:val="0"/>
        <w:spacing w:line="500" w:lineRule="exact"/>
        <w:rPr>
          <w:color w:val="auto"/>
          <w:szCs w:val="22"/>
          <w:u w:val="single"/>
        </w:rPr>
      </w:pPr>
      <w:r>
        <w:rPr>
          <w:color w:val="auto"/>
          <w:szCs w:val="22"/>
        </w:rPr>
        <w:t>致：</w:t>
      </w:r>
      <w:r>
        <w:rPr>
          <w:color w:val="auto"/>
          <w:szCs w:val="21"/>
          <w:u w:val="single"/>
        </w:rPr>
        <w:t>某委托单位</w:t>
      </w:r>
    </w:p>
    <w:p>
      <w:pPr>
        <w:tabs>
          <w:tab w:val="left" w:pos="7560"/>
        </w:tabs>
        <w:adjustRightInd w:val="0"/>
        <w:snapToGrid w:val="0"/>
        <w:spacing w:line="500" w:lineRule="exact"/>
        <w:ind w:firstLine="420" w:firstLineChars="200"/>
        <w:jc w:val="left"/>
        <w:rPr>
          <w:rFonts w:hint="eastAsia"/>
          <w:color w:val="auto"/>
          <w:szCs w:val="22"/>
        </w:rPr>
      </w:pPr>
      <w:r>
        <w:rPr>
          <w:color w:val="auto"/>
          <w:szCs w:val="22"/>
        </w:rPr>
        <w:t>1. 我方已仔细研究</w:t>
      </w:r>
      <w:r>
        <w:rPr>
          <w:rFonts w:hint="eastAsia"/>
          <w:color w:val="auto"/>
          <w:szCs w:val="22"/>
          <w:u w:val="single"/>
        </w:rPr>
        <w:t>庐江文旅投资食品原材料采购米、油、调味品类</w:t>
      </w:r>
      <w:r>
        <w:rPr>
          <w:rFonts w:hint="eastAsia"/>
          <w:color w:val="auto"/>
          <w:szCs w:val="22"/>
          <w:u w:val="none"/>
          <w:lang w:val="en-US" w:eastAsia="zh-CN"/>
        </w:rPr>
        <w:t>招标文件</w:t>
      </w:r>
      <w:r>
        <w:rPr>
          <w:color w:val="auto"/>
          <w:szCs w:val="22"/>
        </w:rPr>
        <w:t>，在考察项目现场后，</w:t>
      </w:r>
    </w:p>
    <w:p>
      <w:pPr>
        <w:tabs>
          <w:tab w:val="left" w:pos="7560"/>
        </w:tabs>
        <w:adjustRightInd w:val="0"/>
        <w:snapToGrid w:val="0"/>
        <w:spacing w:line="500" w:lineRule="exact"/>
        <w:ind w:firstLine="420" w:firstLineChars="200"/>
        <w:jc w:val="left"/>
        <w:rPr>
          <w:color w:val="auto"/>
          <w:szCs w:val="22"/>
        </w:rPr>
      </w:pPr>
      <w:r>
        <w:rPr>
          <w:color w:val="auto"/>
          <w:szCs w:val="22"/>
        </w:rPr>
        <w:t>愿意以</w:t>
      </w:r>
      <w:r>
        <w:rPr>
          <w:color w:val="auto"/>
          <w:szCs w:val="22"/>
          <w:u w:val="single"/>
        </w:rPr>
        <w:t xml:space="preserve">        </w:t>
      </w:r>
      <w:r>
        <w:rPr>
          <w:color w:val="auto"/>
          <w:szCs w:val="22"/>
        </w:rPr>
        <w:t xml:space="preserve"> %的投标费率（含税），</w:t>
      </w:r>
    </w:p>
    <w:p>
      <w:pPr>
        <w:tabs>
          <w:tab w:val="left" w:pos="7560"/>
        </w:tabs>
        <w:adjustRightInd w:val="0"/>
        <w:snapToGrid w:val="0"/>
        <w:spacing w:line="500" w:lineRule="exact"/>
        <w:ind w:firstLine="420" w:firstLineChars="200"/>
        <w:jc w:val="left"/>
        <w:rPr>
          <w:color w:val="auto"/>
          <w:szCs w:val="22"/>
          <w:u w:val="single"/>
        </w:rPr>
      </w:pPr>
      <w:r>
        <w:rPr>
          <w:color w:val="auto"/>
          <w:szCs w:val="22"/>
        </w:rPr>
        <w:t>并承诺按本招标文件、合同条款的条件、承担上述项目的服务内容。</w:t>
      </w:r>
    </w:p>
    <w:p>
      <w:pPr>
        <w:adjustRightInd w:val="0"/>
        <w:snapToGrid w:val="0"/>
        <w:spacing w:line="500" w:lineRule="exact"/>
        <w:ind w:firstLine="367" w:firstLineChars="175"/>
        <w:rPr>
          <w:bCs/>
          <w:color w:val="auto"/>
          <w:szCs w:val="32"/>
        </w:rPr>
      </w:pPr>
      <w:r>
        <w:rPr>
          <w:bCs/>
          <w:color w:val="auto"/>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500" w:lineRule="exact"/>
        <w:ind w:firstLine="367" w:firstLineChars="175"/>
        <w:rPr>
          <w:bCs/>
          <w:color w:val="auto"/>
          <w:szCs w:val="32"/>
        </w:rPr>
      </w:pPr>
      <w:r>
        <w:rPr>
          <w:bCs/>
          <w:color w:val="auto"/>
          <w:szCs w:val="32"/>
        </w:rPr>
        <w:t>3. 除非另外达成协议并生效，你方的中标通知书和本投标文件以及招标文件、招标文件澄清、修改、补充文件将成为约束双方的合同文件的组成部分。</w:t>
      </w:r>
    </w:p>
    <w:p>
      <w:pPr>
        <w:adjustRightInd w:val="0"/>
        <w:snapToGrid w:val="0"/>
        <w:spacing w:line="500" w:lineRule="exact"/>
        <w:ind w:firstLine="367" w:firstLineChars="175"/>
        <w:rPr>
          <w:bCs/>
          <w:color w:val="auto"/>
          <w:szCs w:val="32"/>
        </w:rPr>
      </w:pPr>
      <w:r>
        <w:rPr>
          <w:bCs/>
          <w:color w:val="auto"/>
          <w:szCs w:val="32"/>
        </w:rPr>
        <w:t>4. 其他补充说明：</w:t>
      </w:r>
      <w:r>
        <w:rPr>
          <w:bCs/>
          <w:color w:val="auto"/>
          <w:szCs w:val="32"/>
          <w:u w:val="single"/>
        </w:rPr>
        <w:t xml:space="preserve">                                   </w:t>
      </w:r>
      <w:r>
        <w:rPr>
          <w:bCs/>
          <w:color w:val="auto"/>
          <w:szCs w:val="32"/>
        </w:rPr>
        <w:t>（补充说明事项）</w:t>
      </w:r>
    </w:p>
    <w:p>
      <w:pPr>
        <w:adjustRightInd w:val="0"/>
        <w:snapToGrid w:val="0"/>
        <w:spacing w:line="500" w:lineRule="exact"/>
        <w:ind w:firstLine="367" w:firstLineChars="175"/>
        <w:rPr>
          <w:bCs/>
          <w:color w:val="auto"/>
          <w:szCs w:val="21"/>
        </w:rPr>
      </w:pPr>
    </w:p>
    <w:p>
      <w:pPr>
        <w:adjustRightInd w:val="0"/>
        <w:snapToGrid w:val="0"/>
        <w:spacing w:line="500" w:lineRule="exact"/>
        <w:ind w:firstLine="420" w:firstLineChars="200"/>
        <w:rPr>
          <w:bCs/>
          <w:color w:val="auto"/>
          <w:szCs w:val="21"/>
          <w:u w:val="single"/>
        </w:rPr>
      </w:pPr>
      <w:r>
        <w:rPr>
          <w:bCs/>
          <w:color w:val="auto"/>
          <w:szCs w:val="21"/>
        </w:rPr>
        <w:t>投 标 人：</w:t>
      </w:r>
      <w:r>
        <w:rPr>
          <w:bCs/>
          <w:color w:val="auto"/>
          <w:szCs w:val="21"/>
          <w:u w:val="single"/>
        </w:rPr>
        <w:t xml:space="preserve">                                             </w:t>
      </w:r>
      <w:r>
        <w:rPr>
          <w:bCs/>
          <w:color w:val="auto"/>
          <w:szCs w:val="21"/>
        </w:rPr>
        <w:t>（盖单位章）</w:t>
      </w:r>
    </w:p>
    <w:p>
      <w:pPr>
        <w:adjustRightInd w:val="0"/>
        <w:snapToGrid w:val="0"/>
        <w:spacing w:line="500" w:lineRule="exact"/>
        <w:ind w:firstLine="420" w:firstLineChars="200"/>
        <w:rPr>
          <w:color w:val="auto"/>
          <w:szCs w:val="21"/>
          <w:u w:val="single"/>
        </w:rPr>
      </w:pPr>
      <w:r>
        <w:rPr>
          <w:color w:val="auto"/>
          <w:szCs w:val="21"/>
        </w:rPr>
        <w:t>法定代表人（单位负责人）：</w:t>
      </w:r>
      <w:r>
        <w:rPr>
          <w:color w:val="auto"/>
          <w:szCs w:val="21"/>
          <w:u w:val="single"/>
        </w:rPr>
        <w:t xml:space="preserve">                             </w:t>
      </w:r>
      <w:r>
        <w:rPr>
          <w:color w:val="auto"/>
          <w:szCs w:val="21"/>
        </w:rPr>
        <w:t>（签字或盖章）</w:t>
      </w:r>
    </w:p>
    <w:p>
      <w:pPr>
        <w:adjustRightInd w:val="0"/>
        <w:snapToGrid w:val="0"/>
        <w:spacing w:line="500" w:lineRule="exact"/>
        <w:ind w:left="109" w:leftChars="52" w:firstLine="315" w:firstLineChars="150"/>
        <w:rPr>
          <w:color w:val="auto"/>
          <w:szCs w:val="21"/>
          <w:u w:val="single"/>
        </w:rPr>
      </w:pPr>
      <w:r>
        <w:rPr>
          <w:color w:val="auto"/>
          <w:szCs w:val="21"/>
        </w:rPr>
        <w:t>单位地址：</w:t>
      </w:r>
      <w:r>
        <w:rPr>
          <w:color w:val="auto"/>
          <w:szCs w:val="21"/>
          <w:u w:val="single"/>
        </w:rPr>
        <w:t xml:space="preserve">                                                       </w:t>
      </w:r>
    </w:p>
    <w:p>
      <w:pPr>
        <w:adjustRightInd w:val="0"/>
        <w:snapToGrid w:val="0"/>
        <w:spacing w:line="500" w:lineRule="exact"/>
        <w:ind w:firstLine="420" w:firstLineChars="200"/>
        <w:rPr>
          <w:color w:val="auto"/>
          <w:szCs w:val="21"/>
        </w:rPr>
      </w:pPr>
      <w:r>
        <w:rPr>
          <w:color w:val="auto"/>
          <w:szCs w:val="21"/>
        </w:rPr>
        <w:t>邮政编码：</w:t>
      </w:r>
      <w:r>
        <w:rPr>
          <w:bCs/>
          <w:color w:val="auto"/>
          <w:szCs w:val="32"/>
          <w:u w:val="single"/>
        </w:rPr>
        <w:t xml:space="preserve">           </w:t>
      </w:r>
      <w:r>
        <w:rPr>
          <w:color w:val="auto"/>
          <w:szCs w:val="21"/>
        </w:rPr>
        <w:t>电话：</w:t>
      </w:r>
      <w:r>
        <w:rPr>
          <w:bCs/>
          <w:color w:val="auto"/>
          <w:szCs w:val="32"/>
          <w:u w:val="single"/>
        </w:rPr>
        <w:t xml:space="preserve">           </w:t>
      </w:r>
      <w:r>
        <w:rPr>
          <w:color w:val="auto"/>
          <w:szCs w:val="21"/>
        </w:rPr>
        <w:t xml:space="preserve"> 传真：</w:t>
      </w:r>
      <w:r>
        <w:rPr>
          <w:color w:val="auto"/>
          <w:szCs w:val="21"/>
          <w:u w:val="single"/>
        </w:rPr>
        <w:t xml:space="preserve">                    </w:t>
      </w:r>
      <w:r>
        <w:rPr>
          <w:color w:val="auto"/>
          <w:szCs w:val="21"/>
        </w:rPr>
        <w:t xml:space="preserve"> </w:t>
      </w:r>
    </w:p>
    <w:p>
      <w:pPr>
        <w:adjustRightInd w:val="0"/>
        <w:snapToGrid w:val="0"/>
        <w:spacing w:line="500" w:lineRule="exact"/>
        <w:ind w:firstLine="420" w:firstLineChars="200"/>
        <w:rPr>
          <w:color w:val="auto"/>
          <w:szCs w:val="22"/>
        </w:rPr>
      </w:pPr>
      <w:r>
        <w:rPr>
          <w:color w:val="auto"/>
          <w:szCs w:val="21"/>
        </w:rPr>
        <w:t>日期：</w:t>
      </w:r>
      <w:r>
        <w:rPr>
          <w:color w:val="auto"/>
          <w:szCs w:val="21"/>
          <w:u w:val="single"/>
        </w:rPr>
        <w:t>_       _</w:t>
      </w:r>
      <w:r>
        <w:rPr>
          <w:color w:val="auto"/>
          <w:szCs w:val="21"/>
        </w:rPr>
        <w:t>年</w:t>
      </w:r>
      <w:r>
        <w:rPr>
          <w:color w:val="auto"/>
          <w:szCs w:val="21"/>
          <w:u w:val="single"/>
        </w:rPr>
        <w:t>_       _</w:t>
      </w:r>
      <w:r>
        <w:rPr>
          <w:color w:val="auto"/>
          <w:szCs w:val="21"/>
        </w:rPr>
        <w:t>月</w:t>
      </w:r>
      <w:r>
        <w:rPr>
          <w:color w:val="auto"/>
          <w:szCs w:val="21"/>
          <w:u w:val="single"/>
        </w:rPr>
        <w:t>_       _</w:t>
      </w:r>
      <w:r>
        <w:rPr>
          <w:color w:val="auto"/>
          <w:szCs w:val="21"/>
        </w:rPr>
        <w:t>日</w:t>
      </w:r>
    </w:p>
    <w:p>
      <w:pPr>
        <w:keepNext/>
        <w:keepLines/>
        <w:spacing w:line="500" w:lineRule="exact"/>
        <w:jc w:val="both"/>
        <w:outlineLvl w:val="3"/>
        <w:rPr>
          <w:color w:val="auto"/>
        </w:rPr>
      </w:pPr>
    </w:p>
    <w:p>
      <w:pPr>
        <w:bidi w:val="0"/>
        <w:rPr>
          <w:color w:val="auto"/>
        </w:rPr>
      </w:pPr>
    </w:p>
    <w:p>
      <w:pPr>
        <w:bidi w:val="0"/>
        <w:rPr>
          <w:color w:val="auto"/>
        </w:rPr>
      </w:pPr>
    </w:p>
    <w:p>
      <w:pPr>
        <w:bidi w:val="0"/>
        <w:rPr>
          <w:color w:val="auto"/>
        </w:rPr>
      </w:pPr>
    </w:p>
    <w:p>
      <w:pPr>
        <w:rPr>
          <w:color w:val="auto"/>
        </w:rPr>
      </w:pPr>
    </w:p>
    <w:p>
      <w:pPr>
        <w:bidi w:val="0"/>
        <w:rPr>
          <w:color w:val="auto"/>
        </w:rPr>
      </w:pPr>
    </w:p>
    <w:p>
      <w:pPr>
        <w:bidi w:val="0"/>
        <w:rPr>
          <w:color w:val="auto"/>
        </w:rPr>
      </w:pPr>
    </w:p>
    <w:p>
      <w:pPr>
        <w:bidi w:val="0"/>
        <w:rPr>
          <w:color w:val="auto"/>
        </w:rPr>
      </w:pPr>
    </w:p>
    <w:p>
      <w:pPr>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adjustRightInd w:val="0"/>
        <w:snapToGrid w:val="0"/>
        <w:spacing w:line="500" w:lineRule="exact"/>
        <w:jc w:val="center"/>
        <w:rPr>
          <w:color w:val="auto"/>
          <w:sz w:val="32"/>
          <w:szCs w:val="32"/>
        </w:rPr>
      </w:pPr>
      <w:bookmarkStart w:id="448" w:name="_Toc460227122"/>
      <w:bookmarkStart w:id="449" w:name="_Toc421917014"/>
      <w:bookmarkStart w:id="450" w:name="_Toc460660237"/>
      <w:r>
        <w:rPr>
          <w:rFonts w:eastAsia="黑体"/>
          <w:bCs/>
          <w:color w:val="auto"/>
          <w:sz w:val="24"/>
        </w:rPr>
        <w:t>二、</w:t>
      </w:r>
      <w:bookmarkEnd w:id="448"/>
      <w:bookmarkEnd w:id="449"/>
      <w:bookmarkEnd w:id="450"/>
      <w:r>
        <w:rPr>
          <w:rFonts w:eastAsia="黑体"/>
          <w:bCs/>
          <w:color w:val="auto"/>
          <w:sz w:val="24"/>
        </w:rPr>
        <w:t>分项报价表</w:t>
      </w:r>
      <w:r>
        <w:rPr>
          <w:rFonts w:eastAsia="黑体"/>
          <w:bCs/>
          <w:color w:val="auto"/>
          <w:sz w:val="24"/>
          <w:vertAlign w:val="superscript"/>
        </w:rPr>
        <w:footnoteReference w:id="2"/>
      </w:r>
    </w:p>
    <w:p>
      <w:pPr>
        <w:spacing w:line="500" w:lineRule="exact"/>
        <w:ind w:firstLine="420" w:firstLineChars="200"/>
        <w:rPr>
          <w:color w:val="auto"/>
          <w:szCs w:val="21"/>
        </w:rPr>
      </w:pPr>
      <w:r>
        <w:rPr>
          <w:color w:val="auto"/>
          <w:szCs w:val="21"/>
        </w:rPr>
        <w:t>1. 分项报价表说明</w:t>
      </w:r>
    </w:p>
    <w:p>
      <w:pPr>
        <w:spacing w:line="500" w:lineRule="exact"/>
        <w:ind w:firstLine="420" w:firstLineChars="200"/>
        <w:rPr>
          <w:color w:val="auto"/>
          <w:szCs w:val="21"/>
        </w:rPr>
      </w:pPr>
      <w:r>
        <w:rPr>
          <w:color w:val="auto"/>
          <w:szCs w:val="21"/>
        </w:rPr>
        <w:t>2. 分项报价汇总表</w:t>
      </w:r>
    </w:p>
    <w:p>
      <w:pPr>
        <w:spacing w:line="500" w:lineRule="exact"/>
        <w:ind w:firstLine="420" w:firstLineChars="200"/>
        <w:rPr>
          <w:color w:val="auto"/>
          <w:szCs w:val="21"/>
        </w:rPr>
      </w:pPr>
      <w:r>
        <w:rPr>
          <w:color w:val="auto"/>
          <w:szCs w:val="21"/>
        </w:rPr>
        <w:t>3. 分项报价表</w:t>
      </w:r>
    </w:p>
    <w:p>
      <w:pPr>
        <w:spacing w:line="500" w:lineRule="exact"/>
        <w:jc w:val="center"/>
        <w:rPr>
          <w:rFonts w:eastAsia="黑体"/>
          <w:bCs/>
          <w:color w:val="auto"/>
          <w:sz w:val="28"/>
          <w:szCs w:val="28"/>
        </w:rPr>
      </w:pPr>
      <w:r>
        <w:rPr>
          <w:rFonts w:eastAsia="黑体"/>
          <w:bCs/>
          <w:color w:val="auto"/>
          <w:sz w:val="28"/>
          <w:szCs w:val="28"/>
        </w:rPr>
        <w:t>表1  分项报价汇总表</w:t>
      </w:r>
    </w:p>
    <w:p>
      <w:pPr>
        <w:spacing w:line="500" w:lineRule="exact"/>
        <w:rPr>
          <w:color w:val="auto"/>
          <w:szCs w:val="21"/>
        </w:rPr>
      </w:pPr>
      <w:r>
        <w:rPr>
          <w:color w:val="auto"/>
          <w:szCs w:val="21"/>
        </w:rPr>
        <w:t xml:space="preserve">项目名称：                                       </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48"/>
        <w:gridCol w:w="4278"/>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序号</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表号</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名称</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表1-1</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表1-2</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货物（安装）报价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表1-3</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备品备件及专用工具报价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表1-4</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伴随服务报价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表1-5</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招标人确定的暂定金（如有）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表1-6</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其他（如有）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color w:val="auto"/>
                <w:szCs w:val="21"/>
              </w:rPr>
            </w:pPr>
            <w:r>
              <w:rPr>
                <w:color w:val="auto"/>
                <w:szCs w:val="21"/>
              </w:rPr>
              <w:t>投标总报价等于序号1至序号6之和，转入投标函中（等于投标函中的投标总报价）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tcBorders>
            <w:noWrap w:val="0"/>
            <w:vAlign w:val="center"/>
          </w:tcPr>
          <w:p>
            <w:pPr>
              <w:snapToGrid w:val="0"/>
              <w:spacing w:line="500" w:lineRule="exact"/>
              <w:ind w:firstLine="360" w:firstLineChars="200"/>
              <w:jc w:val="left"/>
              <w:rPr>
                <w:color w:val="auto"/>
                <w:sz w:val="18"/>
                <w:szCs w:val="18"/>
              </w:rPr>
            </w:pPr>
            <w:r>
              <w:rPr>
                <w:color w:val="auto"/>
                <w:sz w:val="18"/>
                <w:szCs w:val="18"/>
              </w:rPr>
              <w:t>注1：货物（安装）报价包括</w:t>
            </w:r>
            <w:r>
              <w:rPr>
                <w:rFonts w:hint="eastAsia"/>
                <w:color w:val="auto"/>
                <w:sz w:val="18"/>
                <w:szCs w:val="18"/>
              </w:rPr>
              <w:t>但不限于</w:t>
            </w:r>
            <w:r>
              <w:rPr>
                <w:color w:val="auto"/>
                <w:sz w:val="18"/>
                <w:szCs w:val="18"/>
              </w:rPr>
              <w:t>安装、调试、考核验收、培训等内容。</w:t>
            </w:r>
          </w:p>
          <w:p>
            <w:pPr>
              <w:snapToGrid w:val="0"/>
              <w:spacing w:line="500" w:lineRule="exact"/>
              <w:ind w:firstLine="360" w:firstLineChars="200"/>
              <w:jc w:val="left"/>
              <w:rPr>
                <w:color w:val="auto"/>
                <w:sz w:val="18"/>
                <w:szCs w:val="18"/>
              </w:rPr>
            </w:pPr>
            <w:r>
              <w:rPr>
                <w:color w:val="auto"/>
                <w:sz w:val="18"/>
                <w:szCs w:val="18"/>
              </w:rPr>
              <w:t>注2：伴随服务包括</w:t>
            </w:r>
            <w:r>
              <w:rPr>
                <w:rFonts w:hint="eastAsia"/>
                <w:color w:val="auto"/>
                <w:sz w:val="18"/>
                <w:szCs w:val="18"/>
              </w:rPr>
              <w:t>但不限于</w:t>
            </w:r>
            <w:r>
              <w:rPr>
                <w:color w:val="auto"/>
                <w:sz w:val="18"/>
                <w:szCs w:val="18"/>
              </w:rPr>
              <w:t>包装运输及保险、装卸等（应当在采购需求或专用合同条款部分明确）。</w:t>
            </w:r>
          </w:p>
          <w:p>
            <w:pPr>
              <w:snapToGrid w:val="0"/>
              <w:spacing w:line="500" w:lineRule="exact"/>
              <w:ind w:firstLine="360" w:firstLineChars="200"/>
              <w:jc w:val="left"/>
              <w:rPr>
                <w:color w:val="auto"/>
                <w:sz w:val="18"/>
                <w:szCs w:val="18"/>
              </w:rPr>
            </w:pPr>
            <w:r>
              <w:rPr>
                <w:color w:val="auto"/>
                <w:sz w:val="18"/>
                <w:szCs w:val="18"/>
              </w:rPr>
              <w:t>注3：序号1至序号5报价栏目不能满足投标人报价的可在序号6中填报，并自定详细报价的格式和内容。</w:t>
            </w:r>
          </w:p>
          <w:p>
            <w:pPr>
              <w:snapToGrid w:val="0"/>
              <w:spacing w:line="500" w:lineRule="exact"/>
              <w:ind w:firstLine="360" w:firstLineChars="200"/>
              <w:jc w:val="left"/>
              <w:rPr>
                <w:color w:val="auto"/>
                <w:szCs w:val="21"/>
              </w:rPr>
            </w:pPr>
            <w:r>
              <w:rPr>
                <w:color w:val="auto"/>
                <w:sz w:val="18"/>
                <w:szCs w:val="18"/>
              </w:rPr>
              <w:t>注4：投标报价均为含税价。</w:t>
            </w:r>
          </w:p>
        </w:tc>
      </w:tr>
    </w:tbl>
    <w:p>
      <w:pPr>
        <w:spacing w:line="500" w:lineRule="exact"/>
        <w:ind w:firstLine="420" w:firstLineChars="200"/>
        <w:rPr>
          <w:color w:val="auto"/>
          <w:szCs w:val="21"/>
        </w:rPr>
      </w:pPr>
    </w:p>
    <w:p>
      <w:pPr>
        <w:keepNext/>
        <w:keepLines/>
        <w:pageBreakBefore/>
        <w:spacing w:line="500" w:lineRule="exact"/>
        <w:jc w:val="center"/>
        <w:outlineLvl w:val="3"/>
        <w:rPr>
          <w:rFonts w:eastAsia="黑体"/>
          <w:bCs/>
          <w:color w:val="auto"/>
          <w:sz w:val="24"/>
          <w:szCs w:val="36"/>
        </w:rPr>
      </w:pPr>
      <w:r>
        <w:rPr>
          <w:rFonts w:eastAsia="黑体"/>
          <w:bCs/>
          <w:color w:val="auto"/>
          <w:sz w:val="24"/>
          <w:szCs w:val="36"/>
        </w:rPr>
        <w:t>表1-1  货物分项报价表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53"/>
        <w:gridCol w:w="657"/>
        <w:gridCol w:w="659"/>
        <w:gridCol w:w="659"/>
        <w:gridCol w:w="727"/>
        <w:gridCol w:w="607"/>
        <w:gridCol w:w="607"/>
        <w:gridCol w:w="970"/>
        <w:gridCol w:w="970"/>
        <w:gridCol w:w="83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szCs w:val="21"/>
              </w:rPr>
            </w:pPr>
            <w:r>
              <w:rPr>
                <w:b/>
                <w:color w:val="auto"/>
                <w:szCs w:val="21"/>
              </w:rPr>
              <w:t>货物</w:t>
            </w:r>
          </w:p>
          <w:p>
            <w:pPr>
              <w:spacing w:line="500" w:lineRule="exact"/>
              <w:jc w:val="center"/>
              <w:rPr>
                <w:b/>
                <w:color w:val="auto"/>
              </w:rPr>
            </w:pPr>
            <w:r>
              <w:rPr>
                <w:b/>
                <w:color w:val="auto"/>
                <w:szCs w:val="21"/>
              </w:rPr>
              <w:t>编号</w:t>
            </w: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szCs w:val="21"/>
              </w:rPr>
              <w:t>货物名称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3"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ind w:firstLine="420" w:firstLineChars="200"/>
        <w:rPr>
          <w:color w:val="auto"/>
          <w:szCs w:val="21"/>
        </w:rPr>
      </w:pPr>
    </w:p>
    <w:p>
      <w:pPr>
        <w:spacing w:line="500" w:lineRule="exact"/>
        <w:ind w:firstLine="420" w:firstLineChars="200"/>
        <w:rPr>
          <w:color w:val="auto"/>
          <w:szCs w:val="21"/>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表1-2  货物（安装）分项报价表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603"/>
        <w:gridCol w:w="2886"/>
        <w:gridCol w:w="1683"/>
        <w:gridCol w:w="8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rPr>
          <w:b/>
          <w:color w:val="auto"/>
        </w:rPr>
      </w:pPr>
      <w:r>
        <w:rPr>
          <w:b/>
          <w:color w:val="auto"/>
        </w:rPr>
        <w:t>注：如有总承包管理服务费请在此表中（表1-2）列出</w:t>
      </w:r>
    </w:p>
    <w:p>
      <w:pPr>
        <w:spacing w:line="500" w:lineRule="exact"/>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表1-3  备品备件及专用工具分项报价表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637"/>
        <w:gridCol w:w="637"/>
        <w:gridCol w:w="637"/>
        <w:gridCol w:w="727"/>
        <w:gridCol w:w="729"/>
        <w:gridCol w:w="607"/>
        <w:gridCol w:w="973"/>
        <w:gridCol w:w="971"/>
        <w:gridCol w:w="7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名称</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型号</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keepNext/>
        <w:keepLines/>
        <w:spacing w:line="500" w:lineRule="exact"/>
        <w:jc w:val="center"/>
        <w:outlineLvl w:val="3"/>
        <w:rPr>
          <w:rFonts w:eastAsia="黑体"/>
          <w:bCs/>
          <w:color w:val="auto"/>
          <w:sz w:val="24"/>
          <w:szCs w:val="36"/>
        </w:rPr>
      </w:pPr>
      <w:r>
        <w:rPr>
          <w:rFonts w:eastAsia="黑体"/>
          <w:bCs/>
          <w:color w:val="auto"/>
          <w:sz w:val="24"/>
          <w:szCs w:val="36"/>
        </w:rPr>
        <w:t>表1-4  伴随服务分项报价表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24"/>
        <w:gridCol w:w="2968"/>
        <w:gridCol w:w="1732"/>
        <w:gridCol w:w="84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449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表1-5  招标人确定的暂定金（如有）</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865"/>
        <w:gridCol w:w="251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pPr>
              <w:widowControl/>
              <w:tabs>
                <w:tab w:val="center" w:pos="4201"/>
                <w:tab w:val="right" w:leader="dot" w:pos="9298"/>
              </w:tabs>
              <w:autoSpaceDE w:val="0"/>
              <w:autoSpaceDN w:val="0"/>
              <w:snapToGrid w:val="0"/>
              <w:spacing w:line="500" w:lineRule="exact"/>
              <w:ind w:firstLine="360" w:firstLineChars="200"/>
              <w:rPr>
                <w:color w:val="auto"/>
                <w:kern w:val="0"/>
              </w:rPr>
            </w:pPr>
            <w:r>
              <w:rPr>
                <w:rFonts w:eastAsia="黑体"/>
                <w:color w:val="auto"/>
                <w:kern w:val="0"/>
                <w:sz w:val="18"/>
                <w:szCs w:val="22"/>
              </w:rPr>
              <w:t>注：</w:t>
            </w:r>
            <w:r>
              <w:rPr>
                <w:color w:val="auto"/>
                <w:kern w:val="0"/>
                <w:sz w:val="18"/>
                <w:szCs w:val="22"/>
              </w:rPr>
              <w:t>本表中金额为招标人为本项目设立的暂定金，投标人不应对此费用做出任何修改，并将此费用转入表1中，计入本项目投标总价。</w:t>
            </w:r>
          </w:p>
        </w:tc>
      </w:tr>
    </w:tbl>
    <w:p>
      <w:pPr>
        <w:keepNext/>
        <w:keepLines/>
        <w:spacing w:line="500" w:lineRule="exact"/>
        <w:jc w:val="center"/>
        <w:outlineLvl w:val="3"/>
        <w:rPr>
          <w:color w:val="auto"/>
        </w:rPr>
      </w:pPr>
    </w:p>
    <w:p>
      <w:pPr>
        <w:pStyle w:val="2"/>
        <w:rPr>
          <w:color w:val="auto"/>
        </w:rPr>
      </w:pPr>
    </w:p>
    <w:sectPr>
      <w:footerReference r:id="rId8" w:type="default"/>
      <w:footerReference r:id="rId9" w:type="even"/>
      <w:footnotePr>
        <w:numFmt w:val="decimalEnclosedCircleChinese"/>
        <w:numRestart w:val="eachPage"/>
      </w:footnotePr>
      <w:pgSz w:w="11906" w:h="16838"/>
      <w:pgMar w:top="1474" w:right="1474" w:bottom="1474"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882A19E-FA15-4FDD-BCB9-E536DE902F3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9016BF9-4451-411F-9A42-23B65E6B1B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A5D8D57-F25D-47E8-B6AD-0917B5E556E2}"/>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embedRegular r:id="rId4" w:fontKey="{BF0A7368-297E-4A34-88A8-37FE491FC039}"/>
  </w:font>
  <w:font w:name="Sylfaen">
    <w:panose1 w:val="010A0502050306030303"/>
    <w:charset w:val="00"/>
    <w:family w:val="roman"/>
    <w:pitch w:val="default"/>
    <w:sig w:usb0="040006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86"/>
    <w:family w:val="auto"/>
    <w:pitch w:val="default"/>
    <w:sig w:usb0="00000000" w:usb1="00000000" w:usb2="00000010" w:usb3="00000000" w:csb0="0004000A" w:csb1="00000000"/>
  </w:font>
  <w:font w:name="仿宋">
    <w:panose1 w:val="02010609060101010101"/>
    <w:charset w:val="86"/>
    <w:family w:val="modern"/>
    <w:pitch w:val="default"/>
    <w:sig w:usb0="800002BF" w:usb1="38CF7CFA" w:usb2="00000016" w:usb3="00000000" w:csb0="00040001" w:csb1="00000000"/>
    <w:embedRegular r:id="rId5" w:fontKey="{22D7AB9F-1F40-40F1-AB28-FACB58ACC42C}"/>
  </w:font>
  <w:font w:name="隶书">
    <w:panose1 w:val="02010509060101010101"/>
    <w:charset w:val="86"/>
    <w:family w:val="modern"/>
    <w:pitch w:val="default"/>
    <w:sig w:usb0="00000001" w:usb1="080E0000" w:usb2="00000000" w:usb3="00000000" w:csb0="00040000" w:csb1="00000000"/>
    <w:embedRegular r:id="rId6" w:fontKey="{25EE8BC3-3B34-4FC4-9B41-338779253F46}"/>
  </w:font>
  <w:font w:name="等线">
    <w:panose1 w:val="02010600030101010101"/>
    <w:charset w:val="86"/>
    <w:family w:val="auto"/>
    <w:pitch w:val="default"/>
    <w:sig w:usb0="A00002BF" w:usb1="38CF7CFA" w:usb2="00000016" w:usb3="00000000" w:csb0="0004000F" w:csb1="00000000"/>
    <w:embedRegular r:id="rId7" w:fontKey="{BA382646-FFAF-4627-BDFC-DD369C72364C}"/>
  </w:font>
  <w:font w:name="方正小标宋简体">
    <w:panose1 w:val="02000000000000000000"/>
    <w:charset w:val="86"/>
    <w:family w:val="auto"/>
    <w:pitch w:val="default"/>
    <w:sig w:usb0="00000001" w:usb1="080E0000" w:usb2="00000000" w:usb3="00000000" w:csb0="00040000" w:csb1="00000000"/>
    <w:embedRegular r:id="rId8" w:fontKey="{31704993-5AF1-43E8-9370-484C091CFD48}"/>
  </w:font>
  <w:font w:name="@仿宋_GB2312">
    <w:panose1 w:val="02010609030101010101"/>
    <w:charset w:val="86"/>
    <w:family w:val="modern"/>
    <w:pitch w:val="default"/>
    <w:sig w:usb0="00000001" w:usb1="080E0000" w:usb2="00000000" w:usb3="00000000" w:csb0="00040000" w:csb1="00000000"/>
    <w:embedRegular r:id="rId9" w:fontKey="{F0799378-B6DE-416F-A197-269815DFEC3B}"/>
  </w:font>
  <w:font w:name="UniversalMath1 BT">
    <w:panose1 w:val="05050102010205020602"/>
    <w:charset w:val="02"/>
    <w:family w:val="roman"/>
    <w:pitch w:val="default"/>
    <w:sig w:usb0="00000000" w:usb1="00000000" w:usb2="00000000" w:usb3="00000000" w:csb0="00000000" w:csb1="00000000"/>
    <w:embedRegular r:id="rId10" w:fontKey="{76B0DAC3-ED33-40E2-9385-E03C1138D7E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Fonts w:hint="eastAsia"/>
      </w:rPr>
    </w:pPr>
    <w:r>
      <w:fldChar w:fldCharType="begin"/>
    </w:r>
    <w:r>
      <w:rPr>
        <w:rStyle w:val="58"/>
        <w:highlight w:val="white"/>
      </w:rPr>
      <w:instrText xml:space="preserve">PAGE  </w:instrText>
    </w:r>
    <w:r>
      <w:fldChar w:fldCharType="separate"/>
    </w:r>
    <w:r>
      <w:rPr>
        <w:rStyle w:val="58"/>
        <w:highlight w:val="white"/>
      </w:rPr>
      <w:t>4</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highlight w:val="white"/>
      </w:rPr>
      <w:instrText xml:space="preserve">PAGE  </w:instrText>
    </w:r>
    <w:r>
      <w:fldChar w:fldCharType="separate"/>
    </w:r>
    <w:r>
      <w:rPr>
        <w:rStyle w:val="58"/>
        <w:highlight w:val="white"/>
      </w:rPr>
      <w:t>1</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Fonts w:eastAsia="仿宋_GB2312"/>
      </w:rPr>
    </w:pPr>
    <w:r>
      <w:rPr>
        <w:rFonts w:eastAsia="仿宋_GB2312"/>
      </w:rPr>
      <w:fldChar w:fldCharType="begin"/>
    </w:r>
    <w:r>
      <w:rPr>
        <w:rStyle w:val="58"/>
        <w:rFonts w:eastAsia="仿宋_GB2312"/>
      </w:rPr>
      <w:instrText xml:space="preserve">PAGE  </w:instrText>
    </w:r>
    <w:r>
      <w:rPr>
        <w:rFonts w:eastAsia="仿宋_GB2312"/>
      </w:rPr>
      <w:fldChar w:fldCharType="separate"/>
    </w:r>
    <w:r>
      <w:rPr>
        <w:rStyle w:val="58"/>
        <w:rFonts w:eastAsia="仿宋_GB2312"/>
      </w:rPr>
      <w:t>95</w:t>
    </w:r>
    <w:r>
      <w:rPr>
        <w:rFonts w:eastAsia="仿宋_GB2312"/>
      </w:rPr>
      <w:fldChar w:fldCharType="end"/>
    </w:r>
  </w:p>
  <w:p>
    <w:pPr>
      <w:pStyle w:val="3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rPr>
      <w:instrText xml:space="preserve">PAGE  </w:instrText>
    </w:r>
    <w:r>
      <w:fldChar w:fldCharType="separate"/>
    </w:r>
    <w:r>
      <w:fldChar w:fldCharType="end"/>
    </w:r>
  </w:p>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2"/>
        <w:rPr>
          <w:rFonts w:hint="eastAsia"/>
        </w:rPr>
      </w:pPr>
      <w:r>
        <w:rPr>
          <w:rFonts w:cs="楷体"/>
          <w:bCs/>
          <w:snapToGrid w:val="0"/>
          <w:color w:val="000000"/>
          <w:kern w:val="0"/>
          <w:vertAlign w:val="superscript"/>
        </w:rPr>
        <w:footnoteRef/>
      </w:r>
      <w:r>
        <w:rPr>
          <w:rFonts w:hint="eastAsia" w:cs="楷体"/>
          <w:bCs/>
          <w:snapToGrid w:val="0"/>
          <w:color w:val="000000"/>
          <w:kern w:val="0"/>
          <w:vertAlign w:val="superscript"/>
        </w:rPr>
        <w:t xml:space="preserve"> </w:t>
      </w:r>
      <w:r>
        <w:rPr>
          <w:rFonts w:hint="eastAsia" w:cs="楷体"/>
          <w:bCs/>
          <w:snapToGrid w:val="0"/>
          <w:color w:val="000000"/>
          <w:kern w:val="0"/>
        </w:rPr>
        <w:t>仅适用于多标段项目。</w:t>
      </w:r>
    </w:p>
  </w:footnote>
  <w:footnote w:id="1">
    <w:p>
      <w:pPr>
        <w:pStyle w:val="42"/>
        <w:rPr>
          <w:rFonts w:hint="eastAsia" w:ascii="宋体" w:hAnsi="宋体"/>
          <w:color w:val="000000"/>
        </w:rPr>
      </w:pPr>
      <w:r>
        <w:rPr>
          <w:rStyle w:val="63"/>
          <w:rFonts w:ascii="宋体" w:hAnsi="宋体"/>
          <w:color w:val="000000"/>
        </w:rPr>
        <w:footnoteRef/>
      </w:r>
      <w:r>
        <w:rPr>
          <w:rFonts w:ascii="宋体" w:hAnsi="宋体"/>
          <w:color w:val="000000"/>
        </w:rPr>
        <w:t xml:space="preserve"> </w:t>
      </w:r>
      <w:r>
        <w:rPr>
          <w:rFonts w:hint="eastAsia" w:ascii="宋体" w:hAnsi="宋体"/>
          <w:color w:val="000000"/>
        </w:rPr>
        <w:t>适用于要求投标人提交“制造商授权”的情形。</w:t>
      </w:r>
    </w:p>
  </w:footnote>
  <w:footnote w:id="2">
    <w:p>
      <w:pPr>
        <w:pStyle w:val="42"/>
        <w:rPr>
          <w:rFonts w:hint="eastAsia" w:ascii="宋体" w:hAnsi="宋体"/>
          <w:color w:val="000000"/>
        </w:rPr>
      </w:pPr>
      <w:r>
        <w:rPr>
          <w:rStyle w:val="63"/>
          <w:rFonts w:ascii="宋体" w:hAnsi="宋体"/>
          <w:color w:val="000000"/>
        </w:rPr>
        <w:footnoteRef/>
      </w:r>
      <w:r>
        <w:rPr>
          <w:rFonts w:ascii="宋体" w:hAnsi="宋体"/>
          <w:color w:val="000000"/>
        </w:rPr>
        <w:t xml:space="preserve"> </w:t>
      </w:r>
      <w:r>
        <w:rPr>
          <w:rFonts w:hint="eastAsia" w:ascii="宋体" w:hAnsi="宋体"/>
          <w:color w:val="000000"/>
        </w:rPr>
        <w:t>本表供招标人参考。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rPr>
    </w:pPr>
    <w:r>
      <w:rPr>
        <w:rFonts w:hint="eastAsia"/>
        <w:lang w:val="en-US" w:eastAsia="zh-CN"/>
      </w:rPr>
      <w:t>庐江县文旅投资</w:t>
    </w:r>
    <w:r>
      <w:rPr>
        <w:rFonts w:hint="eastAsia"/>
      </w:rPr>
      <w:t xml:space="preserve">有限公司招标文件-货物类（适用于综合评分法）                        </w:t>
    </w:r>
    <w:r>
      <w:t>20</w:t>
    </w:r>
    <w:r>
      <w:rPr>
        <w:rFonts w:hint="eastAsia"/>
      </w:rPr>
      <w:t>2</w:t>
    </w:r>
    <w:r>
      <w:rPr>
        <w:rFonts w:hint="eastAsia"/>
        <w:lang w:val="en-US" w:eastAsia="zh-CN"/>
      </w:rPr>
      <w:t>5</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8"/>
      </w:rPr>
    </w:pPr>
    <w:r>
      <w:fldChar w:fldCharType="begin"/>
    </w:r>
    <w:r>
      <w:rPr>
        <w:rStyle w:val="58"/>
        <w:highlight w:val="white"/>
      </w:rPr>
      <w:instrText xml:space="preserve">PAGE  </w:instrText>
    </w:r>
    <w:r>
      <w:fldChar w:fldCharType="separate"/>
    </w:r>
    <w:r>
      <w:fldChar w:fldCharType="end"/>
    </w:r>
  </w:p>
  <w:p>
    <w:pPr>
      <w:pStyle w:val="3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5152E"/>
    <w:multiLevelType w:val="singleLevel"/>
    <w:tmpl w:val="D495152E"/>
    <w:lvl w:ilvl="0" w:tentative="0">
      <w:start w:val="2"/>
      <w:numFmt w:val="decimal"/>
      <w:suff w:val="nothing"/>
      <w:lvlText w:val="（%1）"/>
      <w:lvlJc w:val="left"/>
    </w:lvl>
  </w:abstractNum>
  <w:abstractNum w:abstractNumId="1">
    <w:nsid w:val="7669D5E2"/>
    <w:multiLevelType w:val="singleLevel"/>
    <w:tmpl w:val="7669D5E2"/>
    <w:lvl w:ilvl="0" w:tentative="0">
      <w:start w:val="1"/>
      <w:numFmt w:val="decimal"/>
      <w:suff w:val="nothing"/>
      <w:lvlText w:val="%1）"/>
      <w:lvlJc w:val="left"/>
    </w:lvl>
  </w:abstractNum>
  <w:abstractNum w:abstractNumId="2">
    <w:nsid w:val="7F7E5238"/>
    <w:multiLevelType w:val="multilevel"/>
    <w:tmpl w:val="7F7E5238"/>
    <w:lvl w:ilvl="0" w:tentative="0">
      <w:start w:val="1"/>
      <w:numFmt w:val="none"/>
      <w:pStyle w:val="14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82"/>
      <w:lvlText w:val="           "/>
      <w:lvlJc w:val="left"/>
      <w:pPr>
        <w:tabs>
          <w:tab w:val="left" w:pos="1440"/>
        </w:tabs>
        <w:ind w:left="1152" w:hanging="1152"/>
      </w:pPr>
      <w:rPr>
        <w:rFonts w:hint="eastAsia"/>
      </w:rPr>
    </w:lvl>
    <w:lvl w:ilvl="6" w:tentative="0">
      <w:start w:val="1"/>
      <w:numFmt w:val="decimal"/>
      <w:pStyle w:val="121"/>
      <w:lvlText w:val="%1.%2.%3.%4.%5.%6.%7"/>
      <w:lvlJc w:val="left"/>
      <w:pPr>
        <w:tabs>
          <w:tab w:val="left" w:pos="2520"/>
        </w:tabs>
        <w:ind w:left="1296" w:hanging="1296"/>
      </w:pPr>
      <w:rPr>
        <w:rFonts w:hint="eastAsia"/>
      </w:rPr>
    </w:lvl>
    <w:lvl w:ilvl="7" w:tentative="0">
      <w:start w:val="1"/>
      <w:numFmt w:val="decimal"/>
      <w:pStyle w:val="171"/>
      <w:lvlText w:val="%1.%2.%3.%4.%5.%6.%7.%8"/>
      <w:lvlJc w:val="left"/>
      <w:pPr>
        <w:tabs>
          <w:tab w:val="left" w:pos="1440"/>
        </w:tabs>
        <w:ind w:left="1440" w:hanging="1440"/>
      </w:pPr>
      <w:rPr>
        <w:rFonts w:hint="eastAsia"/>
      </w:rPr>
    </w:lvl>
    <w:lvl w:ilvl="8" w:tentative="0">
      <w:start w:val="1"/>
      <w:numFmt w:val="decimal"/>
      <w:pStyle w:val="138"/>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6"/>
    <w:footnote w:id="7"/>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OTBjYzNlOTlkMmRhNmIyYmVmZDdmMGVmNjA1YzUifQ=="/>
  </w:docVars>
  <w:rsids>
    <w:rsidRoot w:val="00172A27"/>
    <w:rsid w:val="00000461"/>
    <w:rsid w:val="000019D9"/>
    <w:rsid w:val="00001C66"/>
    <w:rsid w:val="00002D91"/>
    <w:rsid w:val="00002E66"/>
    <w:rsid w:val="00005BB2"/>
    <w:rsid w:val="00007A61"/>
    <w:rsid w:val="00012F97"/>
    <w:rsid w:val="00013CC7"/>
    <w:rsid w:val="00013F89"/>
    <w:rsid w:val="00014155"/>
    <w:rsid w:val="00014CCC"/>
    <w:rsid w:val="00016A95"/>
    <w:rsid w:val="00017687"/>
    <w:rsid w:val="00020429"/>
    <w:rsid w:val="000219E9"/>
    <w:rsid w:val="00021C4F"/>
    <w:rsid w:val="0002308F"/>
    <w:rsid w:val="000232C5"/>
    <w:rsid w:val="000262E8"/>
    <w:rsid w:val="00026638"/>
    <w:rsid w:val="00027183"/>
    <w:rsid w:val="0002786B"/>
    <w:rsid w:val="0003036E"/>
    <w:rsid w:val="00031F4B"/>
    <w:rsid w:val="00033008"/>
    <w:rsid w:val="00035DE8"/>
    <w:rsid w:val="00035F41"/>
    <w:rsid w:val="0003614A"/>
    <w:rsid w:val="00036911"/>
    <w:rsid w:val="0004025C"/>
    <w:rsid w:val="0004182B"/>
    <w:rsid w:val="00043541"/>
    <w:rsid w:val="00044A3F"/>
    <w:rsid w:val="00050532"/>
    <w:rsid w:val="000541B0"/>
    <w:rsid w:val="00054AFE"/>
    <w:rsid w:val="00054FCD"/>
    <w:rsid w:val="00055609"/>
    <w:rsid w:val="00055C35"/>
    <w:rsid w:val="000563CA"/>
    <w:rsid w:val="00056E98"/>
    <w:rsid w:val="0006024A"/>
    <w:rsid w:val="00060CF4"/>
    <w:rsid w:val="00061F0A"/>
    <w:rsid w:val="00063FA0"/>
    <w:rsid w:val="000645FC"/>
    <w:rsid w:val="00065A40"/>
    <w:rsid w:val="00066FAB"/>
    <w:rsid w:val="00071C48"/>
    <w:rsid w:val="00072109"/>
    <w:rsid w:val="00072565"/>
    <w:rsid w:val="00072E44"/>
    <w:rsid w:val="000737AC"/>
    <w:rsid w:val="00076A82"/>
    <w:rsid w:val="00076D69"/>
    <w:rsid w:val="000808E7"/>
    <w:rsid w:val="00081A25"/>
    <w:rsid w:val="000826C6"/>
    <w:rsid w:val="00082ABA"/>
    <w:rsid w:val="00082B19"/>
    <w:rsid w:val="00083E91"/>
    <w:rsid w:val="0008436E"/>
    <w:rsid w:val="00084E79"/>
    <w:rsid w:val="00085373"/>
    <w:rsid w:val="0008558A"/>
    <w:rsid w:val="00085ACD"/>
    <w:rsid w:val="00085C64"/>
    <w:rsid w:val="000862D3"/>
    <w:rsid w:val="000877D7"/>
    <w:rsid w:val="00090238"/>
    <w:rsid w:val="00091E67"/>
    <w:rsid w:val="00092347"/>
    <w:rsid w:val="000925E9"/>
    <w:rsid w:val="00092C06"/>
    <w:rsid w:val="000932E3"/>
    <w:rsid w:val="00094AA1"/>
    <w:rsid w:val="00094B8F"/>
    <w:rsid w:val="00097583"/>
    <w:rsid w:val="000A14D5"/>
    <w:rsid w:val="000A2093"/>
    <w:rsid w:val="000A25C9"/>
    <w:rsid w:val="000A2AE5"/>
    <w:rsid w:val="000A4786"/>
    <w:rsid w:val="000A4846"/>
    <w:rsid w:val="000A4A82"/>
    <w:rsid w:val="000A4F09"/>
    <w:rsid w:val="000A7F56"/>
    <w:rsid w:val="000B0D81"/>
    <w:rsid w:val="000B17C0"/>
    <w:rsid w:val="000B1C86"/>
    <w:rsid w:val="000B22BF"/>
    <w:rsid w:val="000B2EA3"/>
    <w:rsid w:val="000B3B78"/>
    <w:rsid w:val="000B4502"/>
    <w:rsid w:val="000B45ED"/>
    <w:rsid w:val="000B465B"/>
    <w:rsid w:val="000C3780"/>
    <w:rsid w:val="000C3CF6"/>
    <w:rsid w:val="000C3DE3"/>
    <w:rsid w:val="000C5ADC"/>
    <w:rsid w:val="000C5D43"/>
    <w:rsid w:val="000C6D46"/>
    <w:rsid w:val="000D002B"/>
    <w:rsid w:val="000D106F"/>
    <w:rsid w:val="000D18DA"/>
    <w:rsid w:val="000D1A26"/>
    <w:rsid w:val="000D1D83"/>
    <w:rsid w:val="000D3553"/>
    <w:rsid w:val="000D393A"/>
    <w:rsid w:val="000D4746"/>
    <w:rsid w:val="000D49D9"/>
    <w:rsid w:val="000D6093"/>
    <w:rsid w:val="000D66D7"/>
    <w:rsid w:val="000D76BA"/>
    <w:rsid w:val="000D779A"/>
    <w:rsid w:val="000E2484"/>
    <w:rsid w:val="000E5939"/>
    <w:rsid w:val="000E6540"/>
    <w:rsid w:val="000F127C"/>
    <w:rsid w:val="000F1A3A"/>
    <w:rsid w:val="000F235F"/>
    <w:rsid w:val="000F31DA"/>
    <w:rsid w:val="000F3C34"/>
    <w:rsid w:val="000F4371"/>
    <w:rsid w:val="000F532C"/>
    <w:rsid w:val="000F5501"/>
    <w:rsid w:val="000F7527"/>
    <w:rsid w:val="000F77D3"/>
    <w:rsid w:val="0010005B"/>
    <w:rsid w:val="00101285"/>
    <w:rsid w:val="00101A72"/>
    <w:rsid w:val="0010293D"/>
    <w:rsid w:val="00105AA8"/>
    <w:rsid w:val="00106426"/>
    <w:rsid w:val="001070B1"/>
    <w:rsid w:val="0010757C"/>
    <w:rsid w:val="00110C05"/>
    <w:rsid w:val="00110E7A"/>
    <w:rsid w:val="00113859"/>
    <w:rsid w:val="001142AA"/>
    <w:rsid w:val="00114BD0"/>
    <w:rsid w:val="00115358"/>
    <w:rsid w:val="0012071E"/>
    <w:rsid w:val="0012073C"/>
    <w:rsid w:val="00120D75"/>
    <w:rsid w:val="00123E04"/>
    <w:rsid w:val="00123E2A"/>
    <w:rsid w:val="001259AF"/>
    <w:rsid w:val="00125AFD"/>
    <w:rsid w:val="00125C49"/>
    <w:rsid w:val="001268CB"/>
    <w:rsid w:val="001271D4"/>
    <w:rsid w:val="001276AD"/>
    <w:rsid w:val="001276C1"/>
    <w:rsid w:val="00131629"/>
    <w:rsid w:val="001319E4"/>
    <w:rsid w:val="00131CE5"/>
    <w:rsid w:val="00133192"/>
    <w:rsid w:val="00134061"/>
    <w:rsid w:val="00134155"/>
    <w:rsid w:val="0013621D"/>
    <w:rsid w:val="001364FA"/>
    <w:rsid w:val="0013718E"/>
    <w:rsid w:val="001420AD"/>
    <w:rsid w:val="0014347A"/>
    <w:rsid w:val="0014511E"/>
    <w:rsid w:val="001454C8"/>
    <w:rsid w:val="00145939"/>
    <w:rsid w:val="00145C28"/>
    <w:rsid w:val="00146130"/>
    <w:rsid w:val="001462BE"/>
    <w:rsid w:val="00146E40"/>
    <w:rsid w:val="00151530"/>
    <w:rsid w:val="001521F2"/>
    <w:rsid w:val="0015284B"/>
    <w:rsid w:val="00153A85"/>
    <w:rsid w:val="00153F39"/>
    <w:rsid w:val="001545E0"/>
    <w:rsid w:val="00154AD4"/>
    <w:rsid w:val="0015641C"/>
    <w:rsid w:val="00157272"/>
    <w:rsid w:val="00161E33"/>
    <w:rsid w:val="00161FE5"/>
    <w:rsid w:val="0016668C"/>
    <w:rsid w:val="00166692"/>
    <w:rsid w:val="00166827"/>
    <w:rsid w:val="00166AFE"/>
    <w:rsid w:val="0017051A"/>
    <w:rsid w:val="0017189E"/>
    <w:rsid w:val="00171BCD"/>
    <w:rsid w:val="00172519"/>
    <w:rsid w:val="00172E65"/>
    <w:rsid w:val="0017437F"/>
    <w:rsid w:val="001747EF"/>
    <w:rsid w:val="00175652"/>
    <w:rsid w:val="00175D14"/>
    <w:rsid w:val="001762E6"/>
    <w:rsid w:val="00176B84"/>
    <w:rsid w:val="00176DC0"/>
    <w:rsid w:val="00177B63"/>
    <w:rsid w:val="001810A5"/>
    <w:rsid w:val="0018357E"/>
    <w:rsid w:val="0018605F"/>
    <w:rsid w:val="001875F7"/>
    <w:rsid w:val="00187FCE"/>
    <w:rsid w:val="0019007C"/>
    <w:rsid w:val="00190A3D"/>
    <w:rsid w:val="001917E0"/>
    <w:rsid w:val="001929AC"/>
    <w:rsid w:val="00192D6E"/>
    <w:rsid w:val="00194A84"/>
    <w:rsid w:val="00195166"/>
    <w:rsid w:val="001A007B"/>
    <w:rsid w:val="001A0167"/>
    <w:rsid w:val="001A0491"/>
    <w:rsid w:val="001A0938"/>
    <w:rsid w:val="001A2879"/>
    <w:rsid w:val="001A2DB0"/>
    <w:rsid w:val="001A2F36"/>
    <w:rsid w:val="001A4A9A"/>
    <w:rsid w:val="001A530A"/>
    <w:rsid w:val="001A59FB"/>
    <w:rsid w:val="001A5B8E"/>
    <w:rsid w:val="001A5D05"/>
    <w:rsid w:val="001A6A10"/>
    <w:rsid w:val="001B055D"/>
    <w:rsid w:val="001B27A4"/>
    <w:rsid w:val="001B3D39"/>
    <w:rsid w:val="001B54DD"/>
    <w:rsid w:val="001B67EF"/>
    <w:rsid w:val="001B713C"/>
    <w:rsid w:val="001C004F"/>
    <w:rsid w:val="001C04AE"/>
    <w:rsid w:val="001C1ADD"/>
    <w:rsid w:val="001C243A"/>
    <w:rsid w:val="001C4EC4"/>
    <w:rsid w:val="001C593A"/>
    <w:rsid w:val="001C5D61"/>
    <w:rsid w:val="001C6830"/>
    <w:rsid w:val="001C6C76"/>
    <w:rsid w:val="001C6F7A"/>
    <w:rsid w:val="001D07B4"/>
    <w:rsid w:val="001D145C"/>
    <w:rsid w:val="001D1698"/>
    <w:rsid w:val="001D57F9"/>
    <w:rsid w:val="001D5B8E"/>
    <w:rsid w:val="001D6204"/>
    <w:rsid w:val="001D67E1"/>
    <w:rsid w:val="001D690E"/>
    <w:rsid w:val="001D767F"/>
    <w:rsid w:val="001E29CA"/>
    <w:rsid w:val="001E6137"/>
    <w:rsid w:val="001E6441"/>
    <w:rsid w:val="001F04FF"/>
    <w:rsid w:val="001F3770"/>
    <w:rsid w:val="001F4AEE"/>
    <w:rsid w:val="001F7F46"/>
    <w:rsid w:val="0020034A"/>
    <w:rsid w:val="0020117F"/>
    <w:rsid w:val="002014D4"/>
    <w:rsid w:val="00201570"/>
    <w:rsid w:val="0020178E"/>
    <w:rsid w:val="00201E8B"/>
    <w:rsid w:val="0020234C"/>
    <w:rsid w:val="00202F49"/>
    <w:rsid w:val="00204101"/>
    <w:rsid w:val="00205198"/>
    <w:rsid w:val="00205764"/>
    <w:rsid w:val="00205D3F"/>
    <w:rsid w:val="00205F66"/>
    <w:rsid w:val="002060AE"/>
    <w:rsid w:val="002071BD"/>
    <w:rsid w:val="00210476"/>
    <w:rsid w:val="002119A5"/>
    <w:rsid w:val="002135B6"/>
    <w:rsid w:val="002153F9"/>
    <w:rsid w:val="00215627"/>
    <w:rsid w:val="00216F0A"/>
    <w:rsid w:val="00220082"/>
    <w:rsid w:val="00221ECE"/>
    <w:rsid w:val="00221FF8"/>
    <w:rsid w:val="00222F85"/>
    <w:rsid w:val="002233F3"/>
    <w:rsid w:val="00226266"/>
    <w:rsid w:val="00226C5A"/>
    <w:rsid w:val="00232726"/>
    <w:rsid w:val="00233675"/>
    <w:rsid w:val="002339E9"/>
    <w:rsid w:val="00233E6E"/>
    <w:rsid w:val="002345C8"/>
    <w:rsid w:val="00234619"/>
    <w:rsid w:val="00234FFF"/>
    <w:rsid w:val="00235883"/>
    <w:rsid w:val="00236FB8"/>
    <w:rsid w:val="0024213B"/>
    <w:rsid w:val="00244FA6"/>
    <w:rsid w:val="00245D15"/>
    <w:rsid w:val="00246426"/>
    <w:rsid w:val="00246B44"/>
    <w:rsid w:val="002509B3"/>
    <w:rsid w:val="0025141D"/>
    <w:rsid w:val="00251CD1"/>
    <w:rsid w:val="00253AE2"/>
    <w:rsid w:val="00254DB7"/>
    <w:rsid w:val="0025582E"/>
    <w:rsid w:val="00256C8E"/>
    <w:rsid w:val="00257B1A"/>
    <w:rsid w:val="00257C3E"/>
    <w:rsid w:val="00257FDC"/>
    <w:rsid w:val="00260BEC"/>
    <w:rsid w:val="00260E2E"/>
    <w:rsid w:val="00261360"/>
    <w:rsid w:val="002613A7"/>
    <w:rsid w:val="0026256C"/>
    <w:rsid w:val="002648E7"/>
    <w:rsid w:val="00264E48"/>
    <w:rsid w:val="0026593C"/>
    <w:rsid w:val="00265B32"/>
    <w:rsid w:val="00265FA5"/>
    <w:rsid w:val="0026607B"/>
    <w:rsid w:val="0026677E"/>
    <w:rsid w:val="00266D19"/>
    <w:rsid w:val="00267281"/>
    <w:rsid w:val="00272D4E"/>
    <w:rsid w:val="00272D69"/>
    <w:rsid w:val="00274B1B"/>
    <w:rsid w:val="00276657"/>
    <w:rsid w:val="00277B84"/>
    <w:rsid w:val="002812CD"/>
    <w:rsid w:val="00283177"/>
    <w:rsid w:val="00284F59"/>
    <w:rsid w:val="00285823"/>
    <w:rsid w:val="00285E16"/>
    <w:rsid w:val="002869F3"/>
    <w:rsid w:val="002936C5"/>
    <w:rsid w:val="00295A39"/>
    <w:rsid w:val="00296BAE"/>
    <w:rsid w:val="0029746D"/>
    <w:rsid w:val="002A228C"/>
    <w:rsid w:val="002A2F1B"/>
    <w:rsid w:val="002A3D90"/>
    <w:rsid w:val="002A4FFE"/>
    <w:rsid w:val="002B09EE"/>
    <w:rsid w:val="002B1536"/>
    <w:rsid w:val="002B2525"/>
    <w:rsid w:val="002B3C7E"/>
    <w:rsid w:val="002B44E9"/>
    <w:rsid w:val="002B49A9"/>
    <w:rsid w:val="002B55E4"/>
    <w:rsid w:val="002C0428"/>
    <w:rsid w:val="002C1D63"/>
    <w:rsid w:val="002C20DF"/>
    <w:rsid w:val="002C227E"/>
    <w:rsid w:val="002C2816"/>
    <w:rsid w:val="002C3D72"/>
    <w:rsid w:val="002C634F"/>
    <w:rsid w:val="002C684A"/>
    <w:rsid w:val="002C70BC"/>
    <w:rsid w:val="002C76F0"/>
    <w:rsid w:val="002C7CC1"/>
    <w:rsid w:val="002D000B"/>
    <w:rsid w:val="002D48E2"/>
    <w:rsid w:val="002D4CB3"/>
    <w:rsid w:val="002D52DF"/>
    <w:rsid w:val="002D59A7"/>
    <w:rsid w:val="002D5B63"/>
    <w:rsid w:val="002D6433"/>
    <w:rsid w:val="002D798D"/>
    <w:rsid w:val="002E3481"/>
    <w:rsid w:val="002E45FA"/>
    <w:rsid w:val="002E48B9"/>
    <w:rsid w:val="002F0552"/>
    <w:rsid w:val="002F1110"/>
    <w:rsid w:val="002F263C"/>
    <w:rsid w:val="002F2B7C"/>
    <w:rsid w:val="002F2E23"/>
    <w:rsid w:val="002F3B56"/>
    <w:rsid w:val="002F4941"/>
    <w:rsid w:val="002F5BCF"/>
    <w:rsid w:val="002F5D36"/>
    <w:rsid w:val="002F5F4C"/>
    <w:rsid w:val="00301854"/>
    <w:rsid w:val="00303612"/>
    <w:rsid w:val="003039DB"/>
    <w:rsid w:val="00303A35"/>
    <w:rsid w:val="0030443C"/>
    <w:rsid w:val="003045C3"/>
    <w:rsid w:val="003104AC"/>
    <w:rsid w:val="003105B2"/>
    <w:rsid w:val="00310623"/>
    <w:rsid w:val="00311531"/>
    <w:rsid w:val="003147D9"/>
    <w:rsid w:val="00314C93"/>
    <w:rsid w:val="00315D32"/>
    <w:rsid w:val="003161EB"/>
    <w:rsid w:val="00316D5F"/>
    <w:rsid w:val="00320423"/>
    <w:rsid w:val="00324EA8"/>
    <w:rsid w:val="003257F2"/>
    <w:rsid w:val="003269C4"/>
    <w:rsid w:val="00326B34"/>
    <w:rsid w:val="003300B5"/>
    <w:rsid w:val="0033016A"/>
    <w:rsid w:val="003304F5"/>
    <w:rsid w:val="003306C4"/>
    <w:rsid w:val="00330894"/>
    <w:rsid w:val="00330C3E"/>
    <w:rsid w:val="00331467"/>
    <w:rsid w:val="003326FE"/>
    <w:rsid w:val="00332D12"/>
    <w:rsid w:val="00333679"/>
    <w:rsid w:val="003342D8"/>
    <w:rsid w:val="00334FB4"/>
    <w:rsid w:val="003358E6"/>
    <w:rsid w:val="003360EC"/>
    <w:rsid w:val="0033634B"/>
    <w:rsid w:val="00336492"/>
    <w:rsid w:val="00337584"/>
    <w:rsid w:val="0034028F"/>
    <w:rsid w:val="003406C0"/>
    <w:rsid w:val="00340976"/>
    <w:rsid w:val="00341FBE"/>
    <w:rsid w:val="00341FF7"/>
    <w:rsid w:val="00343D08"/>
    <w:rsid w:val="00344F71"/>
    <w:rsid w:val="0034621F"/>
    <w:rsid w:val="00347758"/>
    <w:rsid w:val="00347B6D"/>
    <w:rsid w:val="0035112F"/>
    <w:rsid w:val="00352E8C"/>
    <w:rsid w:val="00353E21"/>
    <w:rsid w:val="003540F6"/>
    <w:rsid w:val="00354526"/>
    <w:rsid w:val="00355D08"/>
    <w:rsid w:val="00360186"/>
    <w:rsid w:val="00361CD9"/>
    <w:rsid w:val="003646AC"/>
    <w:rsid w:val="00364C8B"/>
    <w:rsid w:val="00364EFC"/>
    <w:rsid w:val="00365DB2"/>
    <w:rsid w:val="00365EF4"/>
    <w:rsid w:val="00366E26"/>
    <w:rsid w:val="003707C8"/>
    <w:rsid w:val="003715A1"/>
    <w:rsid w:val="00371948"/>
    <w:rsid w:val="00371989"/>
    <w:rsid w:val="00372A91"/>
    <w:rsid w:val="00372D94"/>
    <w:rsid w:val="00372FA0"/>
    <w:rsid w:val="00373DE8"/>
    <w:rsid w:val="00374764"/>
    <w:rsid w:val="00376D3D"/>
    <w:rsid w:val="00380CEF"/>
    <w:rsid w:val="00381A84"/>
    <w:rsid w:val="003833D4"/>
    <w:rsid w:val="003837DF"/>
    <w:rsid w:val="00384D71"/>
    <w:rsid w:val="00384FF2"/>
    <w:rsid w:val="003850AE"/>
    <w:rsid w:val="0039162A"/>
    <w:rsid w:val="00393B6D"/>
    <w:rsid w:val="00394B21"/>
    <w:rsid w:val="0039590C"/>
    <w:rsid w:val="00395DB7"/>
    <w:rsid w:val="00395DEA"/>
    <w:rsid w:val="00396785"/>
    <w:rsid w:val="003A01B6"/>
    <w:rsid w:val="003A027C"/>
    <w:rsid w:val="003A05FB"/>
    <w:rsid w:val="003A2B28"/>
    <w:rsid w:val="003A304C"/>
    <w:rsid w:val="003A495D"/>
    <w:rsid w:val="003A5FA7"/>
    <w:rsid w:val="003B02CE"/>
    <w:rsid w:val="003B052D"/>
    <w:rsid w:val="003B09BA"/>
    <w:rsid w:val="003B1797"/>
    <w:rsid w:val="003B225A"/>
    <w:rsid w:val="003B4F05"/>
    <w:rsid w:val="003B5FCE"/>
    <w:rsid w:val="003B7569"/>
    <w:rsid w:val="003C0BA3"/>
    <w:rsid w:val="003C28FB"/>
    <w:rsid w:val="003C39BB"/>
    <w:rsid w:val="003C4D24"/>
    <w:rsid w:val="003C5396"/>
    <w:rsid w:val="003C5488"/>
    <w:rsid w:val="003C580D"/>
    <w:rsid w:val="003C5D7A"/>
    <w:rsid w:val="003C6816"/>
    <w:rsid w:val="003C6964"/>
    <w:rsid w:val="003C7270"/>
    <w:rsid w:val="003C7310"/>
    <w:rsid w:val="003D1596"/>
    <w:rsid w:val="003D175A"/>
    <w:rsid w:val="003D1F76"/>
    <w:rsid w:val="003D2AB8"/>
    <w:rsid w:val="003D2D29"/>
    <w:rsid w:val="003D4337"/>
    <w:rsid w:val="003D4CCA"/>
    <w:rsid w:val="003D4E39"/>
    <w:rsid w:val="003D5B95"/>
    <w:rsid w:val="003D61D2"/>
    <w:rsid w:val="003D6591"/>
    <w:rsid w:val="003D7233"/>
    <w:rsid w:val="003D7681"/>
    <w:rsid w:val="003E183F"/>
    <w:rsid w:val="003E3D34"/>
    <w:rsid w:val="003E55C6"/>
    <w:rsid w:val="003E61FF"/>
    <w:rsid w:val="003E777E"/>
    <w:rsid w:val="003F0FAA"/>
    <w:rsid w:val="003F19CB"/>
    <w:rsid w:val="003F2797"/>
    <w:rsid w:val="003F2F68"/>
    <w:rsid w:val="003F4D6A"/>
    <w:rsid w:val="0040081C"/>
    <w:rsid w:val="004015E0"/>
    <w:rsid w:val="00403319"/>
    <w:rsid w:val="004034CC"/>
    <w:rsid w:val="0040492A"/>
    <w:rsid w:val="0040587E"/>
    <w:rsid w:val="00405EEB"/>
    <w:rsid w:val="0040743D"/>
    <w:rsid w:val="00407C80"/>
    <w:rsid w:val="00410C75"/>
    <w:rsid w:val="00410DA8"/>
    <w:rsid w:val="004118D3"/>
    <w:rsid w:val="00411A5C"/>
    <w:rsid w:val="00413BAD"/>
    <w:rsid w:val="00413E15"/>
    <w:rsid w:val="0041644E"/>
    <w:rsid w:val="0041741D"/>
    <w:rsid w:val="0041744F"/>
    <w:rsid w:val="0041788D"/>
    <w:rsid w:val="00423F31"/>
    <w:rsid w:val="00424343"/>
    <w:rsid w:val="0042650E"/>
    <w:rsid w:val="00426B61"/>
    <w:rsid w:val="00426D10"/>
    <w:rsid w:val="00427E57"/>
    <w:rsid w:val="00430306"/>
    <w:rsid w:val="00432500"/>
    <w:rsid w:val="00435627"/>
    <w:rsid w:val="004362DD"/>
    <w:rsid w:val="00436669"/>
    <w:rsid w:val="00443529"/>
    <w:rsid w:val="00443AD9"/>
    <w:rsid w:val="00443EBF"/>
    <w:rsid w:val="004518D3"/>
    <w:rsid w:val="00451EBE"/>
    <w:rsid w:val="00452397"/>
    <w:rsid w:val="00453001"/>
    <w:rsid w:val="00455848"/>
    <w:rsid w:val="004560E2"/>
    <w:rsid w:val="00456206"/>
    <w:rsid w:val="004574D0"/>
    <w:rsid w:val="00460F57"/>
    <w:rsid w:val="004613C3"/>
    <w:rsid w:val="004619DB"/>
    <w:rsid w:val="004635B9"/>
    <w:rsid w:val="00465417"/>
    <w:rsid w:val="00465EA1"/>
    <w:rsid w:val="00466180"/>
    <w:rsid w:val="004679F2"/>
    <w:rsid w:val="00467BFB"/>
    <w:rsid w:val="00473CC0"/>
    <w:rsid w:val="00474782"/>
    <w:rsid w:val="00477E9C"/>
    <w:rsid w:val="004810BE"/>
    <w:rsid w:val="0048128B"/>
    <w:rsid w:val="00482B2E"/>
    <w:rsid w:val="0048314B"/>
    <w:rsid w:val="00486BBB"/>
    <w:rsid w:val="00490447"/>
    <w:rsid w:val="00490B03"/>
    <w:rsid w:val="00491D65"/>
    <w:rsid w:val="004923FF"/>
    <w:rsid w:val="00493102"/>
    <w:rsid w:val="00493C9D"/>
    <w:rsid w:val="00494050"/>
    <w:rsid w:val="004955A9"/>
    <w:rsid w:val="00495C3F"/>
    <w:rsid w:val="004A0217"/>
    <w:rsid w:val="004A0AD1"/>
    <w:rsid w:val="004A1FFB"/>
    <w:rsid w:val="004A23A9"/>
    <w:rsid w:val="004A4C6F"/>
    <w:rsid w:val="004A5E76"/>
    <w:rsid w:val="004A6851"/>
    <w:rsid w:val="004B0ECA"/>
    <w:rsid w:val="004B1463"/>
    <w:rsid w:val="004B2176"/>
    <w:rsid w:val="004B2D29"/>
    <w:rsid w:val="004B36E9"/>
    <w:rsid w:val="004B3888"/>
    <w:rsid w:val="004B60BE"/>
    <w:rsid w:val="004B6550"/>
    <w:rsid w:val="004B7477"/>
    <w:rsid w:val="004C00D9"/>
    <w:rsid w:val="004C197E"/>
    <w:rsid w:val="004C3B13"/>
    <w:rsid w:val="004C4104"/>
    <w:rsid w:val="004C525D"/>
    <w:rsid w:val="004C52CE"/>
    <w:rsid w:val="004C5FB8"/>
    <w:rsid w:val="004C64ED"/>
    <w:rsid w:val="004D024A"/>
    <w:rsid w:val="004D098B"/>
    <w:rsid w:val="004D0A17"/>
    <w:rsid w:val="004D3594"/>
    <w:rsid w:val="004D4D46"/>
    <w:rsid w:val="004D6EEF"/>
    <w:rsid w:val="004D7715"/>
    <w:rsid w:val="004D7870"/>
    <w:rsid w:val="004D7FBF"/>
    <w:rsid w:val="004E0590"/>
    <w:rsid w:val="004E0904"/>
    <w:rsid w:val="004E2B01"/>
    <w:rsid w:val="004E2DE3"/>
    <w:rsid w:val="004E441F"/>
    <w:rsid w:val="004E480A"/>
    <w:rsid w:val="004E49D7"/>
    <w:rsid w:val="004E4A7E"/>
    <w:rsid w:val="004E530C"/>
    <w:rsid w:val="004E5396"/>
    <w:rsid w:val="004E586E"/>
    <w:rsid w:val="004E67DC"/>
    <w:rsid w:val="004E714D"/>
    <w:rsid w:val="004E76D0"/>
    <w:rsid w:val="004E7F0D"/>
    <w:rsid w:val="004F0D60"/>
    <w:rsid w:val="004F1A0C"/>
    <w:rsid w:val="004F2D32"/>
    <w:rsid w:val="004F32AB"/>
    <w:rsid w:val="004F4A05"/>
    <w:rsid w:val="004F6B97"/>
    <w:rsid w:val="004F6FA4"/>
    <w:rsid w:val="004F7733"/>
    <w:rsid w:val="00500274"/>
    <w:rsid w:val="0050135B"/>
    <w:rsid w:val="005025B9"/>
    <w:rsid w:val="00503966"/>
    <w:rsid w:val="00503CEC"/>
    <w:rsid w:val="00504C81"/>
    <w:rsid w:val="00504D5C"/>
    <w:rsid w:val="00506483"/>
    <w:rsid w:val="0050773C"/>
    <w:rsid w:val="005109E0"/>
    <w:rsid w:val="00510ACA"/>
    <w:rsid w:val="00511369"/>
    <w:rsid w:val="00511BDA"/>
    <w:rsid w:val="005124CD"/>
    <w:rsid w:val="00513C4A"/>
    <w:rsid w:val="005141EF"/>
    <w:rsid w:val="005170F4"/>
    <w:rsid w:val="00520B0B"/>
    <w:rsid w:val="00521470"/>
    <w:rsid w:val="005233A8"/>
    <w:rsid w:val="00523414"/>
    <w:rsid w:val="00526434"/>
    <w:rsid w:val="00526DCB"/>
    <w:rsid w:val="00531621"/>
    <w:rsid w:val="005346DA"/>
    <w:rsid w:val="00534ED4"/>
    <w:rsid w:val="0053528E"/>
    <w:rsid w:val="00535EEF"/>
    <w:rsid w:val="005371EF"/>
    <w:rsid w:val="00540235"/>
    <w:rsid w:val="00541016"/>
    <w:rsid w:val="00541C39"/>
    <w:rsid w:val="00541CDB"/>
    <w:rsid w:val="00541E9E"/>
    <w:rsid w:val="00543576"/>
    <w:rsid w:val="00544756"/>
    <w:rsid w:val="00544A8B"/>
    <w:rsid w:val="005502F4"/>
    <w:rsid w:val="00551635"/>
    <w:rsid w:val="00551FA1"/>
    <w:rsid w:val="00551FCF"/>
    <w:rsid w:val="00552E50"/>
    <w:rsid w:val="0055318B"/>
    <w:rsid w:val="005534A0"/>
    <w:rsid w:val="00554FE5"/>
    <w:rsid w:val="00555969"/>
    <w:rsid w:val="005563CD"/>
    <w:rsid w:val="00556DA3"/>
    <w:rsid w:val="00556E33"/>
    <w:rsid w:val="0056004D"/>
    <w:rsid w:val="00562235"/>
    <w:rsid w:val="00562D2C"/>
    <w:rsid w:val="00564366"/>
    <w:rsid w:val="00564BA2"/>
    <w:rsid w:val="0056522F"/>
    <w:rsid w:val="00565E35"/>
    <w:rsid w:val="00570890"/>
    <w:rsid w:val="00571CC8"/>
    <w:rsid w:val="0057551F"/>
    <w:rsid w:val="00575834"/>
    <w:rsid w:val="00575D8C"/>
    <w:rsid w:val="00584B20"/>
    <w:rsid w:val="0058702C"/>
    <w:rsid w:val="005906A4"/>
    <w:rsid w:val="0059193A"/>
    <w:rsid w:val="005939C1"/>
    <w:rsid w:val="00593A41"/>
    <w:rsid w:val="0059470F"/>
    <w:rsid w:val="00594AD6"/>
    <w:rsid w:val="00594F3A"/>
    <w:rsid w:val="005961D1"/>
    <w:rsid w:val="00597A24"/>
    <w:rsid w:val="005A104B"/>
    <w:rsid w:val="005A1833"/>
    <w:rsid w:val="005A27D9"/>
    <w:rsid w:val="005A2A27"/>
    <w:rsid w:val="005A30AA"/>
    <w:rsid w:val="005A44E3"/>
    <w:rsid w:val="005A4823"/>
    <w:rsid w:val="005A4BE8"/>
    <w:rsid w:val="005A5030"/>
    <w:rsid w:val="005A6ECD"/>
    <w:rsid w:val="005A7746"/>
    <w:rsid w:val="005A7F78"/>
    <w:rsid w:val="005B23B8"/>
    <w:rsid w:val="005B3C35"/>
    <w:rsid w:val="005B52DB"/>
    <w:rsid w:val="005B59B2"/>
    <w:rsid w:val="005B5F78"/>
    <w:rsid w:val="005B6550"/>
    <w:rsid w:val="005B6BFD"/>
    <w:rsid w:val="005B749F"/>
    <w:rsid w:val="005B7E50"/>
    <w:rsid w:val="005C0DC4"/>
    <w:rsid w:val="005C186A"/>
    <w:rsid w:val="005C220C"/>
    <w:rsid w:val="005C3E33"/>
    <w:rsid w:val="005C4774"/>
    <w:rsid w:val="005C59BB"/>
    <w:rsid w:val="005D1249"/>
    <w:rsid w:val="005D4328"/>
    <w:rsid w:val="005D4354"/>
    <w:rsid w:val="005D5BB7"/>
    <w:rsid w:val="005D5F8E"/>
    <w:rsid w:val="005D71EF"/>
    <w:rsid w:val="005E2CDE"/>
    <w:rsid w:val="005E413E"/>
    <w:rsid w:val="005E4E4F"/>
    <w:rsid w:val="005E503B"/>
    <w:rsid w:val="005E7932"/>
    <w:rsid w:val="005F1AD0"/>
    <w:rsid w:val="005F22BC"/>
    <w:rsid w:val="005F24F2"/>
    <w:rsid w:val="005F3A7D"/>
    <w:rsid w:val="005F6051"/>
    <w:rsid w:val="00601FDA"/>
    <w:rsid w:val="006050D3"/>
    <w:rsid w:val="006061AF"/>
    <w:rsid w:val="00606E1B"/>
    <w:rsid w:val="00606F16"/>
    <w:rsid w:val="00611263"/>
    <w:rsid w:val="00611ECA"/>
    <w:rsid w:val="006120E3"/>
    <w:rsid w:val="00613498"/>
    <w:rsid w:val="00613E64"/>
    <w:rsid w:val="00614CBE"/>
    <w:rsid w:val="00615287"/>
    <w:rsid w:val="006176F4"/>
    <w:rsid w:val="00617BB2"/>
    <w:rsid w:val="00621384"/>
    <w:rsid w:val="0062226F"/>
    <w:rsid w:val="00622417"/>
    <w:rsid w:val="00622633"/>
    <w:rsid w:val="00623956"/>
    <w:rsid w:val="006240AA"/>
    <w:rsid w:val="006249C1"/>
    <w:rsid w:val="0062647F"/>
    <w:rsid w:val="00626727"/>
    <w:rsid w:val="00626FB3"/>
    <w:rsid w:val="006273D7"/>
    <w:rsid w:val="00632B6F"/>
    <w:rsid w:val="00632CA3"/>
    <w:rsid w:val="0063419D"/>
    <w:rsid w:val="00634E05"/>
    <w:rsid w:val="00636823"/>
    <w:rsid w:val="006401CD"/>
    <w:rsid w:val="00642852"/>
    <w:rsid w:val="0064296F"/>
    <w:rsid w:val="00650369"/>
    <w:rsid w:val="00650CDD"/>
    <w:rsid w:val="00650CE9"/>
    <w:rsid w:val="00651A52"/>
    <w:rsid w:val="00651BCD"/>
    <w:rsid w:val="0065367B"/>
    <w:rsid w:val="006540C1"/>
    <w:rsid w:val="006544C5"/>
    <w:rsid w:val="00654CC7"/>
    <w:rsid w:val="00654F78"/>
    <w:rsid w:val="00654FAA"/>
    <w:rsid w:val="00660200"/>
    <w:rsid w:val="00660886"/>
    <w:rsid w:val="00661D14"/>
    <w:rsid w:val="00661DB1"/>
    <w:rsid w:val="00661FB2"/>
    <w:rsid w:val="00664D79"/>
    <w:rsid w:val="00665CF0"/>
    <w:rsid w:val="006675B7"/>
    <w:rsid w:val="006717F3"/>
    <w:rsid w:val="00672313"/>
    <w:rsid w:val="00673307"/>
    <w:rsid w:val="00673637"/>
    <w:rsid w:val="00676043"/>
    <w:rsid w:val="00676238"/>
    <w:rsid w:val="006764E3"/>
    <w:rsid w:val="00676527"/>
    <w:rsid w:val="00676FA5"/>
    <w:rsid w:val="0067766B"/>
    <w:rsid w:val="00680376"/>
    <w:rsid w:val="006804CF"/>
    <w:rsid w:val="006806F3"/>
    <w:rsid w:val="00680804"/>
    <w:rsid w:val="006830AF"/>
    <w:rsid w:val="0068329B"/>
    <w:rsid w:val="006838B4"/>
    <w:rsid w:val="00685001"/>
    <w:rsid w:val="0068518F"/>
    <w:rsid w:val="00685801"/>
    <w:rsid w:val="0068754C"/>
    <w:rsid w:val="00690D15"/>
    <w:rsid w:val="00691BD1"/>
    <w:rsid w:val="006923F8"/>
    <w:rsid w:val="00693578"/>
    <w:rsid w:val="00693CB1"/>
    <w:rsid w:val="00694B61"/>
    <w:rsid w:val="00695913"/>
    <w:rsid w:val="00695958"/>
    <w:rsid w:val="006A212F"/>
    <w:rsid w:val="006A349A"/>
    <w:rsid w:val="006A37D7"/>
    <w:rsid w:val="006A3A00"/>
    <w:rsid w:val="006A3D2F"/>
    <w:rsid w:val="006A424B"/>
    <w:rsid w:val="006A56D4"/>
    <w:rsid w:val="006A577A"/>
    <w:rsid w:val="006A578C"/>
    <w:rsid w:val="006A5C23"/>
    <w:rsid w:val="006A5D30"/>
    <w:rsid w:val="006A6B8F"/>
    <w:rsid w:val="006B043E"/>
    <w:rsid w:val="006B17A9"/>
    <w:rsid w:val="006B2762"/>
    <w:rsid w:val="006B4459"/>
    <w:rsid w:val="006B5FA2"/>
    <w:rsid w:val="006B659B"/>
    <w:rsid w:val="006B78C8"/>
    <w:rsid w:val="006C08F3"/>
    <w:rsid w:val="006C0B10"/>
    <w:rsid w:val="006C0BE3"/>
    <w:rsid w:val="006C1B81"/>
    <w:rsid w:val="006C1C09"/>
    <w:rsid w:val="006C6D0C"/>
    <w:rsid w:val="006C7577"/>
    <w:rsid w:val="006D13D5"/>
    <w:rsid w:val="006D2C7A"/>
    <w:rsid w:val="006D3738"/>
    <w:rsid w:val="006D48E3"/>
    <w:rsid w:val="006D55D6"/>
    <w:rsid w:val="006D57D6"/>
    <w:rsid w:val="006D6A8D"/>
    <w:rsid w:val="006D7341"/>
    <w:rsid w:val="006D7961"/>
    <w:rsid w:val="006E1690"/>
    <w:rsid w:val="006E17F3"/>
    <w:rsid w:val="006E3598"/>
    <w:rsid w:val="006E3F45"/>
    <w:rsid w:val="006E3F9A"/>
    <w:rsid w:val="006E3FE9"/>
    <w:rsid w:val="006E5704"/>
    <w:rsid w:val="006E6195"/>
    <w:rsid w:val="006F234A"/>
    <w:rsid w:val="006F2B47"/>
    <w:rsid w:val="006F36B6"/>
    <w:rsid w:val="006F3B32"/>
    <w:rsid w:val="006F44EE"/>
    <w:rsid w:val="00701A2F"/>
    <w:rsid w:val="00705F65"/>
    <w:rsid w:val="007067F8"/>
    <w:rsid w:val="00707E86"/>
    <w:rsid w:val="00711083"/>
    <w:rsid w:val="007111C1"/>
    <w:rsid w:val="00712EBE"/>
    <w:rsid w:val="00713DE2"/>
    <w:rsid w:val="00714313"/>
    <w:rsid w:val="00715066"/>
    <w:rsid w:val="0071515C"/>
    <w:rsid w:val="0071649C"/>
    <w:rsid w:val="007165BB"/>
    <w:rsid w:val="00717DAC"/>
    <w:rsid w:val="0072052C"/>
    <w:rsid w:val="00720BC7"/>
    <w:rsid w:val="00721BC3"/>
    <w:rsid w:val="00721F1A"/>
    <w:rsid w:val="00724853"/>
    <w:rsid w:val="00726354"/>
    <w:rsid w:val="00727A4C"/>
    <w:rsid w:val="00727A9E"/>
    <w:rsid w:val="00731CEC"/>
    <w:rsid w:val="00735763"/>
    <w:rsid w:val="00735B6F"/>
    <w:rsid w:val="00735CAB"/>
    <w:rsid w:val="007409FB"/>
    <w:rsid w:val="0074141E"/>
    <w:rsid w:val="007419D4"/>
    <w:rsid w:val="00742D4C"/>
    <w:rsid w:val="00743DC0"/>
    <w:rsid w:val="00743EA9"/>
    <w:rsid w:val="00744492"/>
    <w:rsid w:val="007446DB"/>
    <w:rsid w:val="00745241"/>
    <w:rsid w:val="00745DC6"/>
    <w:rsid w:val="00752A4D"/>
    <w:rsid w:val="00753B90"/>
    <w:rsid w:val="00753F23"/>
    <w:rsid w:val="00754761"/>
    <w:rsid w:val="00754C32"/>
    <w:rsid w:val="007562E5"/>
    <w:rsid w:val="007575BF"/>
    <w:rsid w:val="007607C0"/>
    <w:rsid w:val="00760E07"/>
    <w:rsid w:val="00761B14"/>
    <w:rsid w:val="00763089"/>
    <w:rsid w:val="0076547E"/>
    <w:rsid w:val="007657B5"/>
    <w:rsid w:val="0076761E"/>
    <w:rsid w:val="00767BF6"/>
    <w:rsid w:val="00772269"/>
    <w:rsid w:val="0077240B"/>
    <w:rsid w:val="0077258B"/>
    <w:rsid w:val="00772A1B"/>
    <w:rsid w:val="00773C84"/>
    <w:rsid w:val="0077446C"/>
    <w:rsid w:val="00774592"/>
    <w:rsid w:val="00775B35"/>
    <w:rsid w:val="00775D70"/>
    <w:rsid w:val="00777F5F"/>
    <w:rsid w:val="00782DDC"/>
    <w:rsid w:val="007836A0"/>
    <w:rsid w:val="0078399A"/>
    <w:rsid w:val="00783DF7"/>
    <w:rsid w:val="00783E08"/>
    <w:rsid w:val="007842E7"/>
    <w:rsid w:val="00790DEF"/>
    <w:rsid w:val="007927A2"/>
    <w:rsid w:val="007928F1"/>
    <w:rsid w:val="00793EC8"/>
    <w:rsid w:val="00796154"/>
    <w:rsid w:val="00796BC9"/>
    <w:rsid w:val="007A42BF"/>
    <w:rsid w:val="007B1223"/>
    <w:rsid w:val="007B24C2"/>
    <w:rsid w:val="007B258C"/>
    <w:rsid w:val="007B360A"/>
    <w:rsid w:val="007B3D1F"/>
    <w:rsid w:val="007B3D49"/>
    <w:rsid w:val="007B68F5"/>
    <w:rsid w:val="007B6CD8"/>
    <w:rsid w:val="007B6D95"/>
    <w:rsid w:val="007B797B"/>
    <w:rsid w:val="007B7BB1"/>
    <w:rsid w:val="007C002E"/>
    <w:rsid w:val="007C1861"/>
    <w:rsid w:val="007C279A"/>
    <w:rsid w:val="007C3152"/>
    <w:rsid w:val="007C3240"/>
    <w:rsid w:val="007C3B94"/>
    <w:rsid w:val="007C48B4"/>
    <w:rsid w:val="007C495E"/>
    <w:rsid w:val="007C496A"/>
    <w:rsid w:val="007C4C8C"/>
    <w:rsid w:val="007C54F2"/>
    <w:rsid w:val="007C592C"/>
    <w:rsid w:val="007C5B4F"/>
    <w:rsid w:val="007D15FB"/>
    <w:rsid w:val="007D17F1"/>
    <w:rsid w:val="007D2508"/>
    <w:rsid w:val="007E0C5C"/>
    <w:rsid w:val="007E1661"/>
    <w:rsid w:val="007E267C"/>
    <w:rsid w:val="007E2D8F"/>
    <w:rsid w:val="007E2E8C"/>
    <w:rsid w:val="007E3364"/>
    <w:rsid w:val="007E3478"/>
    <w:rsid w:val="007E38A5"/>
    <w:rsid w:val="007E38BD"/>
    <w:rsid w:val="007E38FD"/>
    <w:rsid w:val="007E4DCA"/>
    <w:rsid w:val="007E55EF"/>
    <w:rsid w:val="007E5CF9"/>
    <w:rsid w:val="007E7025"/>
    <w:rsid w:val="007E7352"/>
    <w:rsid w:val="007F1A4C"/>
    <w:rsid w:val="007F2E34"/>
    <w:rsid w:val="007F458F"/>
    <w:rsid w:val="007F4DB3"/>
    <w:rsid w:val="008009D5"/>
    <w:rsid w:val="00802B7C"/>
    <w:rsid w:val="00803F7B"/>
    <w:rsid w:val="008059A1"/>
    <w:rsid w:val="0081013A"/>
    <w:rsid w:val="00810892"/>
    <w:rsid w:val="00810F9C"/>
    <w:rsid w:val="00812FD9"/>
    <w:rsid w:val="008131C3"/>
    <w:rsid w:val="00815AAC"/>
    <w:rsid w:val="00815B64"/>
    <w:rsid w:val="008166AB"/>
    <w:rsid w:val="008168B2"/>
    <w:rsid w:val="00817061"/>
    <w:rsid w:val="008220D8"/>
    <w:rsid w:val="0082255A"/>
    <w:rsid w:val="00823D2C"/>
    <w:rsid w:val="00824953"/>
    <w:rsid w:val="00825989"/>
    <w:rsid w:val="0083075C"/>
    <w:rsid w:val="00830CE4"/>
    <w:rsid w:val="00830ED9"/>
    <w:rsid w:val="008313DE"/>
    <w:rsid w:val="00831FE5"/>
    <w:rsid w:val="008326F3"/>
    <w:rsid w:val="00832A2B"/>
    <w:rsid w:val="008333AF"/>
    <w:rsid w:val="0083690B"/>
    <w:rsid w:val="008405FD"/>
    <w:rsid w:val="00840AE4"/>
    <w:rsid w:val="00840E73"/>
    <w:rsid w:val="00841679"/>
    <w:rsid w:val="0084167D"/>
    <w:rsid w:val="00842A67"/>
    <w:rsid w:val="00843AE0"/>
    <w:rsid w:val="00843F99"/>
    <w:rsid w:val="008446FA"/>
    <w:rsid w:val="008463F2"/>
    <w:rsid w:val="00846C49"/>
    <w:rsid w:val="00847484"/>
    <w:rsid w:val="00847AF9"/>
    <w:rsid w:val="008518F8"/>
    <w:rsid w:val="00851B50"/>
    <w:rsid w:val="00852070"/>
    <w:rsid w:val="00852556"/>
    <w:rsid w:val="00852678"/>
    <w:rsid w:val="008534D4"/>
    <w:rsid w:val="0085374D"/>
    <w:rsid w:val="00853F0A"/>
    <w:rsid w:val="008549CB"/>
    <w:rsid w:val="0085570C"/>
    <w:rsid w:val="00855C61"/>
    <w:rsid w:val="00855E40"/>
    <w:rsid w:val="008566A9"/>
    <w:rsid w:val="00856FDD"/>
    <w:rsid w:val="00860381"/>
    <w:rsid w:val="00860425"/>
    <w:rsid w:val="008630AE"/>
    <w:rsid w:val="00863B35"/>
    <w:rsid w:val="0086476F"/>
    <w:rsid w:val="00864CE2"/>
    <w:rsid w:val="00864DA0"/>
    <w:rsid w:val="00866511"/>
    <w:rsid w:val="00866D47"/>
    <w:rsid w:val="00866F14"/>
    <w:rsid w:val="00867341"/>
    <w:rsid w:val="0087002D"/>
    <w:rsid w:val="008716D0"/>
    <w:rsid w:val="00872582"/>
    <w:rsid w:val="00872C79"/>
    <w:rsid w:val="008731C5"/>
    <w:rsid w:val="00873D8A"/>
    <w:rsid w:val="00873ED3"/>
    <w:rsid w:val="00874105"/>
    <w:rsid w:val="008753D2"/>
    <w:rsid w:val="00876E32"/>
    <w:rsid w:val="00877A64"/>
    <w:rsid w:val="00877CBE"/>
    <w:rsid w:val="00877D4B"/>
    <w:rsid w:val="008841FD"/>
    <w:rsid w:val="00884255"/>
    <w:rsid w:val="0088497A"/>
    <w:rsid w:val="00885303"/>
    <w:rsid w:val="00885705"/>
    <w:rsid w:val="008874A0"/>
    <w:rsid w:val="00890395"/>
    <w:rsid w:val="008930AF"/>
    <w:rsid w:val="008949D1"/>
    <w:rsid w:val="008954E5"/>
    <w:rsid w:val="0089710F"/>
    <w:rsid w:val="00897FC2"/>
    <w:rsid w:val="008A0107"/>
    <w:rsid w:val="008A04A3"/>
    <w:rsid w:val="008A05A0"/>
    <w:rsid w:val="008A1E65"/>
    <w:rsid w:val="008A219B"/>
    <w:rsid w:val="008A25DB"/>
    <w:rsid w:val="008A2C14"/>
    <w:rsid w:val="008A5076"/>
    <w:rsid w:val="008A5534"/>
    <w:rsid w:val="008A59D0"/>
    <w:rsid w:val="008A59D8"/>
    <w:rsid w:val="008A5D88"/>
    <w:rsid w:val="008B03C6"/>
    <w:rsid w:val="008B133F"/>
    <w:rsid w:val="008B169F"/>
    <w:rsid w:val="008B2460"/>
    <w:rsid w:val="008B2E3F"/>
    <w:rsid w:val="008B3055"/>
    <w:rsid w:val="008B3B6C"/>
    <w:rsid w:val="008B426A"/>
    <w:rsid w:val="008B5B6E"/>
    <w:rsid w:val="008B5CBE"/>
    <w:rsid w:val="008B6246"/>
    <w:rsid w:val="008C06F2"/>
    <w:rsid w:val="008C1906"/>
    <w:rsid w:val="008C1CB1"/>
    <w:rsid w:val="008C2209"/>
    <w:rsid w:val="008C2C02"/>
    <w:rsid w:val="008C314D"/>
    <w:rsid w:val="008C3FF5"/>
    <w:rsid w:val="008C4357"/>
    <w:rsid w:val="008C4A8A"/>
    <w:rsid w:val="008C4BB2"/>
    <w:rsid w:val="008C4E82"/>
    <w:rsid w:val="008C59E4"/>
    <w:rsid w:val="008C6781"/>
    <w:rsid w:val="008D01ED"/>
    <w:rsid w:val="008D0202"/>
    <w:rsid w:val="008D0B6E"/>
    <w:rsid w:val="008D178A"/>
    <w:rsid w:val="008D1BEA"/>
    <w:rsid w:val="008D3C2E"/>
    <w:rsid w:val="008D3F9A"/>
    <w:rsid w:val="008D40DE"/>
    <w:rsid w:val="008D4631"/>
    <w:rsid w:val="008D6112"/>
    <w:rsid w:val="008D62E6"/>
    <w:rsid w:val="008D62F3"/>
    <w:rsid w:val="008E156C"/>
    <w:rsid w:val="008E45F6"/>
    <w:rsid w:val="008E469A"/>
    <w:rsid w:val="008E537A"/>
    <w:rsid w:val="008E53BC"/>
    <w:rsid w:val="008E5C88"/>
    <w:rsid w:val="008E613E"/>
    <w:rsid w:val="008E6470"/>
    <w:rsid w:val="008E795B"/>
    <w:rsid w:val="008F058F"/>
    <w:rsid w:val="008F1508"/>
    <w:rsid w:val="008F3C16"/>
    <w:rsid w:val="008F3CB5"/>
    <w:rsid w:val="008F4182"/>
    <w:rsid w:val="008F4371"/>
    <w:rsid w:val="008F6B1E"/>
    <w:rsid w:val="008F6B35"/>
    <w:rsid w:val="008F6DEE"/>
    <w:rsid w:val="00900C8B"/>
    <w:rsid w:val="0090558E"/>
    <w:rsid w:val="009056F0"/>
    <w:rsid w:val="00906CA0"/>
    <w:rsid w:val="0091194F"/>
    <w:rsid w:val="009149AB"/>
    <w:rsid w:val="0091608C"/>
    <w:rsid w:val="00916404"/>
    <w:rsid w:val="009174F7"/>
    <w:rsid w:val="00917E75"/>
    <w:rsid w:val="00920C9C"/>
    <w:rsid w:val="00920FDB"/>
    <w:rsid w:val="009217C6"/>
    <w:rsid w:val="0092363B"/>
    <w:rsid w:val="00924482"/>
    <w:rsid w:val="00924E22"/>
    <w:rsid w:val="0092567C"/>
    <w:rsid w:val="00926C5C"/>
    <w:rsid w:val="00930BE7"/>
    <w:rsid w:val="00931EB7"/>
    <w:rsid w:val="00932BE9"/>
    <w:rsid w:val="00932D32"/>
    <w:rsid w:val="009331D1"/>
    <w:rsid w:val="009332C9"/>
    <w:rsid w:val="0093398A"/>
    <w:rsid w:val="00933FC7"/>
    <w:rsid w:val="009340DA"/>
    <w:rsid w:val="00934782"/>
    <w:rsid w:val="00936360"/>
    <w:rsid w:val="0093789A"/>
    <w:rsid w:val="00940F53"/>
    <w:rsid w:val="00941616"/>
    <w:rsid w:val="00941845"/>
    <w:rsid w:val="0094204D"/>
    <w:rsid w:val="00942490"/>
    <w:rsid w:val="0094368E"/>
    <w:rsid w:val="0094387B"/>
    <w:rsid w:val="0094440D"/>
    <w:rsid w:val="00945CF9"/>
    <w:rsid w:val="00946CB0"/>
    <w:rsid w:val="009505E4"/>
    <w:rsid w:val="00950A4F"/>
    <w:rsid w:val="00950F5E"/>
    <w:rsid w:val="00951962"/>
    <w:rsid w:val="00951E1D"/>
    <w:rsid w:val="009522BD"/>
    <w:rsid w:val="00954B6A"/>
    <w:rsid w:val="009554C6"/>
    <w:rsid w:val="009557BA"/>
    <w:rsid w:val="00957CE2"/>
    <w:rsid w:val="00962E6A"/>
    <w:rsid w:val="009631F0"/>
    <w:rsid w:val="00966002"/>
    <w:rsid w:val="0096649D"/>
    <w:rsid w:val="009665E4"/>
    <w:rsid w:val="009700DE"/>
    <w:rsid w:val="009752C8"/>
    <w:rsid w:val="00975790"/>
    <w:rsid w:val="0097644B"/>
    <w:rsid w:val="00976AD9"/>
    <w:rsid w:val="009776DD"/>
    <w:rsid w:val="0098187E"/>
    <w:rsid w:val="00983996"/>
    <w:rsid w:val="009845B7"/>
    <w:rsid w:val="009867C6"/>
    <w:rsid w:val="00986A00"/>
    <w:rsid w:val="00986ADB"/>
    <w:rsid w:val="00986C04"/>
    <w:rsid w:val="0099032D"/>
    <w:rsid w:val="00990732"/>
    <w:rsid w:val="00990954"/>
    <w:rsid w:val="00993CB8"/>
    <w:rsid w:val="0099502D"/>
    <w:rsid w:val="0099573D"/>
    <w:rsid w:val="009A0071"/>
    <w:rsid w:val="009A01B1"/>
    <w:rsid w:val="009A03B1"/>
    <w:rsid w:val="009A0E20"/>
    <w:rsid w:val="009A1CA6"/>
    <w:rsid w:val="009A22C5"/>
    <w:rsid w:val="009A316B"/>
    <w:rsid w:val="009A6E00"/>
    <w:rsid w:val="009A7102"/>
    <w:rsid w:val="009A7255"/>
    <w:rsid w:val="009A746D"/>
    <w:rsid w:val="009A7471"/>
    <w:rsid w:val="009A7E78"/>
    <w:rsid w:val="009B091B"/>
    <w:rsid w:val="009B14FF"/>
    <w:rsid w:val="009B34C5"/>
    <w:rsid w:val="009B6A6E"/>
    <w:rsid w:val="009B78D5"/>
    <w:rsid w:val="009C12F7"/>
    <w:rsid w:val="009C1590"/>
    <w:rsid w:val="009C1716"/>
    <w:rsid w:val="009C3665"/>
    <w:rsid w:val="009C3D94"/>
    <w:rsid w:val="009C4336"/>
    <w:rsid w:val="009C4AEA"/>
    <w:rsid w:val="009C7C37"/>
    <w:rsid w:val="009D0662"/>
    <w:rsid w:val="009D131B"/>
    <w:rsid w:val="009D5270"/>
    <w:rsid w:val="009D5ADB"/>
    <w:rsid w:val="009D67A2"/>
    <w:rsid w:val="009E0891"/>
    <w:rsid w:val="009E13D6"/>
    <w:rsid w:val="009E1AE2"/>
    <w:rsid w:val="009E1D09"/>
    <w:rsid w:val="009E2D55"/>
    <w:rsid w:val="009E4091"/>
    <w:rsid w:val="009E40BE"/>
    <w:rsid w:val="009E4159"/>
    <w:rsid w:val="009E4739"/>
    <w:rsid w:val="009E4904"/>
    <w:rsid w:val="009E5545"/>
    <w:rsid w:val="009E7270"/>
    <w:rsid w:val="009F00A2"/>
    <w:rsid w:val="009F117A"/>
    <w:rsid w:val="009F3CC5"/>
    <w:rsid w:val="009F4B3E"/>
    <w:rsid w:val="009F4BB4"/>
    <w:rsid w:val="009F5B29"/>
    <w:rsid w:val="009F7F4B"/>
    <w:rsid w:val="00A00BEE"/>
    <w:rsid w:val="00A01188"/>
    <w:rsid w:val="00A01A71"/>
    <w:rsid w:val="00A01AD7"/>
    <w:rsid w:val="00A02204"/>
    <w:rsid w:val="00A033EC"/>
    <w:rsid w:val="00A04A9A"/>
    <w:rsid w:val="00A05FFA"/>
    <w:rsid w:val="00A10530"/>
    <w:rsid w:val="00A11069"/>
    <w:rsid w:val="00A127B0"/>
    <w:rsid w:val="00A1373F"/>
    <w:rsid w:val="00A16260"/>
    <w:rsid w:val="00A174D6"/>
    <w:rsid w:val="00A220A6"/>
    <w:rsid w:val="00A22296"/>
    <w:rsid w:val="00A22666"/>
    <w:rsid w:val="00A23476"/>
    <w:rsid w:val="00A24F4E"/>
    <w:rsid w:val="00A25C22"/>
    <w:rsid w:val="00A3032A"/>
    <w:rsid w:val="00A31711"/>
    <w:rsid w:val="00A31E00"/>
    <w:rsid w:val="00A35A5F"/>
    <w:rsid w:val="00A3753F"/>
    <w:rsid w:val="00A41347"/>
    <w:rsid w:val="00A415EA"/>
    <w:rsid w:val="00A45CCA"/>
    <w:rsid w:val="00A474E3"/>
    <w:rsid w:val="00A5012B"/>
    <w:rsid w:val="00A50EC3"/>
    <w:rsid w:val="00A51A21"/>
    <w:rsid w:val="00A51CBD"/>
    <w:rsid w:val="00A51F0A"/>
    <w:rsid w:val="00A534B8"/>
    <w:rsid w:val="00A535BA"/>
    <w:rsid w:val="00A54FEB"/>
    <w:rsid w:val="00A55558"/>
    <w:rsid w:val="00A56723"/>
    <w:rsid w:val="00A56D35"/>
    <w:rsid w:val="00A60BA1"/>
    <w:rsid w:val="00A611EC"/>
    <w:rsid w:val="00A626CD"/>
    <w:rsid w:val="00A627E8"/>
    <w:rsid w:val="00A63673"/>
    <w:rsid w:val="00A63A34"/>
    <w:rsid w:val="00A6444C"/>
    <w:rsid w:val="00A664A7"/>
    <w:rsid w:val="00A66CC2"/>
    <w:rsid w:val="00A66EC5"/>
    <w:rsid w:val="00A72343"/>
    <w:rsid w:val="00A724BB"/>
    <w:rsid w:val="00A73BFD"/>
    <w:rsid w:val="00A771BB"/>
    <w:rsid w:val="00A811D7"/>
    <w:rsid w:val="00A81997"/>
    <w:rsid w:val="00A828F5"/>
    <w:rsid w:val="00A831E6"/>
    <w:rsid w:val="00A83BF6"/>
    <w:rsid w:val="00A83C16"/>
    <w:rsid w:val="00A84919"/>
    <w:rsid w:val="00A863DA"/>
    <w:rsid w:val="00A864D0"/>
    <w:rsid w:val="00A8658A"/>
    <w:rsid w:val="00A87523"/>
    <w:rsid w:val="00A87703"/>
    <w:rsid w:val="00A87A42"/>
    <w:rsid w:val="00A87D44"/>
    <w:rsid w:val="00A90EA6"/>
    <w:rsid w:val="00A90F0E"/>
    <w:rsid w:val="00A916BE"/>
    <w:rsid w:val="00A918C4"/>
    <w:rsid w:val="00A92C8B"/>
    <w:rsid w:val="00A93DA6"/>
    <w:rsid w:val="00A95A2E"/>
    <w:rsid w:val="00A96FBC"/>
    <w:rsid w:val="00A97152"/>
    <w:rsid w:val="00A97806"/>
    <w:rsid w:val="00AA09BC"/>
    <w:rsid w:val="00AA2CDB"/>
    <w:rsid w:val="00AA4297"/>
    <w:rsid w:val="00AA523E"/>
    <w:rsid w:val="00AA5C22"/>
    <w:rsid w:val="00AA668A"/>
    <w:rsid w:val="00AA6A0C"/>
    <w:rsid w:val="00AB2BD1"/>
    <w:rsid w:val="00AB2E98"/>
    <w:rsid w:val="00AB4A50"/>
    <w:rsid w:val="00AB4A8E"/>
    <w:rsid w:val="00AB52EE"/>
    <w:rsid w:val="00AB5CEF"/>
    <w:rsid w:val="00AB6199"/>
    <w:rsid w:val="00AB72B7"/>
    <w:rsid w:val="00AB7AEA"/>
    <w:rsid w:val="00AB7E76"/>
    <w:rsid w:val="00AC2722"/>
    <w:rsid w:val="00AC33AB"/>
    <w:rsid w:val="00AC58A0"/>
    <w:rsid w:val="00AC62E2"/>
    <w:rsid w:val="00AC6675"/>
    <w:rsid w:val="00AC6962"/>
    <w:rsid w:val="00AD04F5"/>
    <w:rsid w:val="00AD07C5"/>
    <w:rsid w:val="00AD0D72"/>
    <w:rsid w:val="00AD21B5"/>
    <w:rsid w:val="00AD2993"/>
    <w:rsid w:val="00AD3C2B"/>
    <w:rsid w:val="00AD3CAA"/>
    <w:rsid w:val="00AD3E31"/>
    <w:rsid w:val="00AD463F"/>
    <w:rsid w:val="00AD549C"/>
    <w:rsid w:val="00AD74DF"/>
    <w:rsid w:val="00AD7D82"/>
    <w:rsid w:val="00AE2E47"/>
    <w:rsid w:val="00AE300B"/>
    <w:rsid w:val="00AE328A"/>
    <w:rsid w:val="00AE4FAC"/>
    <w:rsid w:val="00AE6050"/>
    <w:rsid w:val="00AF2266"/>
    <w:rsid w:val="00AF42DB"/>
    <w:rsid w:val="00AF4946"/>
    <w:rsid w:val="00AF521A"/>
    <w:rsid w:val="00AF5D64"/>
    <w:rsid w:val="00AF5E8C"/>
    <w:rsid w:val="00AF5EE5"/>
    <w:rsid w:val="00AF7BBA"/>
    <w:rsid w:val="00B0062C"/>
    <w:rsid w:val="00B04782"/>
    <w:rsid w:val="00B04C1D"/>
    <w:rsid w:val="00B072F0"/>
    <w:rsid w:val="00B0734F"/>
    <w:rsid w:val="00B0774C"/>
    <w:rsid w:val="00B07783"/>
    <w:rsid w:val="00B10F5F"/>
    <w:rsid w:val="00B1536A"/>
    <w:rsid w:val="00B16ADD"/>
    <w:rsid w:val="00B16F33"/>
    <w:rsid w:val="00B21C15"/>
    <w:rsid w:val="00B21EFB"/>
    <w:rsid w:val="00B22F03"/>
    <w:rsid w:val="00B240D8"/>
    <w:rsid w:val="00B243E5"/>
    <w:rsid w:val="00B260EF"/>
    <w:rsid w:val="00B2641B"/>
    <w:rsid w:val="00B27569"/>
    <w:rsid w:val="00B30005"/>
    <w:rsid w:val="00B302CC"/>
    <w:rsid w:val="00B30F6A"/>
    <w:rsid w:val="00B32474"/>
    <w:rsid w:val="00B341EF"/>
    <w:rsid w:val="00B3498A"/>
    <w:rsid w:val="00B378DD"/>
    <w:rsid w:val="00B409F8"/>
    <w:rsid w:val="00B43861"/>
    <w:rsid w:val="00B43A38"/>
    <w:rsid w:val="00B449BE"/>
    <w:rsid w:val="00B45009"/>
    <w:rsid w:val="00B4548B"/>
    <w:rsid w:val="00B454F4"/>
    <w:rsid w:val="00B46143"/>
    <w:rsid w:val="00B46C31"/>
    <w:rsid w:val="00B50951"/>
    <w:rsid w:val="00B50EF6"/>
    <w:rsid w:val="00B51BC0"/>
    <w:rsid w:val="00B52C8F"/>
    <w:rsid w:val="00B54148"/>
    <w:rsid w:val="00B55217"/>
    <w:rsid w:val="00B56064"/>
    <w:rsid w:val="00B56871"/>
    <w:rsid w:val="00B5760C"/>
    <w:rsid w:val="00B60095"/>
    <w:rsid w:val="00B608B2"/>
    <w:rsid w:val="00B63243"/>
    <w:rsid w:val="00B64615"/>
    <w:rsid w:val="00B6772B"/>
    <w:rsid w:val="00B67B0C"/>
    <w:rsid w:val="00B701F9"/>
    <w:rsid w:val="00B724B4"/>
    <w:rsid w:val="00B73E29"/>
    <w:rsid w:val="00B74B8D"/>
    <w:rsid w:val="00B75DF3"/>
    <w:rsid w:val="00B776CD"/>
    <w:rsid w:val="00B77822"/>
    <w:rsid w:val="00B77FDB"/>
    <w:rsid w:val="00B8014D"/>
    <w:rsid w:val="00B83675"/>
    <w:rsid w:val="00B85AFB"/>
    <w:rsid w:val="00B86053"/>
    <w:rsid w:val="00B8697E"/>
    <w:rsid w:val="00B902B4"/>
    <w:rsid w:val="00B90B1F"/>
    <w:rsid w:val="00B932A6"/>
    <w:rsid w:val="00B940C7"/>
    <w:rsid w:val="00B94DBF"/>
    <w:rsid w:val="00B94E50"/>
    <w:rsid w:val="00B95673"/>
    <w:rsid w:val="00B966D6"/>
    <w:rsid w:val="00B9699C"/>
    <w:rsid w:val="00BA010D"/>
    <w:rsid w:val="00BA0767"/>
    <w:rsid w:val="00BA0B16"/>
    <w:rsid w:val="00BA0BF3"/>
    <w:rsid w:val="00BA30EB"/>
    <w:rsid w:val="00BA375F"/>
    <w:rsid w:val="00BA540C"/>
    <w:rsid w:val="00BA5FB5"/>
    <w:rsid w:val="00BB03F0"/>
    <w:rsid w:val="00BB2AE3"/>
    <w:rsid w:val="00BB4B3C"/>
    <w:rsid w:val="00BB67C3"/>
    <w:rsid w:val="00BB704A"/>
    <w:rsid w:val="00BB71CB"/>
    <w:rsid w:val="00BB76C7"/>
    <w:rsid w:val="00BC1420"/>
    <w:rsid w:val="00BC1D2C"/>
    <w:rsid w:val="00BC2730"/>
    <w:rsid w:val="00BC2870"/>
    <w:rsid w:val="00BC2D99"/>
    <w:rsid w:val="00BC3980"/>
    <w:rsid w:val="00BC553E"/>
    <w:rsid w:val="00BC5CFD"/>
    <w:rsid w:val="00BC5FF5"/>
    <w:rsid w:val="00BC610C"/>
    <w:rsid w:val="00BC77F5"/>
    <w:rsid w:val="00BD0655"/>
    <w:rsid w:val="00BD0BE1"/>
    <w:rsid w:val="00BD1AC3"/>
    <w:rsid w:val="00BD261E"/>
    <w:rsid w:val="00BD32A2"/>
    <w:rsid w:val="00BD749C"/>
    <w:rsid w:val="00BE0718"/>
    <w:rsid w:val="00BE0A33"/>
    <w:rsid w:val="00BE3DD5"/>
    <w:rsid w:val="00BE4C53"/>
    <w:rsid w:val="00BE5698"/>
    <w:rsid w:val="00BE6273"/>
    <w:rsid w:val="00BF10CA"/>
    <w:rsid w:val="00BF12D4"/>
    <w:rsid w:val="00BF1E6B"/>
    <w:rsid w:val="00BF2250"/>
    <w:rsid w:val="00BF2B41"/>
    <w:rsid w:val="00BF360F"/>
    <w:rsid w:val="00BF4804"/>
    <w:rsid w:val="00BF5982"/>
    <w:rsid w:val="00C01389"/>
    <w:rsid w:val="00C01850"/>
    <w:rsid w:val="00C025B5"/>
    <w:rsid w:val="00C02F4B"/>
    <w:rsid w:val="00C0394E"/>
    <w:rsid w:val="00C062FE"/>
    <w:rsid w:val="00C076DE"/>
    <w:rsid w:val="00C0792F"/>
    <w:rsid w:val="00C10A35"/>
    <w:rsid w:val="00C13779"/>
    <w:rsid w:val="00C143E8"/>
    <w:rsid w:val="00C15482"/>
    <w:rsid w:val="00C1548F"/>
    <w:rsid w:val="00C15566"/>
    <w:rsid w:val="00C16FD5"/>
    <w:rsid w:val="00C172AA"/>
    <w:rsid w:val="00C17851"/>
    <w:rsid w:val="00C2091B"/>
    <w:rsid w:val="00C20D9A"/>
    <w:rsid w:val="00C21703"/>
    <w:rsid w:val="00C23490"/>
    <w:rsid w:val="00C23952"/>
    <w:rsid w:val="00C25406"/>
    <w:rsid w:val="00C25CFD"/>
    <w:rsid w:val="00C27839"/>
    <w:rsid w:val="00C27F7F"/>
    <w:rsid w:val="00C30F5A"/>
    <w:rsid w:val="00C32D8C"/>
    <w:rsid w:val="00C33121"/>
    <w:rsid w:val="00C334AF"/>
    <w:rsid w:val="00C34442"/>
    <w:rsid w:val="00C34F76"/>
    <w:rsid w:val="00C36103"/>
    <w:rsid w:val="00C433BE"/>
    <w:rsid w:val="00C44ADE"/>
    <w:rsid w:val="00C455D1"/>
    <w:rsid w:val="00C46DF8"/>
    <w:rsid w:val="00C47E0A"/>
    <w:rsid w:val="00C501FD"/>
    <w:rsid w:val="00C50E18"/>
    <w:rsid w:val="00C51ECF"/>
    <w:rsid w:val="00C538AD"/>
    <w:rsid w:val="00C55113"/>
    <w:rsid w:val="00C56E33"/>
    <w:rsid w:val="00C57F06"/>
    <w:rsid w:val="00C604D6"/>
    <w:rsid w:val="00C60970"/>
    <w:rsid w:val="00C61C8E"/>
    <w:rsid w:val="00C625B8"/>
    <w:rsid w:val="00C63507"/>
    <w:rsid w:val="00C63B79"/>
    <w:rsid w:val="00C67C98"/>
    <w:rsid w:val="00C72FD2"/>
    <w:rsid w:val="00C73013"/>
    <w:rsid w:val="00C7312D"/>
    <w:rsid w:val="00C7314D"/>
    <w:rsid w:val="00C73AD1"/>
    <w:rsid w:val="00C74C6F"/>
    <w:rsid w:val="00C75F2B"/>
    <w:rsid w:val="00C76E00"/>
    <w:rsid w:val="00C80230"/>
    <w:rsid w:val="00C829A3"/>
    <w:rsid w:val="00C850D6"/>
    <w:rsid w:val="00C85F20"/>
    <w:rsid w:val="00C860E0"/>
    <w:rsid w:val="00C86603"/>
    <w:rsid w:val="00C87C4B"/>
    <w:rsid w:val="00C87F3D"/>
    <w:rsid w:val="00C906D1"/>
    <w:rsid w:val="00C91A8D"/>
    <w:rsid w:val="00C93608"/>
    <w:rsid w:val="00C944CB"/>
    <w:rsid w:val="00C95254"/>
    <w:rsid w:val="00C954C3"/>
    <w:rsid w:val="00C96706"/>
    <w:rsid w:val="00C97EA6"/>
    <w:rsid w:val="00CA0436"/>
    <w:rsid w:val="00CA0B94"/>
    <w:rsid w:val="00CA221C"/>
    <w:rsid w:val="00CA3E31"/>
    <w:rsid w:val="00CA62C6"/>
    <w:rsid w:val="00CA6EDB"/>
    <w:rsid w:val="00CA775B"/>
    <w:rsid w:val="00CA7B3A"/>
    <w:rsid w:val="00CB08C2"/>
    <w:rsid w:val="00CB1113"/>
    <w:rsid w:val="00CB293F"/>
    <w:rsid w:val="00CB3222"/>
    <w:rsid w:val="00CB5E81"/>
    <w:rsid w:val="00CC1C8C"/>
    <w:rsid w:val="00CC1D65"/>
    <w:rsid w:val="00CC27C0"/>
    <w:rsid w:val="00CC2C7E"/>
    <w:rsid w:val="00CC362D"/>
    <w:rsid w:val="00CC50CF"/>
    <w:rsid w:val="00CC6BDA"/>
    <w:rsid w:val="00CC6CCF"/>
    <w:rsid w:val="00CD2A2F"/>
    <w:rsid w:val="00CD2F4E"/>
    <w:rsid w:val="00CD40F3"/>
    <w:rsid w:val="00CD52A8"/>
    <w:rsid w:val="00CD6D88"/>
    <w:rsid w:val="00CD742E"/>
    <w:rsid w:val="00CE08A1"/>
    <w:rsid w:val="00CE11CB"/>
    <w:rsid w:val="00CE12CB"/>
    <w:rsid w:val="00CE1920"/>
    <w:rsid w:val="00CE2484"/>
    <w:rsid w:val="00CE2B89"/>
    <w:rsid w:val="00CE3458"/>
    <w:rsid w:val="00CE5E0D"/>
    <w:rsid w:val="00CE605B"/>
    <w:rsid w:val="00CE6091"/>
    <w:rsid w:val="00CE7ECC"/>
    <w:rsid w:val="00CF0018"/>
    <w:rsid w:val="00CF04C1"/>
    <w:rsid w:val="00CF0B7A"/>
    <w:rsid w:val="00CF17B5"/>
    <w:rsid w:val="00CF1901"/>
    <w:rsid w:val="00CF22C2"/>
    <w:rsid w:val="00CF2FE7"/>
    <w:rsid w:val="00CF3A16"/>
    <w:rsid w:val="00CF5886"/>
    <w:rsid w:val="00CF7A56"/>
    <w:rsid w:val="00D0052F"/>
    <w:rsid w:val="00D008A3"/>
    <w:rsid w:val="00D01E44"/>
    <w:rsid w:val="00D02AAC"/>
    <w:rsid w:val="00D0347D"/>
    <w:rsid w:val="00D043C9"/>
    <w:rsid w:val="00D04AD6"/>
    <w:rsid w:val="00D04D8C"/>
    <w:rsid w:val="00D05AB0"/>
    <w:rsid w:val="00D05F4E"/>
    <w:rsid w:val="00D06F4D"/>
    <w:rsid w:val="00D077AA"/>
    <w:rsid w:val="00D10BF0"/>
    <w:rsid w:val="00D124DB"/>
    <w:rsid w:val="00D12855"/>
    <w:rsid w:val="00D13DA2"/>
    <w:rsid w:val="00D151BC"/>
    <w:rsid w:val="00D155E0"/>
    <w:rsid w:val="00D16843"/>
    <w:rsid w:val="00D17E61"/>
    <w:rsid w:val="00D20188"/>
    <w:rsid w:val="00D229A4"/>
    <w:rsid w:val="00D231DE"/>
    <w:rsid w:val="00D2392B"/>
    <w:rsid w:val="00D258F2"/>
    <w:rsid w:val="00D25A42"/>
    <w:rsid w:val="00D25A5A"/>
    <w:rsid w:val="00D30F93"/>
    <w:rsid w:val="00D314C6"/>
    <w:rsid w:val="00D32543"/>
    <w:rsid w:val="00D32AB1"/>
    <w:rsid w:val="00D331C0"/>
    <w:rsid w:val="00D33E8E"/>
    <w:rsid w:val="00D33F31"/>
    <w:rsid w:val="00D34A67"/>
    <w:rsid w:val="00D36547"/>
    <w:rsid w:val="00D37A44"/>
    <w:rsid w:val="00D37C1A"/>
    <w:rsid w:val="00D40143"/>
    <w:rsid w:val="00D41850"/>
    <w:rsid w:val="00D41CE7"/>
    <w:rsid w:val="00D43B00"/>
    <w:rsid w:val="00D46049"/>
    <w:rsid w:val="00D46064"/>
    <w:rsid w:val="00D46785"/>
    <w:rsid w:val="00D46E31"/>
    <w:rsid w:val="00D51861"/>
    <w:rsid w:val="00D52168"/>
    <w:rsid w:val="00D52AEF"/>
    <w:rsid w:val="00D534A1"/>
    <w:rsid w:val="00D534EC"/>
    <w:rsid w:val="00D53E09"/>
    <w:rsid w:val="00D54E4B"/>
    <w:rsid w:val="00D561B5"/>
    <w:rsid w:val="00D60169"/>
    <w:rsid w:val="00D65705"/>
    <w:rsid w:val="00D65BE7"/>
    <w:rsid w:val="00D66BEC"/>
    <w:rsid w:val="00D70EAB"/>
    <w:rsid w:val="00D71B4F"/>
    <w:rsid w:val="00D72F05"/>
    <w:rsid w:val="00D72F6F"/>
    <w:rsid w:val="00D732AB"/>
    <w:rsid w:val="00D7381C"/>
    <w:rsid w:val="00D738EF"/>
    <w:rsid w:val="00D73D88"/>
    <w:rsid w:val="00D7425E"/>
    <w:rsid w:val="00D76359"/>
    <w:rsid w:val="00D76AB2"/>
    <w:rsid w:val="00D8072C"/>
    <w:rsid w:val="00D808AA"/>
    <w:rsid w:val="00D80A65"/>
    <w:rsid w:val="00D8346D"/>
    <w:rsid w:val="00D848D9"/>
    <w:rsid w:val="00D855E3"/>
    <w:rsid w:val="00D87486"/>
    <w:rsid w:val="00D876CD"/>
    <w:rsid w:val="00D87760"/>
    <w:rsid w:val="00D87A31"/>
    <w:rsid w:val="00D900E2"/>
    <w:rsid w:val="00D90C0A"/>
    <w:rsid w:val="00D92C5B"/>
    <w:rsid w:val="00D934D8"/>
    <w:rsid w:val="00D956CC"/>
    <w:rsid w:val="00D95ABB"/>
    <w:rsid w:val="00D973DD"/>
    <w:rsid w:val="00DA1A65"/>
    <w:rsid w:val="00DA2863"/>
    <w:rsid w:val="00DA29F9"/>
    <w:rsid w:val="00DA3402"/>
    <w:rsid w:val="00DA3686"/>
    <w:rsid w:val="00DA49D1"/>
    <w:rsid w:val="00DA7282"/>
    <w:rsid w:val="00DB04D2"/>
    <w:rsid w:val="00DB1556"/>
    <w:rsid w:val="00DB156D"/>
    <w:rsid w:val="00DB2F8A"/>
    <w:rsid w:val="00DB400D"/>
    <w:rsid w:val="00DB7853"/>
    <w:rsid w:val="00DC1BDB"/>
    <w:rsid w:val="00DC345B"/>
    <w:rsid w:val="00DC4D06"/>
    <w:rsid w:val="00DC4D5B"/>
    <w:rsid w:val="00DC504D"/>
    <w:rsid w:val="00DC511C"/>
    <w:rsid w:val="00DC5EB1"/>
    <w:rsid w:val="00DC6D6C"/>
    <w:rsid w:val="00DC74D4"/>
    <w:rsid w:val="00DC74D7"/>
    <w:rsid w:val="00DD2C04"/>
    <w:rsid w:val="00DD3687"/>
    <w:rsid w:val="00DD4736"/>
    <w:rsid w:val="00DD49ED"/>
    <w:rsid w:val="00DD4C39"/>
    <w:rsid w:val="00DD4D61"/>
    <w:rsid w:val="00DD523F"/>
    <w:rsid w:val="00DD6137"/>
    <w:rsid w:val="00DD77FD"/>
    <w:rsid w:val="00DE31BA"/>
    <w:rsid w:val="00DE4488"/>
    <w:rsid w:val="00DE4828"/>
    <w:rsid w:val="00DE6F68"/>
    <w:rsid w:val="00DE7598"/>
    <w:rsid w:val="00DF0DBB"/>
    <w:rsid w:val="00DF1149"/>
    <w:rsid w:val="00DF2335"/>
    <w:rsid w:val="00DF26CA"/>
    <w:rsid w:val="00DF382A"/>
    <w:rsid w:val="00DF3C2B"/>
    <w:rsid w:val="00DF3F8A"/>
    <w:rsid w:val="00DF6981"/>
    <w:rsid w:val="00DF6D51"/>
    <w:rsid w:val="00E00DC8"/>
    <w:rsid w:val="00E0233B"/>
    <w:rsid w:val="00E02A80"/>
    <w:rsid w:val="00E02E99"/>
    <w:rsid w:val="00E02F01"/>
    <w:rsid w:val="00E072A0"/>
    <w:rsid w:val="00E07D9F"/>
    <w:rsid w:val="00E07F47"/>
    <w:rsid w:val="00E11587"/>
    <w:rsid w:val="00E11FAB"/>
    <w:rsid w:val="00E11FE1"/>
    <w:rsid w:val="00E12D20"/>
    <w:rsid w:val="00E137D4"/>
    <w:rsid w:val="00E13A84"/>
    <w:rsid w:val="00E14D1B"/>
    <w:rsid w:val="00E155E7"/>
    <w:rsid w:val="00E2044A"/>
    <w:rsid w:val="00E2161F"/>
    <w:rsid w:val="00E21C51"/>
    <w:rsid w:val="00E22291"/>
    <w:rsid w:val="00E22AF2"/>
    <w:rsid w:val="00E2389B"/>
    <w:rsid w:val="00E24120"/>
    <w:rsid w:val="00E260F3"/>
    <w:rsid w:val="00E26BED"/>
    <w:rsid w:val="00E26FEA"/>
    <w:rsid w:val="00E27989"/>
    <w:rsid w:val="00E31194"/>
    <w:rsid w:val="00E32095"/>
    <w:rsid w:val="00E3235E"/>
    <w:rsid w:val="00E3471E"/>
    <w:rsid w:val="00E35C84"/>
    <w:rsid w:val="00E40C10"/>
    <w:rsid w:val="00E41168"/>
    <w:rsid w:val="00E4511C"/>
    <w:rsid w:val="00E45E8C"/>
    <w:rsid w:val="00E46D09"/>
    <w:rsid w:val="00E46EF5"/>
    <w:rsid w:val="00E47868"/>
    <w:rsid w:val="00E50560"/>
    <w:rsid w:val="00E514A7"/>
    <w:rsid w:val="00E53138"/>
    <w:rsid w:val="00E54B7F"/>
    <w:rsid w:val="00E55B23"/>
    <w:rsid w:val="00E55BAB"/>
    <w:rsid w:val="00E60F36"/>
    <w:rsid w:val="00E636F8"/>
    <w:rsid w:val="00E64245"/>
    <w:rsid w:val="00E642C3"/>
    <w:rsid w:val="00E64349"/>
    <w:rsid w:val="00E64629"/>
    <w:rsid w:val="00E6758C"/>
    <w:rsid w:val="00E67DBE"/>
    <w:rsid w:val="00E7053F"/>
    <w:rsid w:val="00E71728"/>
    <w:rsid w:val="00E723F9"/>
    <w:rsid w:val="00E729A6"/>
    <w:rsid w:val="00E755BD"/>
    <w:rsid w:val="00E75AA9"/>
    <w:rsid w:val="00E76289"/>
    <w:rsid w:val="00E80438"/>
    <w:rsid w:val="00E81B7E"/>
    <w:rsid w:val="00E8328B"/>
    <w:rsid w:val="00E9163A"/>
    <w:rsid w:val="00E91AE7"/>
    <w:rsid w:val="00E91ED4"/>
    <w:rsid w:val="00E93B8A"/>
    <w:rsid w:val="00E95C2A"/>
    <w:rsid w:val="00E96EB5"/>
    <w:rsid w:val="00E97F8F"/>
    <w:rsid w:val="00EA0909"/>
    <w:rsid w:val="00EA0C51"/>
    <w:rsid w:val="00EA5162"/>
    <w:rsid w:val="00EA5ADE"/>
    <w:rsid w:val="00EA5C05"/>
    <w:rsid w:val="00EA6F62"/>
    <w:rsid w:val="00EA6FA2"/>
    <w:rsid w:val="00EA7649"/>
    <w:rsid w:val="00EB1355"/>
    <w:rsid w:val="00EB2076"/>
    <w:rsid w:val="00EB2216"/>
    <w:rsid w:val="00EB4907"/>
    <w:rsid w:val="00EB5852"/>
    <w:rsid w:val="00EC0038"/>
    <w:rsid w:val="00EC129F"/>
    <w:rsid w:val="00EC1371"/>
    <w:rsid w:val="00EC2097"/>
    <w:rsid w:val="00EC2987"/>
    <w:rsid w:val="00EC3CB0"/>
    <w:rsid w:val="00EC4378"/>
    <w:rsid w:val="00EC5691"/>
    <w:rsid w:val="00EC70FA"/>
    <w:rsid w:val="00EC7CBF"/>
    <w:rsid w:val="00EC7E7E"/>
    <w:rsid w:val="00ED005F"/>
    <w:rsid w:val="00ED007A"/>
    <w:rsid w:val="00ED111D"/>
    <w:rsid w:val="00ED2517"/>
    <w:rsid w:val="00ED39BE"/>
    <w:rsid w:val="00ED4A87"/>
    <w:rsid w:val="00ED6C67"/>
    <w:rsid w:val="00ED7ECA"/>
    <w:rsid w:val="00EE00D5"/>
    <w:rsid w:val="00EE3699"/>
    <w:rsid w:val="00EE4F7C"/>
    <w:rsid w:val="00EE5147"/>
    <w:rsid w:val="00EF1A99"/>
    <w:rsid w:val="00EF2231"/>
    <w:rsid w:val="00EF2989"/>
    <w:rsid w:val="00EF2FBD"/>
    <w:rsid w:val="00EF5093"/>
    <w:rsid w:val="00EF554C"/>
    <w:rsid w:val="00F04673"/>
    <w:rsid w:val="00F04B13"/>
    <w:rsid w:val="00F0591C"/>
    <w:rsid w:val="00F05CF2"/>
    <w:rsid w:val="00F06256"/>
    <w:rsid w:val="00F06B03"/>
    <w:rsid w:val="00F079FD"/>
    <w:rsid w:val="00F12FE5"/>
    <w:rsid w:val="00F13880"/>
    <w:rsid w:val="00F14434"/>
    <w:rsid w:val="00F14AFC"/>
    <w:rsid w:val="00F16CED"/>
    <w:rsid w:val="00F21394"/>
    <w:rsid w:val="00F21964"/>
    <w:rsid w:val="00F22D83"/>
    <w:rsid w:val="00F23BBE"/>
    <w:rsid w:val="00F252D1"/>
    <w:rsid w:val="00F26571"/>
    <w:rsid w:val="00F2777A"/>
    <w:rsid w:val="00F30EB8"/>
    <w:rsid w:val="00F315B8"/>
    <w:rsid w:val="00F31FD8"/>
    <w:rsid w:val="00F32843"/>
    <w:rsid w:val="00F32E9A"/>
    <w:rsid w:val="00F343CF"/>
    <w:rsid w:val="00F34897"/>
    <w:rsid w:val="00F34DBA"/>
    <w:rsid w:val="00F35B14"/>
    <w:rsid w:val="00F36194"/>
    <w:rsid w:val="00F3644B"/>
    <w:rsid w:val="00F36F82"/>
    <w:rsid w:val="00F37072"/>
    <w:rsid w:val="00F37E6C"/>
    <w:rsid w:val="00F406F8"/>
    <w:rsid w:val="00F417B2"/>
    <w:rsid w:val="00F4334F"/>
    <w:rsid w:val="00F43B1F"/>
    <w:rsid w:val="00F45CA1"/>
    <w:rsid w:val="00F46C77"/>
    <w:rsid w:val="00F46E46"/>
    <w:rsid w:val="00F47E8D"/>
    <w:rsid w:val="00F51573"/>
    <w:rsid w:val="00F528B6"/>
    <w:rsid w:val="00F535C3"/>
    <w:rsid w:val="00F53B3A"/>
    <w:rsid w:val="00F55FE6"/>
    <w:rsid w:val="00F5697B"/>
    <w:rsid w:val="00F56C87"/>
    <w:rsid w:val="00F572B9"/>
    <w:rsid w:val="00F60B08"/>
    <w:rsid w:val="00F646D1"/>
    <w:rsid w:val="00F65141"/>
    <w:rsid w:val="00F6655C"/>
    <w:rsid w:val="00F702EE"/>
    <w:rsid w:val="00F70322"/>
    <w:rsid w:val="00F709D7"/>
    <w:rsid w:val="00F72CA9"/>
    <w:rsid w:val="00F731F2"/>
    <w:rsid w:val="00F733D9"/>
    <w:rsid w:val="00F734EB"/>
    <w:rsid w:val="00F7393C"/>
    <w:rsid w:val="00F73AF4"/>
    <w:rsid w:val="00F73C30"/>
    <w:rsid w:val="00F7462F"/>
    <w:rsid w:val="00F77364"/>
    <w:rsid w:val="00F77838"/>
    <w:rsid w:val="00F80CFB"/>
    <w:rsid w:val="00F8104E"/>
    <w:rsid w:val="00F8106E"/>
    <w:rsid w:val="00F820DE"/>
    <w:rsid w:val="00F83271"/>
    <w:rsid w:val="00F84FC6"/>
    <w:rsid w:val="00F90078"/>
    <w:rsid w:val="00F9224B"/>
    <w:rsid w:val="00F924A1"/>
    <w:rsid w:val="00F93E92"/>
    <w:rsid w:val="00F94B92"/>
    <w:rsid w:val="00F96324"/>
    <w:rsid w:val="00FA0451"/>
    <w:rsid w:val="00FA09AF"/>
    <w:rsid w:val="00FA1139"/>
    <w:rsid w:val="00FA21F6"/>
    <w:rsid w:val="00FA2648"/>
    <w:rsid w:val="00FA2CDF"/>
    <w:rsid w:val="00FA4267"/>
    <w:rsid w:val="00FA5A3C"/>
    <w:rsid w:val="00FA7321"/>
    <w:rsid w:val="00FA7BAE"/>
    <w:rsid w:val="00FA7FB2"/>
    <w:rsid w:val="00FB40E9"/>
    <w:rsid w:val="00FB49FD"/>
    <w:rsid w:val="00FB4B87"/>
    <w:rsid w:val="00FB5DF1"/>
    <w:rsid w:val="00FB659E"/>
    <w:rsid w:val="00FB69FC"/>
    <w:rsid w:val="00FB6B89"/>
    <w:rsid w:val="00FC03CD"/>
    <w:rsid w:val="00FC12EF"/>
    <w:rsid w:val="00FC184D"/>
    <w:rsid w:val="00FC37CD"/>
    <w:rsid w:val="00FC3DE5"/>
    <w:rsid w:val="00FC5F73"/>
    <w:rsid w:val="00FD1AB6"/>
    <w:rsid w:val="00FD1E36"/>
    <w:rsid w:val="00FD3A44"/>
    <w:rsid w:val="00FD671C"/>
    <w:rsid w:val="00FD6E0B"/>
    <w:rsid w:val="00FD7EA0"/>
    <w:rsid w:val="00FE0324"/>
    <w:rsid w:val="00FE0C64"/>
    <w:rsid w:val="00FE0FED"/>
    <w:rsid w:val="00FE109D"/>
    <w:rsid w:val="00FE2C42"/>
    <w:rsid w:val="00FE54E1"/>
    <w:rsid w:val="00FE6595"/>
    <w:rsid w:val="00FE668B"/>
    <w:rsid w:val="00FE71C2"/>
    <w:rsid w:val="00FE7E84"/>
    <w:rsid w:val="00FF0EBB"/>
    <w:rsid w:val="00FF3552"/>
    <w:rsid w:val="01021D83"/>
    <w:rsid w:val="012B4701"/>
    <w:rsid w:val="012F56FD"/>
    <w:rsid w:val="01CD3763"/>
    <w:rsid w:val="01D3127C"/>
    <w:rsid w:val="01FF0067"/>
    <w:rsid w:val="02743155"/>
    <w:rsid w:val="037F77D1"/>
    <w:rsid w:val="048C245F"/>
    <w:rsid w:val="04AE18D1"/>
    <w:rsid w:val="058A18FA"/>
    <w:rsid w:val="05A92883"/>
    <w:rsid w:val="05C53661"/>
    <w:rsid w:val="06273138"/>
    <w:rsid w:val="067E7C80"/>
    <w:rsid w:val="06E74912"/>
    <w:rsid w:val="06EA6CE8"/>
    <w:rsid w:val="06F15FE4"/>
    <w:rsid w:val="07094A47"/>
    <w:rsid w:val="07811F1E"/>
    <w:rsid w:val="07A10B64"/>
    <w:rsid w:val="07C05F42"/>
    <w:rsid w:val="08181ADD"/>
    <w:rsid w:val="087B4212"/>
    <w:rsid w:val="08832423"/>
    <w:rsid w:val="08AD3AB3"/>
    <w:rsid w:val="09220298"/>
    <w:rsid w:val="094214B6"/>
    <w:rsid w:val="097F7133"/>
    <w:rsid w:val="09E615D4"/>
    <w:rsid w:val="0AC459AA"/>
    <w:rsid w:val="0C3E6FDA"/>
    <w:rsid w:val="0D4F4416"/>
    <w:rsid w:val="0DF777AB"/>
    <w:rsid w:val="0E786D72"/>
    <w:rsid w:val="0EB77B90"/>
    <w:rsid w:val="0F5C4C28"/>
    <w:rsid w:val="0F840728"/>
    <w:rsid w:val="0FEF7B65"/>
    <w:rsid w:val="10464982"/>
    <w:rsid w:val="10C70AD6"/>
    <w:rsid w:val="113107FB"/>
    <w:rsid w:val="113D2F97"/>
    <w:rsid w:val="11447626"/>
    <w:rsid w:val="116605B9"/>
    <w:rsid w:val="1192093D"/>
    <w:rsid w:val="119C0FD2"/>
    <w:rsid w:val="12246172"/>
    <w:rsid w:val="128F40E3"/>
    <w:rsid w:val="12BB6065"/>
    <w:rsid w:val="133E6515"/>
    <w:rsid w:val="13EB044B"/>
    <w:rsid w:val="13FB4AE5"/>
    <w:rsid w:val="14100982"/>
    <w:rsid w:val="14237BE5"/>
    <w:rsid w:val="147C19A7"/>
    <w:rsid w:val="14D40EDF"/>
    <w:rsid w:val="155A25DD"/>
    <w:rsid w:val="15663CF6"/>
    <w:rsid w:val="15B735E5"/>
    <w:rsid w:val="1695157D"/>
    <w:rsid w:val="16BC7E7D"/>
    <w:rsid w:val="16F75359"/>
    <w:rsid w:val="17B730F1"/>
    <w:rsid w:val="17C90AA4"/>
    <w:rsid w:val="17D01BD0"/>
    <w:rsid w:val="18C90033"/>
    <w:rsid w:val="19024B01"/>
    <w:rsid w:val="194B6314"/>
    <w:rsid w:val="19D16F1B"/>
    <w:rsid w:val="1AF000F5"/>
    <w:rsid w:val="1B1118DE"/>
    <w:rsid w:val="1BB101D0"/>
    <w:rsid w:val="1C594A4C"/>
    <w:rsid w:val="1C682F63"/>
    <w:rsid w:val="1CE52B48"/>
    <w:rsid w:val="1CEE2D5A"/>
    <w:rsid w:val="1CF93801"/>
    <w:rsid w:val="1D182C48"/>
    <w:rsid w:val="1D217E54"/>
    <w:rsid w:val="1D306E76"/>
    <w:rsid w:val="1DF241CC"/>
    <w:rsid w:val="1E584318"/>
    <w:rsid w:val="1E786FDF"/>
    <w:rsid w:val="1EA77665"/>
    <w:rsid w:val="1EAD027D"/>
    <w:rsid w:val="1EC940D9"/>
    <w:rsid w:val="1F652417"/>
    <w:rsid w:val="1F770DE5"/>
    <w:rsid w:val="1F8452B0"/>
    <w:rsid w:val="1F8D36D9"/>
    <w:rsid w:val="1FB060A5"/>
    <w:rsid w:val="1FDF69D8"/>
    <w:rsid w:val="1FE71E4B"/>
    <w:rsid w:val="2037013A"/>
    <w:rsid w:val="20603779"/>
    <w:rsid w:val="20C04A0E"/>
    <w:rsid w:val="214747E7"/>
    <w:rsid w:val="21530E09"/>
    <w:rsid w:val="216E446A"/>
    <w:rsid w:val="21AE7EA9"/>
    <w:rsid w:val="22D50099"/>
    <w:rsid w:val="230F106A"/>
    <w:rsid w:val="232A79B9"/>
    <w:rsid w:val="237C10C0"/>
    <w:rsid w:val="243E6681"/>
    <w:rsid w:val="249A58C8"/>
    <w:rsid w:val="26123616"/>
    <w:rsid w:val="26583C45"/>
    <w:rsid w:val="26771D7B"/>
    <w:rsid w:val="26822D5C"/>
    <w:rsid w:val="26B352EC"/>
    <w:rsid w:val="280D0539"/>
    <w:rsid w:val="286B68C2"/>
    <w:rsid w:val="288B3B53"/>
    <w:rsid w:val="28B3135C"/>
    <w:rsid w:val="28C80903"/>
    <w:rsid w:val="295C490F"/>
    <w:rsid w:val="29B11398"/>
    <w:rsid w:val="2AB61F94"/>
    <w:rsid w:val="2AFB7E48"/>
    <w:rsid w:val="2C511294"/>
    <w:rsid w:val="2C864D5D"/>
    <w:rsid w:val="2D5C5ABE"/>
    <w:rsid w:val="2E3C1170"/>
    <w:rsid w:val="2E775CF9"/>
    <w:rsid w:val="2ECD0A22"/>
    <w:rsid w:val="2F814E8D"/>
    <w:rsid w:val="303276E3"/>
    <w:rsid w:val="3180068E"/>
    <w:rsid w:val="3198796C"/>
    <w:rsid w:val="329C1CC4"/>
    <w:rsid w:val="329C483A"/>
    <w:rsid w:val="338D1F44"/>
    <w:rsid w:val="33A0572A"/>
    <w:rsid w:val="354B7DBD"/>
    <w:rsid w:val="35683252"/>
    <w:rsid w:val="35727C2D"/>
    <w:rsid w:val="35C16060"/>
    <w:rsid w:val="35C30488"/>
    <w:rsid w:val="36817DD1"/>
    <w:rsid w:val="369429B4"/>
    <w:rsid w:val="37881557"/>
    <w:rsid w:val="37976CDE"/>
    <w:rsid w:val="37A7587F"/>
    <w:rsid w:val="381B1712"/>
    <w:rsid w:val="38763ED8"/>
    <w:rsid w:val="3891486E"/>
    <w:rsid w:val="389378AC"/>
    <w:rsid w:val="38F23406"/>
    <w:rsid w:val="39041680"/>
    <w:rsid w:val="39857E1F"/>
    <w:rsid w:val="3A647D60"/>
    <w:rsid w:val="3A7546EA"/>
    <w:rsid w:val="3ABB02C8"/>
    <w:rsid w:val="3BA048D6"/>
    <w:rsid w:val="3BA23ECD"/>
    <w:rsid w:val="3C044B7E"/>
    <w:rsid w:val="3CE33B06"/>
    <w:rsid w:val="3D1C20E2"/>
    <w:rsid w:val="3D845B17"/>
    <w:rsid w:val="3DB37F2E"/>
    <w:rsid w:val="3E003235"/>
    <w:rsid w:val="3E447DAB"/>
    <w:rsid w:val="3E88226F"/>
    <w:rsid w:val="3EBD20EA"/>
    <w:rsid w:val="3ED442F7"/>
    <w:rsid w:val="3F544750"/>
    <w:rsid w:val="3F744FB2"/>
    <w:rsid w:val="3F8C2A43"/>
    <w:rsid w:val="3F952CF7"/>
    <w:rsid w:val="406C2859"/>
    <w:rsid w:val="40FE2CBD"/>
    <w:rsid w:val="41EF2605"/>
    <w:rsid w:val="4242686A"/>
    <w:rsid w:val="42755FBD"/>
    <w:rsid w:val="42D70594"/>
    <w:rsid w:val="42E81422"/>
    <w:rsid w:val="43497EE7"/>
    <w:rsid w:val="43745A6F"/>
    <w:rsid w:val="43D9531B"/>
    <w:rsid w:val="44354C47"/>
    <w:rsid w:val="449A0F4E"/>
    <w:rsid w:val="44C12DEF"/>
    <w:rsid w:val="45443D9E"/>
    <w:rsid w:val="45D136AA"/>
    <w:rsid w:val="463404BD"/>
    <w:rsid w:val="46880115"/>
    <w:rsid w:val="4697785B"/>
    <w:rsid w:val="47A91736"/>
    <w:rsid w:val="47AB5220"/>
    <w:rsid w:val="486163FC"/>
    <w:rsid w:val="48C971E4"/>
    <w:rsid w:val="491650FE"/>
    <w:rsid w:val="49374150"/>
    <w:rsid w:val="4BA156AC"/>
    <w:rsid w:val="4C0A4C0B"/>
    <w:rsid w:val="4C172E84"/>
    <w:rsid w:val="4C37155F"/>
    <w:rsid w:val="4D341814"/>
    <w:rsid w:val="4DBC0187"/>
    <w:rsid w:val="4DF73A27"/>
    <w:rsid w:val="4E692677"/>
    <w:rsid w:val="4F7069F4"/>
    <w:rsid w:val="4F907A4A"/>
    <w:rsid w:val="4FBA7DE8"/>
    <w:rsid w:val="5038161B"/>
    <w:rsid w:val="507E4B76"/>
    <w:rsid w:val="50CB64CF"/>
    <w:rsid w:val="50DB6B76"/>
    <w:rsid w:val="51175FE5"/>
    <w:rsid w:val="511E2055"/>
    <w:rsid w:val="51312C3A"/>
    <w:rsid w:val="51355323"/>
    <w:rsid w:val="518C2EF4"/>
    <w:rsid w:val="518C7C24"/>
    <w:rsid w:val="51DC3932"/>
    <w:rsid w:val="53034162"/>
    <w:rsid w:val="54374188"/>
    <w:rsid w:val="545A6004"/>
    <w:rsid w:val="54DC55AD"/>
    <w:rsid w:val="588E2720"/>
    <w:rsid w:val="58BC1ECB"/>
    <w:rsid w:val="59187B71"/>
    <w:rsid w:val="599124C8"/>
    <w:rsid w:val="59A85A64"/>
    <w:rsid w:val="5A33015F"/>
    <w:rsid w:val="5A737E20"/>
    <w:rsid w:val="5AB3646E"/>
    <w:rsid w:val="5B0311A3"/>
    <w:rsid w:val="5B6D2AC1"/>
    <w:rsid w:val="5B916E75"/>
    <w:rsid w:val="5BC6191F"/>
    <w:rsid w:val="5BFD4CF9"/>
    <w:rsid w:val="5C341B4C"/>
    <w:rsid w:val="5C4C6DC6"/>
    <w:rsid w:val="5DA02D81"/>
    <w:rsid w:val="5DFA34A7"/>
    <w:rsid w:val="5EFE3793"/>
    <w:rsid w:val="5F5F2297"/>
    <w:rsid w:val="5F637EC5"/>
    <w:rsid w:val="5FA920E8"/>
    <w:rsid w:val="5FBA6B14"/>
    <w:rsid w:val="60A54C1B"/>
    <w:rsid w:val="612C2AD6"/>
    <w:rsid w:val="613D2F35"/>
    <w:rsid w:val="62825AAE"/>
    <w:rsid w:val="62C44266"/>
    <w:rsid w:val="62F91C6B"/>
    <w:rsid w:val="63995CFF"/>
    <w:rsid w:val="64805613"/>
    <w:rsid w:val="64B77B6C"/>
    <w:rsid w:val="651A388A"/>
    <w:rsid w:val="653F727C"/>
    <w:rsid w:val="65831D62"/>
    <w:rsid w:val="65A76287"/>
    <w:rsid w:val="65B31672"/>
    <w:rsid w:val="65C5024F"/>
    <w:rsid w:val="65E2731D"/>
    <w:rsid w:val="65E9368C"/>
    <w:rsid w:val="67FB3C27"/>
    <w:rsid w:val="68016A6B"/>
    <w:rsid w:val="68307350"/>
    <w:rsid w:val="6886293E"/>
    <w:rsid w:val="69562DE6"/>
    <w:rsid w:val="695958E9"/>
    <w:rsid w:val="69917A41"/>
    <w:rsid w:val="69A4300C"/>
    <w:rsid w:val="6A520A90"/>
    <w:rsid w:val="6A647785"/>
    <w:rsid w:val="6A745C1A"/>
    <w:rsid w:val="6ABD5070"/>
    <w:rsid w:val="6ADD2781"/>
    <w:rsid w:val="6B122FC2"/>
    <w:rsid w:val="6B424B3F"/>
    <w:rsid w:val="6C5E4242"/>
    <w:rsid w:val="6CEA6F3E"/>
    <w:rsid w:val="6D3F3B91"/>
    <w:rsid w:val="6DAB2E3F"/>
    <w:rsid w:val="6E113780"/>
    <w:rsid w:val="6E306B78"/>
    <w:rsid w:val="6EA840E4"/>
    <w:rsid w:val="6EB42C84"/>
    <w:rsid w:val="6EF37ACE"/>
    <w:rsid w:val="6F7D0C70"/>
    <w:rsid w:val="70531BF1"/>
    <w:rsid w:val="709A5CED"/>
    <w:rsid w:val="70B42A10"/>
    <w:rsid w:val="70C96594"/>
    <w:rsid w:val="710475CC"/>
    <w:rsid w:val="719C1A27"/>
    <w:rsid w:val="723576AB"/>
    <w:rsid w:val="72895FA6"/>
    <w:rsid w:val="72A876E9"/>
    <w:rsid w:val="72D002C8"/>
    <w:rsid w:val="72DD69A7"/>
    <w:rsid w:val="73D92E41"/>
    <w:rsid w:val="73FE7958"/>
    <w:rsid w:val="741F49DC"/>
    <w:rsid w:val="74300914"/>
    <w:rsid w:val="74D0428D"/>
    <w:rsid w:val="7505298B"/>
    <w:rsid w:val="75647146"/>
    <w:rsid w:val="75B8552F"/>
    <w:rsid w:val="75C83B33"/>
    <w:rsid w:val="76783BFB"/>
    <w:rsid w:val="773D3837"/>
    <w:rsid w:val="773E6D90"/>
    <w:rsid w:val="77CD1710"/>
    <w:rsid w:val="77FA24EC"/>
    <w:rsid w:val="78271BF8"/>
    <w:rsid w:val="782D565A"/>
    <w:rsid w:val="78A5374B"/>
    <w:rsid w:val="78A70F68"/>
    <w:rsid w:val="79440EE6"/>
    <w:rsid w:val="7A5F322B"/>
    <w:rsid w:val="7A72263F"/>
    <w:rsid w:val="7A9D6AC7"/>
    <w:rsid w:val="7B8F1549"/>
    <w:rsid w:val="7BED75DA"/>
    <w:rsid w:val="7C1D1021"/>
    <w:rsid w:val="7C3C40BE"/>
    <w:rsid w:val="7D610DC4"/>
    <w:rsid w:val="7D727531"/>
    <w:rsid w:val="7D9F4904"/>
    <w:rsid w:val="7DD96922"/>
    <w:rsid w:val="7DFA7D8C"/>
    <w:rsid w:val="7E444FA8"/>
    <w:rsid w:val="7F4D31A0"/>
    <w:rsid w:val="7F7976F8"/>
    <w:rsid w:val="7F9858D6"/>
    <w:rsid w:val="7FC21093"/>
    <w:rsid w:val="7FFC2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360" w:lineRule="auto"/>
      <w:outlineLvl w:val="0"/>
    </w:pPr>
    <w:rPr>
      <w:b/>
      <w:bCs/>
      <w:kern w:val="44"/>
      <w:sz w:val="32"/>
      <w:szCs w:val="44"/>
    </w:rPr>
  </w:style>
  <w:style w:type="paragraph" w:styleId="2">
    <w:name w:val="heading 2"/>
    <w:basedOn w:val="1"/>
    <w:next w:val="1"/>
    <w:link w:val="6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link w:val="68"/>
    <w:qFormat/>
    <w:uiPriority w:val="0"/>
    <w:pPr>
      <w:keepNext/>
      <w:keepLines/>
      <w:spacing w:before="120" w:after="120" w:line="360" w:lineRule="auto"/>
      <w:ind w:firstLine="420" w:firstLineChars="200"/>
      <w:outlineLvl w:val="3"/>
    </w:pPr>
    <w:rPr>
      <w:rFonts w:ascii="Arial" w:hAnsi="Arial" w:eastAsia="黑体"/>
      <w:bCs/>
      <w:szCs w:val="28"/>
    </w:rPr>
  </w:style>
  <w:style w:type="paragraph" w:styleId="6">
    <w:name w:val="heading 5"/>
    <w:basedOn w:val="1"/>
    <w:next w:val="1"/>
    <w:link w:val="69"/>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6"/>
    <w:next w:val="1"/>
    <w:link w:val="70"/>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1"/>
    <w:qFormat/>
    <w:uiPriority w:val="0"/>
    <w:pPr>
      <w:tabs>
        <w:tab w:val="left" w:pos="1800"/>
        <w:tab w:val="clear" w:pos="1440"/>
      </w:tabs>
      <w:ind w:left="1276" w:hanging="1276"/>
      <w:outlineLvl w:val="6"/>
    </w:pPr>
  </w:style>
  <w:style w:type="paragraph" w:styleId="9">
    <w:name w:val="heading 8"/>
    <w:basedOn w:val="1"/>
    <w:link w:val="72"/>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1"/>
    <w:next w:val="1"/>
    <w:link w:val="73"/>
    <w:qFormat/>
    <w:uiPriority w:val="0"/>
    <w:pPr>
      <w:keepNext/>
      <w:keepLines/>
      <w:spacing w:before="240" w:after="64" w:line="320" w:lineRule="auto"/>
      <w:outlineLvl w:val="8"/>
    </w:pPr>
    <w:rPr>
      <w:rFonts w:ascii="Cambria" w:hAnsi="Cambria"/>
      <w:szCs w:val="21"/>
    </w:rPr>
  </w:style>
  <w:style w:type="character" w:default="1" w:styleId="56">
    <w:name w:val="Default Paragraph Font"/>
    <w:qFormat/>
    <w:uiPriority w:val="0"/>
  </w:style>
  <w:style w:type="table" w:default="1" w:styleId="54">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szCs w:val="22"/>
    </w:rPr>
  </w:style>
  <w:style w:type="paragraph" w:styleId="12">
    <w:name w:val="toc 7"/>
    <w:basedOn w:val="1"/>
    <w:next w:val="1"/>
    <w:unhideWhenUsed/>
    <w:qFormat/>
    <w:uiPriority w:val="39"/>
    <w:pPr>
      <w:ind w:left="1260"/>
      <w:jc w:val="left"/>
    </w:pPr>
    <w:rPr>
      <w:rFonts w:ascii="Calibri" w:hAnsi="Calibri" w:cs="Calibri"/>
      <w:sz w:val="18"/>
      <w:szCs w:val="18"/>
    </w:rPr>
  </w:style>
  <w:style w:type="paragraph" w:styleId="13">
    <w:name w:val="Normal Indent"/>
    <w:basedOn w:val="1"/>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4"/>
    <w:qFormat/>
    <w:uiPriority w:val="0"/>
    <w:pPr>
      <w:shd w:val="clear" w:color="auto" w:fill="000080"/>
    </w:pPr>
    <w:rPr>
      <w:rFonts w:ascii="Calibri" w:hAnsi="Calibri"/>
      <w:bCs/>
      <w:szCs w:val="32"/>
    </w:rPr>
  </w:style>
  <w:style w:type="paragraph" w:styleId="16">
    <w:name w:val="annotation text"/>
    <w:basedOn w:val="1"/>
    <w:link w:val="75"/>
    <w:qFormat/>
    <w:uiPriority w:val="0"/>
    <w:pPr>
      <w:adjustRightInd w:val="0"/>
      <w:spacing w:line="360" w:lineRule="atLeast"/>
      <w:jc w:val="left"/>
      <w:textAlignment w:val="baseline"/>
    </w:pPr>
    <w:rPr>
      <w:kern w:val="0"/>
      <w:sz w:val="24"/>
      <w:szCs w:val="20"/>
    </w:rPr>
  </w:style>
  <w:style w:type="paragraph" w:styleId="17">
    <w:name w:val="Salutation"/>
    <w:basedOn w:val="1"/>
    <w:next w:val="1"/>
    <w:link w:val="76"/>
    <w:qFormat/>
    <w:uiPriority w:val="0"/>
    <w:rPr>
      <w:rFonts w:ascii="仿宋_GB2312" w:eastAsia="仿宋_GB2312"/>
      <w:sz w:val="28"/>
      <w:szCs w:val="20"/>
    </w:rPr>
  </w:style>
  <w:style w:type="paragraph" w:styleId="18">
    <w:name w:val="Body Text 3"/>
    <w:basedOn w:val="1"/>
    <w:link w:val="77"/>
    <w:qFormat/>
    <w:uiPriority w:val="0"/>
    <w:pPr>
      <w:adjustRightInd w:val="0"/>
      <w:snapToGrid w:val="0"/>
    </w:pPr>
    <w:rPr>
      <w:rFonts w:ascii="仿宋_GB2312" w:hAnsi="宋体" w:eastAsia="仿宋_GB2312"/>
      <w:bCs/>
      <w:color w:val="000000"/>
      <w:sz w:val="24"/>
      <w:szCs w:val="32"/>
    </w:rPr>
  </w:style>
  <w:style w:type="paragraph" w:styleId="19">
    <w:name w:val="Body Text"/>
    <w:basedOn w:val="1"/>
    <w:link w:val="78"/>
    <w:qFormat/>
    <w:uiPriority w:val="0"/>
    <w:pPr>
      <w:spacing w:after="120"/>
    </w:pPr>
  </w:style>
  <w:style w:type="paragraph" w:styleId="20">
    <w:name w:val="Body Text Indent"/>
    <w:basedOn w:val="1"/>
    <w:link w:val="79"/>
    <w:qFormat/>
    <w:uiPriority w:val="0"/>
    <w:pPr>
      <w:ind w:firstLine="560" w:firstLineChars="200"/>
    </w:pPr>
    <w:rPr>
      <w:rFonts w:ascii="宋体" w:hAnsi="宋体"/>
      <w:bCs/>
      <w:sz w:val="28"/>
      <w:szCs w:val="32"/>
    </w:rPr>
  </w:style>
  <w:style w:type="paragraph" w:styleId="21">
    <w:name w:val="List 2"/>
    <w:basedOn w:val="1"/>
    <w:qFormat/>
    <w:uiPriority w:val="0"/>
    <w:pPr>
      <w:ind w:left="100" w:leftChars="200" w:hanging="200" w:hangingChars="200"/>
    </w:pPr>
    <w:rPr>
      <w:rFonts w:ascii="Calibri" w:hAnsi="Calibri"/>
      <w:szCs w:val="22"/>
    </w:rPr>
  </w:style>
  <w:style w:type="paragraph" w:styleId="22">
    <w:name w:val="List Continue"/>
    <w:basedOn w:val="1"/>
    <w:qFormat/>
    <w:uiPriority w:val="0"/>
    <w:pPr>
      <w:spacing w:after="120"/>
      <w:ind w:left="420" w:leftChars="200"/>
    </w:pPr>
    <w:rPr>
      <w:rFonts w:ascii="Calibri" w:hAnsi="Calibri"/>
      <w:szCs w:val="22"/>
    </w:r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0"/>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39"/>
    <w:pPr>
      <w:ind w:left="840"/>
      <w:jc w:val="left"/>
    </w:pPr>
    <w:rPr>
      <w:rFonts w:ascii="Calibri" w:hAnsi="Calibri" w:cs="Calibri"/>
      <w:sz w:val="18"/>
      <w:szCs w:val="18"/>
    </w:rPr>
  </w:style>
  <w:style w:type="paragraph" w:styleId="26">
    <w:name w:val="toc 3"/>
    <w:basedOn w:val="1"/>
    <w:next w:val="1"/>
    <w:qFormat/>
    <w:uiPriority w:val="39"/>
    <w:pPr>
      <w:ind w:left="420"/>
      <w:jc w:val="left"/>
    </w:pPr>
    <w:rPr>
      <w:rFonts w:ascii="Calibri" w:hAnsi="Calibri" w:cs="Calibri"/>
      <w:i/>
      <w:iCs/>
      <w:sz w:val="20"/>
      <w:szCs w:val="20"/>
    </w:rPr>
  </w:style>
  <w:style w:type="paragraph" w:styleId="27">
    <w:name w:val="Plain Text"/>
    <w:basedOn w:val="1"/>
    <w:link w:val="80"/>
    <w:qFormat/>
    <w:uiPriority w:val="0"/>
    <w:rPr>
      <w:rFonts w:ascii="Courier New" w:hAnsi="Courier New"/>
      <w:szCs w:val="20"/>
    </w:rPr>
  </w:style>
  <w:style w:type="paragraph" w:styleId="28">
    <w:name w:val="toc 8"/>
    <w:basedOn w:val="1"/>
    <w:next w:val="1"/>
    <w:unhideWhenUsed/>
    <w:qFormat/>
    <w:uiPriority w:val="39"/>
    <w:pPr>
      <w:ind w:left="1470"/>
      <w:jc w:val="left"/>
    </w:pPr>
    <w:rPr>
      <w:rFonts w:ascii="Calibri" w:hAnsi="Calibri" w:cs="Calibri"/>
      <w:sz w:val="18"/>
      <w:szCs w:val="18"/>
    </w:rPr>
  </w:style>
  <w:style w:type="paragraph" w:styleId="29">
    <w:name w:val="Date"/>
    <w:basedOn w:val="1"/>
    <w:next w:val="1"/>
    <w:link w:val="81"/>
    <w:unhideWhenUsed/>
    <w:qFormat/>
    <w:uiPriority w:val="0"/>
    <w:pPr>
      <w:ind w:left="100" w:leftChars="2500"/>
    </w:pPr>
  </w:style>
  <w:style w:type="paragraph" w:styleId="30">
    <w:name w:val="Body Text Indent 2"/>
    <w:basedOn w:val="1"/>
    <w:link w:val="82"/>
    <w:qFormat/>
    <w:uiPriority w:val="0"/>
    <w:pPr>
      <w:widowControl/>
      <w:overflowPunct w:val="0"/>
      <w:autoSpaceDE w:val="0"/>
      <w:autoSpaceDN w:val="0"/>
      <w:adjustRightInd w:val="0"/>
      <w:spacing w:line="360" w:lineRule="auto"/>
      <w:ind w:firstLine="555"/>
      <w:textAlignment w:val="baseline"/>
    </w:pPr>
    <w:rPr>
      <w:rFonts w:ascii="宋体" w:hAnsi="MS Sans Serif"/>
      <w:bCs/>
      <w:spacing w:val="12"/>
      <w:kern w:val="0"/>
      <w:sz w:val="24"/>
      <w:szCs w:val="20"/>
    </w:rPr>
  </w:style>
  <w:style w:type="paragraph" w:styleId="31">
    <w:name w:val="Balloon Text"/>
    <w:basedOn w:val="1"/>
    <w:link w:val="83"/>
    <w:qFormat/>
    <w:uiPriority w:val="0"/>
    <w:rPr>
      <w:sz w:val="18"/>
      <w:szCs w:val="20"/>
    </w:rPr>
  </w:style>
  <w:style w:type="paragraph" w:styleId="32">
    <w:name w:val="footer"/>
    <w:basedOn w:val="1"/>
    <w:link w:val="84"/>
    <w:qFormat/>
    <w:uiPriority w:val="99"/>
    <w:pPr>
      <w:tabs>
        <w:tab w:val="center" w:pos="4153"/>
        <w:tab w:val="right" w:pos="8306"/>
      </w:tabs>
      <w:snapToGrid w:val="0"/>
      <w:jc w:val="left"/>
    </w:pPr>
    <w:rPr>
      <w:sz w:val="18"/>
      <w:szCs w:val="18"/>
    </w:rPr>
  </w:style>
  <w:style w:type="paragraph" w:styleId="33">
    <w:name w:val="envelope return"/>
    <w:basedOn w:val="1"/>
    <w:unhideWhenUsed/>
    <w:qFormat/>
    <w:uiPriority w:val="99"/>
    <w:pPr>
      <w:snapToGrid w:val="0"/>
    </w:pPr>
    <w:rPr>
      <w:rFonts w:ascii="Arial" w:hAnsi="Arial"/>
    </w:rPr>
  </w:style>
  <w:style w:type="paragraph" w:styleId="34">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cs="Calibri"/>
      <w:b/>
      <w:bCs/>
      <w:caps/>
      <w:sz w:val="20"/>
      <w:szCs w:val="20"/>
    </w:rPr>
  </w:style>
  <w:style w:type="paragraph" w:styleId="36">
    <w:name w:val="List Continue 4"/>
    <w:basedOn w:val="1"/>
    <w:qFormat/>
    <w:uiPriority w:val="0"/>
    <w:pPr>
      <w:spacing w:after="120"/>
      <w:ind w:left="1680" w:leftChars="800"/>
    </w:pPr>
    <w:rPr>
      <w:rFonts w:ascii="Calibri" w:hAnsi="Calibri"/>
      <w:szCs w:val="22"/>
    </w:rPr>
  </w:style>
  <w:style w:type="paragraph" w:styleId="37">
    <w:name w:val="toc 4"/>
    <w:basedOn w:val="1"/>
    <w:next w:val="1"/>
    <w:unhideWhenUsed/>
    <w:qFormat/>
    <w:uiPriority w:val="39"/>
    <w:pPr>
      <w:ind w:left="630"/>
      <w:jc w:val="left"/>
    </w:pPr>
    <w:rPr>
      <w:rFonts w:ascii="Calibri" w:hAnsi="Calibri" w:cs="Calibri"/>
      <w:sz w:val="18"/>
      <w:szCs w:val="18"/>
    </w:rPr>
  </w:style>
  <w:style w:type="paragraph" w:styleId="38">
    <w:name w:val="index heading"/>
    <w:basedOn w:val="1"/>
    <w:next w:val="39"/>
    <w:semiHidden/>
    <w:qFormat/>
    <w:uiPriority w:val="0"/>
  </w:style>
  <w:style w:type="paragraph" w:styleId="39">
    <w:name w:val="index 1"/>
    <w:basedOn w:val="1"/>
    <w:next w:val="1"/>
    <w:semiHidden/>
    <w:qFormat/>
    <w:uiPriority w:val="0"/>
  </w:style>
  <w:style w:type="paragraph" w:styleId="40">
    <w:name w:val="Subtitle"/>
    <w:basedOn w:val="1"/>
    <w:link w:val="86"/>
    <w:qFormat/>
    <w:uiPriority w:val="0"/>
    <w:pPr>
      <w:spacing w:before="240" w:after="60" w:line="312" w:lineRule="auto"/>
      <w:jc w:val="center"/>
      <w:outlineLvl w:val="1"/>
    </w:pPr>
    <w:rPr>
      <w:rFonts w:ascii="Arial" w:hAnsi="Arial"/>
      <w:b/>
      <w:bCs/>
      <w:kern w:val="28"/>
      <w:sz w:val="32"/>
      <w:szCs w:val="32"/>
    </w:rPr>
  </w:style>
  <w:style w:type="paragraph" w:styleId="41">
    <w:name w:val="List"/>
    <w:basedOn w:val="1"/>
    <w:qFormat/>
    <w:uiPriority w:val="0"/>
    <w:pPr>
      <w:ind w:left="200" w:hanging="200" w:hangingChars="200"/>
    </w:pPr>
    <w:rPr>
      <w:rFonts w:ascii="Calibri" w:hAnsi="Calibri"/>
      <w:szCs w:val="22"/>
    </w:rPr>
  </w:style>
  <w:style w:type="paragraph" w:styleId="42">
    <w:name w:val="footnote text"/>
    <w:basedOn w:val="1"/>
    <w:link w:val="87"/>
    <w:unhideWhenUsed/>
    <w:qFormat/>
    <w:uiPriority w:val="0"/>
    <w:pPr>
      <w:snapToGrid w:val="0"/>
      <w:jc w:val="left"/>
    </w:pPr>
    <w:rPr>
      <w:sz w:val="18"/>
      <w:szCs w:val="18"/>
    </w:rPr>
  </w:style>
  <w:style w:type="paragraph" w:styleId="43">
    <w:name w:val="toc 6"/>
    <w:basedOn w:val="1"/>
    <w:next w:val="1"/>
    <w:unhideWhenUsed/>
    <w:qFormat/>
    <w:uiPriority w:val="39"/>
    <w:pPr>
      <w:ind w:left="1050"/>
      <w:jc w:val="left"/>
    </w:pPr>
    <w:rPr>
      <w:rFonts w:ascii="Calibri" w:hAnsi="Calibri" w:cs="Calibri"/>
      <w:sz w:val="18"/>
      <w:szCs w:val="18"/>
    </w:rPr>
  </w:style>
  <w:style w:type="paragraph" w:styleId="44">
    <w:name w:val="Body Text Indent 3"/>
    <w:basedOn w:val="1"/>
    <w:link w:val="88"/>
    <w:qFormat/>
    <w:uiPriority w:val="0"/>
    <w:pPr>
      <w:widowControl/>
      <w:overflowPunct w:val="0"/>
      <w:autoSpaceDE w:val="0"/>
      <w:autoSpaceDN w:val="0"/>
      <w:adjustRightInd w:val="0"/>
      <w:spacing w:line="360" w:lineRule="auto"/>
      <w:ind w:firstLine="540"/>
      <w:textAlignment w:val="baseline"/>
    </w:pPr>
    <w:rPr>
      <w:rFonts w:ascii="宋体" w:hAnsi="MS Sans Serif"/>
      <w:bCs/>
      <w:color w:val="000000"/>
      <w:kern w:val="0"/>
      <w:sz w:val="24"/>
      <w:szCs w:val="20"/>
    </w:rPr>
  </w:style>
  <w:style w:type="paragraph" w:styleId="45">
    <w:name w:val="toc 2"/>
    <w:basedOn w:val="1"/>
    <w:next w:val="1"/>
    <w:qFormat/>
    <w:uiPriority w:val="39"/>
    <w:pPr>
      <w:tabs>
        <w:tab w:val="right" w:leader="dot" w:pos="8949"/>
      </w:tabs>
      <w:ind w:left="210"/>
      <w:jc w:val="left"/>
    </w:pPr>
    <w:rPr>
      <w:rFonts w:ascii="黑体" w:hAnsi="黑体" w:eastAsia="黑体" w:cs="Calibri"/>
      <w:smallCaps/>
      <w:sz w:val="20"/>
      <w:szCs w:val="20"/>
    </w:rPr>
  </w:style>
  <w:style w:type="paragraph" w:styleId="46">
    <w:name w:val="toc 9"/>
    <w:basedOn w:val="1"/>
    <w:next w:val="1"/>
    <w:unhideWhenUsed/>
    <w:qFormat/>
    <w:uiPriority w:val="39"/>
    <w:pPr>
      <w:ind w:left="1680"/>
      <w:jc w:val="left"/>
    </w:pPr>
    <w:rPr>
      <w:rFonts w:ascii="Calibri" w:hAnsi="Calibri" w:cs="Calibri"/>
      <w:sz w:val="18"/>
      <w:szCs w:val="18"/>
    </w:rPr>
  </w:style>
  <w:style w:type="paragraph" w:styleId="47">
    <w:name w:val="Body Text 2"/>
    <w:basedOn w:val="1"/>
    <w:link w:val="89"/>
    <w:qFormat/>
    <w:uiPriority w:val="0"/>
    <w:pPr>
      <w:spacing w:line="360" w:lineRule="auto"/>
    </w:pPr>
    <w:rPr>
      <w:rFonts w:ascii="宋体"/>
      <w:spacing w:val="-20"/>
      <w:sz w:val="28"/>
      <w:szCs w:val="20"/>
    </w:rPr>
  </w:style>
  <w:style w:type="paragraph" w:styleId="48">
    <w:name w:val="List 4"/>
    <w:basedOn w:val="1"/>
    <w:qFormat/>
    <w:uiPriority w:val="0"/>
    <w:pPr>
      <w:ind w:left="100" w:leftChars="600" w:hanging="200" w:hangingChars="200"/>
    </w:pPr>
    <w:rPr>
      <w:rFonts w:ascii="Calibri" w:hAnsi="Calibri"/>
      <w:szCs w:val="22"/>
    </w:rPr>
  </w:style>
  <w:style w:type="paragraph" w:styleId="49">
    <w:name w:val="List Continue 2"/>
    <w:basedOn w:val="1"/>
    <w:qFormat/>
    <w:uiPriority w:val="0"/>
    <w:pPr>
      <w:spacing w:after="120"/>
      <w:ind w:left="840" w:leftChars="400"/>
    </w:pPr>
    <w:rPr>
      <w:rFonts w:ascii="Calibri" w:hAnsi="Calibri"/>
      <w:szCs w:val="22"/>
    </w:rPr>
  </w:style>
  <w:style w:type="paragraph" w:styleId="50">
    <w:name w:val="Normal (Web)"/>
    <w:basedOn w:val="1"/>
    <w:next w:val="1"/>
    <w:qFormat/>
    <w:uiPriority w:val="0"/>
    <w:pPr>
      <w:widowControl/>
      <w:spacing w:before="100" w:beforeAutospacing="1" w:after="100" w:afterAutospacing="1"/>
      <w:jc w:val="left"/>
    </w:pPr>
    <w:rPr>
      <w:rFonts w:ascii="宋体" w:hAnsi="宋体" w:cs="宋体"/>
      <w:color w:val="0066CC"/>
      <w:kern w:val="0"/>
      <w:sz w:val="24"/>
    </w:rPr>
  </w:style>
  <w:style w:type="paragraph" w:styleId="51">
    <w:name w:val="Title"/>
    <w:basedOn w:val="2"/>
    <w:next w:val="1"/>
    <w:link w:val="90"/>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1"/>
    <w:qFormat/>
    <w:uiPriority w:val="0"/>
    <w:pPr>
      <w:adjustRightInd/>
      <w:spacing w:line="240" w:lineRule="auto"/>
      <w:textAlignment w:val="auto"/>
    </w:pPr>
    <w:rPr>
      <w:b/>
      <w:bCs/>
      <w:kern w:val="2"/>
      <w:sz w:val="21"/>
      <w:szCs w:val="24"/>
    </w:rPr>
  </w:style>
  <w:style w:type="paragraph" w:styleId="53">
    <w:name w:val="Body Text First Indent 2"/>
    <w:basedOn w:val="20"/>
    <w:unhideWhenUsed/>
    <w:qFormat/>
    <w:uiPriority w:val="99"/>
    <w:pPr>
      <w:ind w:firstLine="420" w:firstLineChars="200"/>
    </w:pPr>
  </w:style>
  <w:style w:type="table" w:styleId="55">
    <w:name w:val="Table Grid"/>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i/>
      <w:iCs/>
    </w:rPr>
  </w:style>
  <w:style w:type="character" w:styleId="61">
    <w:name w:val="Hyperlink"/>
    <w:qFormat/>
    <w:uiPriority w:val="99"/>
    <w:rPr>
      <w:color w:val="0000FF"/>
      <w:u w:val="single"/>
    </w:rPr>
  </w:style>
  <w:style w:type="character" w:styleId="62">
    <w:name w:val="annotation reference"/>
    <w:qFormat/>
    <w:uiPriority w:val="0"/>
    <w:rPr>
      <w:sz w:val="21"/>
    </w:rPr>
  </w:style>
  <w:style w:type="character" w:styleId="63">
    <w:name w:val="footnote reference"/>
    <w:unhideWhenUsed/>
    <w:qFormat/>
    <w:uiPriority w:val="0"/>
    <w:rPr>
      <w:vertAlign w:val="superscript"/>
    </w:rPr>
  </w:style>
  <w:style w:type="character" w:styleId="64">
    <w:name w:val="HTML Sample"/>
    <w:qFormat/>
    <w:uiPriority w:val="0"/>
    <w:rPr>
      <w:rFonts w:hint="default" w:ascii="monospace" w:hAnsi="monospace" w:eastAsia="monospace" w:cs="monospace"/>
      <w:sz w:val="21"/>
      <w:szCs w:val="21"/>
    </w:rPr>
  </w:style>
  <w:style w:type="character" w:customStyle="1" w:styleId="65">
    <w:name w:val="标题 1 字符"/>
    <w:link w:val="3"/>
    <w:qFormat/>
    <w:uiPriority w:val="0"/>
    <w:rPr>
      <w:b/>
      <w:bCs/>
      <w:kern w:val="44"/>
      <w:sz w:val="32"/>
      <w:szCs w:val="44"/>
    </w:rPr>
  </w:style>
  <w:style w:type="character" w:customStyle="1" w:styleId="66">
    <w:name w:val="标题 2 字符"/>
    <w:link w:val="2"/>
    <w:qFormat/>
    <w:uiPriority w:val="0"/>
    <w:rPr>
      <w:rFonts w:ascii="Cambria" w:hAnsi="Cambria" w:eastAsia="宋体" w:cs="Times New Roman"/>
      <w:b/>
      <w:bCs/>
      <w:kern w:val="2"/>
      <w:sz w:val="32"/>
      <w:szCs w:val="32"/>
    </w:rPr>
  </w:style>
  <w:style w:type="character" w:customStyle="1" w:styleId="67">
    <w:name w:val="标题 3 字符"/>
    <w:link w:val="4"/>
    <w:qFormat/>
    <w:uiPriority w:val="0"/>
    <w:rPr>
      <w:rFonts w:ascii="黑体" w:hAnsi="黑体" w:eastAsia="黑体"/>
      <w:bCs/>
      <w:kern w:val="2"/>
      <w:sz w:val="24"/>
      <w:szCs w:val="24"/>
    </w:rPr>
  </w:style>
  <w:style w:type="character" w:customStyle="1" w:styleId="68">
    <w:name w:val="标题 4 字符"/>
    <w:link w:val="5"/>
    <w:qFormat/>
    <w:uiPriority w:val="0"/>
    <w:rPr>
      <w:rFonts w:ascii="Arial" w:hAnsi="Arial" w:eastAsia="黑体"/>
      <w:bCs/>
      <w:kern w:val="2"/>
      <w:sz w:val="21"/>
      <w:szCs w:val="28"/>
    </w:rPr>
  </w:style>
  <w:style w:type="character" w:customStyle="1" w:styleId="69">
    <w:name w:val="标题 5 字符"/>
    <w:link w:val="6"/>
    <w:qFormat/>
    <w:uiPriority w:val="0"/>
    <w:rPr>
      <w:rFonts w:ascii="Calibri" w:hAnsi="Calibri"/>
      <w:b/>
      <w:bCs/>
      <w:kern w:val="2"/>
      <w:sz w:val="28"/>
      <w:szCs w:val="28"/>
    </w:rPr>
  </w:style>
  <w:style w:type="character" w:customStyle="1" w:styleId="70">
    <w:name w:val="标题 6 字符"/>
    <w:link w:val="7"/>
    <w:qFormat/>
    <w:uiPriority w:val="0"/>
    <w:rPr>
      <w:b/>
      <w:bCs/>
      <w:kern w:val="2"/>
      <w:sz w:val="30"/>
      <w:szCs w:val="18"/>
    </w:rPr>
  </w:style>
  <w:style w:type="character" w:customStyle="1" w:styleId="71">
    <w:name w:val="标题 7 字符"/>
    <w:link w:val="8"/>
    <w:qFormat/>
    <w:uiPriority w:val="0"/>
    <w:rPr>
      <w:b/>
      <w:bCs/>
      <w:kern w:val="2"/>
      <w:sz w:val="30"/>
      <w:szCs w:val="18"/>
    </w:rPr>
  </w:style>
  <w:style w:type="character" w:customStyle="1" w:styleId="72">
    <w:name w:val="标题 8 字符"/>
    <w:link w:val="9"/>
    <w:qFormat/>
    <w:uiPriority w:val="0"/>
    <w:rPr>
      <w:rFonts w:ascii="宋体" w:hAnsi="宋体" w:eastAsia="黑体"/>
      <w:kern w:val="2"/>
      <w:sz w:val="32"/>
      <w:szCs w:val="32"/>
    </w:rPr>
  </w:style>
  <w:style w:type="character" w:customStyle="1" w:styleId="73">
    <w:name w:val="标题 9 字符"/>
    <w:link w:val="10"/>
    <w:qFormat/>
    <w:uiPriority w:val="0"/>
    <w:rPr>
      <w:rFonts w:ascii="Cambria" w:hAnsi="Cambria"/>
      <w:kern w:val="2"/>
      <w:sz w:val="21"/>
      <w:szCs w:val="21"/>
    </w:rPr>
  </w:style>
  <w:style w:type="character" w:customStyle="1" w:styleId="74">
    <w:name w:val="文档结构图 字符"/>
    <w:link w:val="15"/>
    <w:qFormat/>
    <w:uiPriority w:val="0"/>
    <w:rPr>
      <w:rFonts w:ascii="Calibri" w:hAnsi="Calibri"/>
      <w:bCs/>
      <w:kern w:val="2"/>
      <w:sz w:val="21"/>
      <w:szCs w:val="32"/>
      <w:shd w:val="clear" w:color="auto" w:fill="000080"/>
    </w:rPr>
  </w:style>
  <w:style w:type="character" w:customStyle="1" w:styleId="75">
    <w:name w:val="批注文字 字符"/>
    <w:link w:val="16"/>
    <w:qFormat/>
    <w:uiPriority w:val="0"/>
    <w:rPr>
      <w:sz w:val="24"/>
    </w:rPr>
  </w:style>
  <w:style w:type="character" w:customStyle="1" w:styleId="76">
    <w:name w:val="称呼 字符"/>
    <w:link w:val="17"/>
    <w:qFormat/>
    <w:uiPriority w:val="0"/>
    <w:rPr>
      <w:rFonts w:ascii="仿宋_GB2312" w:eastAsia="仿宋_GB2312"/>
      <w:kern w:val="2"/>
      <w:sz w:val="28"/>
    </w:rPr>
  </w:style>
  <w:style w:type="character" w:customStyle="1" w:styleId="77">
    <w:name w:val="正文文本 3 字符"/>
    <w:link w:val="18"/>
    <w:qFormat/>
    <w:uiPriority w:val="0"/>
    <w:rPr>
      <w:rFonts w:ascii="仿宋_GB2312" w:hAnsi="宋体" w:eastAsia="仿宋_GB2312"/>
      <w:bCs/>
      <w:color w:val="000000"/>
      <w:kern w:val="2"/>
      <w:sz w:val="24"/>
      <w:szCs w:val="32"/>
    </w:rPr>
  </w:style>
  <w:style w:type="character" w:customStyle="1" w:styleId="78">
    <w:name w:val="正文文本 字符"/>
    <w:link w:val="19"/>
    <w:qFormat/>
    <w:uiPriority w:val="0"/>
    <w:rPr>
      <w:kern w:val="2"/>
      <w:sz w:val="21"/>
      <w:szCs w:val="24"/>
    </w:rPr>
  </w:style>
  <w:style w:type="character" w:customStyle="1" w:styleId="79">
    <w:name w:val="正文文本缩进 字符"/>
    <w:link w:val="20"/>
    <w:qFormat/>
    <w:uiPriority w:val="0"/>
    <w:rPr>
      <w:rFonts w:ascii="宋体" w:hAnsi="宋体"/>
      <w:bCs/>
      <w:kern w:val="2"/>
      <w:sz w:val="28"/>
      <w:szCs w:val="32"/>
    </w:rPr>
  </w:style>
  <w:style w:type="character" w:customStyle="1" w:styleId="80">
    <w:name w:val="纯文本 字符"/>
    <w:link w:val="27"/>
    <w:qFormat/>
    <w:uiPriority w:val="0"/>
    <w:rPr>
      <w:rFonts w:ascii="Courier New" w:hAnsi="Courier New"/>
      <w:kern w:val="2"/>
      <w:sz w:val="21"/>
    </w:rPr>
  </w:style>
  <w:style w:type="character" w:customStyle="1" w:styleId="81">
    <w:name w:val="日期 字符"/>
    <w:link w:val="29"/>
    <w:qFormat/>
    <w:uiPriority w:val="0"/>
    <w:rPr>
      <w:kern w:val="2"/>
      <w:sz w:val="21"/>
      <w:szCs w:val="24"/>
    </w:rPr>
  </w:style>
  <w:style w:type="character" w:customStyle="1" w:styleId="82">
    <w:name w:val="正文文本缩进 2 字符"/>
    <w:link w:val="30"/>
    <w:qFormat/>
    <w:uiPriority w:val="0"/>
    <w:rPr>
      <w:rFonts w:ascii="宋体" w:hAnsi="MS Sans Serif"/>
      <w:bCs/>
      <w:spacing w:val="12"/>
      <w:sz w:val="24"/>
    </w:rPr>
  </w:style>
  <w:style w:type="character" w:customStyle="1" w:styleId="83">
    <w:name w:val="批注框文本 字符"/>
    <w:link w:val="31"/>
    <w:qFormat/>
    <w:uiPriority w:val="0"/>
    <w:rPr>
      <w:kern w:val="2"/>
      <w:sz w:val="18"/>
    </w:rPr>
  </w:style>
  <w:style w:type="character" w:customStyle="1" w:styleId="84">
    <w:name w:val="页脚 字符"/>
    <w:link w:val="32"/>
    <w:qFormat/>
    <w:uiPriority w:val="99"/>
    <w:rPr>
      <w:kern w:val="2"/>
      <w:sz w:val="18"/>
      <w:szCs w:val="18"/>
    </w:rPr>
  </w:style>
  <w:style w:type="character" w:customStyle="1" w:styleId="85">
    <w:name w:val="页眉 字符"/>
    <w:link w:val="34"/>
    <w:qFormat/>
    <w:uiPriority w:val="0"/>
    <w:rPr>
      <w:kern w:val="2"/>
      <w:sz w:val="18"/>
      <w:szCs w:val="18"/>
    </w:rPr>
  </w:style>
  <w:style w:type="character" w:customStyle="1" w:styleId="86">
    <w:name w:val="副标题 字符"/>
    <w:link w:val="40"/>
    <w:qFormat/>
    <w:uiPriority w:val="0"/>
    <w:rPr>
      <w:rFonts w:ascii="Arial" w:hAnsi="Arial"/>
      <w:b/>
      <w:bCs/>
      <w:kern w:val="28"/>
      <w:sz w:val="32"/>
      <w:szCs w:val="32"/>
    </w:rPr>
  </w:style>
  <w:style w:type="character" w:customStyle="1" w:styleId="87">
    <w:name w:val="脚注文本 字符"/>
    <w:link w:val="42"/>
    <w:qFormat/>
    <w:uiPriority w:val="0"/>
    <w:rPr>
      <w:kern w:val="2"/>
      <w:sz w:val="18"/>
      <w:szCs w:val="18"/>
    </w:rPr>
  </w:style>
  <w:style w:type="character" w:customStyle="1" w:styleId="88">
    <w:name w:val="正文文本缩进 3 字符"/>
    <w:link w:val="44"/>
    <w:qFormat/>
    <w:uiPriority w:val="0"/>
    <w:rPr>
      <w:rFonts w:ascii="宋体" w:hAnsi="MS Sans Serif"/>
      <w:bCs/>
      <w:color w:val="000000"/>
      <w:sz w:val="24"/>
    </w:rPr>
  </w:style>
  <w:style w:type="character" w:customStyle="1" w:styleId="89">
    <w:name w:val="正文文本 2 字符"/>
    <w:link w:val="47"/>
    <w:qFormat/>
    <w:uiPriority w:val="0"/>
    <w:rPr>
      <w:rFonts w:ascii="宋体"/>
      <w:spacing w:val="-20"/>
      <w:kern w:val="2"/>
      <w:sz w:val="28"/>
    </w:rPr>
  </w:style>
  <w:style w:type="character" w:customStyle="1" w:styleId="90">
    <w:name w:val="标题 字符"/>
    <w:link w:val="51"/>
    <w:qFormat/>
    <w:uiPriority w:val="0"/>
    <w:rPr>
      <w:rFonts w:ascii="宋体" w:hAnsi="宋体" w:eastAsia="黑体"/>
      <w:b/>
      <w:smallCaps/>
      <w:snapToGrid w:val="0"/>
      <w:kern w:val="2"/>
      <w:sz w:val="44"/>
      <w:szCs w:val="24"/>
    </w:rPr>
  </w:style>
  <w:style w:type="character" w:customStyle="1" w:styleId="91">
    <w:name w:val="批注主题 字符"/>
    <w:link w:val="52"/>
    <w:qFormat/>
    <w:uiPriority w:val="0"/>
  </w:style>
  <w:style w:type="character" w:customStyle="1" w:styleId="92">
    <w:name w:val="t_tag"/>
    <w:qFormat/>
    <w:uiPriority w:val="0"/>
  </w:style>
  <w:style w:type="character" w:customStyle="1" w:styleId="93">
    <w:name w:val="正文文本 (2)_"/>
    <w:link w:val="94"/>
    <w:qFormat/>
    <w:locked/>
    <w:uiPriority w:val="99"/>
    <w:rPr>
      <w:rFonts w:ascii="MingLiU" w:eastAsia="MingLiU" w:cs="MingLiU"/>
      <w:spacing w:val="20"/>
      <w:sz w:val="22"/>
      <w:shd w:val="clear" w:color="auto" w:fill="FFFFFF"/>
    </w:rPr>
  </w:style>
  <w:style w:type="paragraph" w:customStyle="1" w:styleId="94">
    <w:name w:val="正文文本 (2)1"/>
    <w:basedOn w:val="1"/>
    <w:link w:val="93"/>
    <w:qFormat/>
    <w:uiPriority w:val="99"/>
    <w:pPr>
      <w:shd w:val="clear" w:color="auto" w:fill="FFFFFF"/>
      <w:spacing w:before="300" w:line="439" w:lineRule="exact"/>
      <w:jc w:val="distribute"/>
    </w:pPr>
    <w:rPr>
      <w:rFonts w:ascii="MingLiU" w:eastAsia="MingLiU"/>
      <w:spacing w:val="20"/>
      <w:kern w:val="0"/>
      <w:sz w:val="22"/>
      <w:szCs w:val="20"/>
    </w:rPr>
  </w:style>
  <w:style w:type="character" w:customStyle="1" w:styleId="95">
    <w:name w:val="文档结构图 Char1"/>
    <w:qFormat/>
    <w:uiPriority w:val="0"/>
    <w:rPr>
      <w:rFonts w:ascii="宋体"/>
      <w:kern w:val="2"/>
      <w:sz w:val="18"/>
      <w:szCs w:val="18"/>
    </w:rPr>
  </w:style>
  <w:style w:type="character" w:customStyle="1" w:styleId="96">
    <w:name w:val="标题 2 Char_0"/>
    <w:link w:val="97"/>
    <w:qFormat/>
    <w:uiPriority w:val="0"/>
    <w:rPr>
      <w:rFonts w:ascii="黑体" w:hAnsi="宋体" w:eastAsia="黑体"/>
      <w:b/>
      <w:smallCaps/>
      <w:snapToGrid w:val="0"/>
      <w:sz w:val="36"/>
      <w:szCs w:val="24"/>
    </w:rPr>
  </w:style>
  <w:style w:type="paragraph" w:customStyle="1" w:styleId="97">
    <w:name w:val="标题 2_0"/>
    <w:basedOn w:val="98"/>
    <w:next w:val="99"/>
    <w:link w:val="96"/>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标题5 Char Char"/>
    <w:link w:val="101"/>
    <w:qFormat/>
    <w:uiPriority w:val="0"/>
    <w:rPr>
      <w:rFonts w:ascii="Arial" w:hAnsi="Arial"/>
      <w:b/>
      <w:bCs/>
      <w:sz w:val="24"/>
      <w:szCs w:val="32"/>
    </w:rPr>
  </w:style>
  <w:style w:type="paragraph" w:customStyle="1" w:styleId="101">
    <w:name w:val="标题5"/>
    <w:basedOn w:val="4"/>
    <w:link w:val="100"/>
    <w:qFormat/>
    <w:uiPriority w:val="0"/>
    <w:pPr>
      <w:spacing w:before="260" w:after="260" w:line="413" w:lineRule="auto"/>
    </w:pPr>
    <w:rPr>
      <w:rFonts w:ascii="Arial" w:hAnsi="Arial" w:eastAsia="宋体"/>
      <w:b/>
      <w:kern w:val="0"/>
      <w:szCs w:val="32"/>
    </w:rPr>
  </w:style>
  <w:style w:type="character" w:customStyle="1" w:styleId="102">
    <w:name w:val="日期 Char2"/>
    <w:semiHidden/>
    <w:qFormat/>
    <w:uiPriority w:val="99"/>
    <w:rPr>
      <w:kern w:val="2"/>
      <w:sz w:val="21"/>
      <w:szCs w:val="22"/>
    </w:rPr>
  </w:style>
  <w:style w:type="character" w:customStyle="1" w:styleId="103">
    <w:name w:val="_Style 102"/>
    <w:qFormat/>
    <w:uiPriority w:val="0"/>
    <w:rPr>
      <w:b/>
      <w:bCs/>
      <w:i/>
      <w:iCs/>
      <w:color w:val="4F81BD"/>
    </w:rPr>
  </w:style>
  <w:style w:type="character" w:customStyle="1" w:styleId="104">
    <w:name w:val="脚注文本 Char_0"/>
    <w:link w:val="105"/>
    <w:semiHidden/>
    <w:qFormat/>
    <w:uiPriority w:val="0"/>
    <w:rPr>
      <w:sz w:val="18"/>
    </w:rPr>
  </w:style>
  <w:style w:type="paragraph" w:customStyle="1" w:styleId="105">
    <w:name w:val="脚注文本_0"/>
    <w:basedOn w:val="106"/>
    <w:link w:val="104"/>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0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引用 字符"/>
    <w:link w:val="108"/>
    <w:qFormat/>
    <w:uiPriority w:val="0"/>
    <w:rPr>
      <w:i/>
      <w:iCs/>
      <w:color w:val="000000"/>
      <w:kern w:val="2"/>
      <w:sz w:val="21"/>
      <w:szCs w:val="22"/>
    </w:rPr>
  </w:style>
  <w:style w:type="paragraph" w:styleId="108">
    <w:name w:val="Quote"/>
    <w:basedOn w:val="1"/>
    <w:next w:val="1"/>
    <w:link w:val="107"/>
    <w:qFormat/>
    <w:uiPriority w:val="0"/>
    <w:rPr>
      <w:i/>
      <w:iCs/>
      <w:color w:val="000000"/>
      <w:szCs w:val="22"/>
    </w:rPr>
  </w:style>
  <w:style w:type="character" w:customStyle="1" w:styleId="109">
    <w:name w:val="副标题 Char1"/>
    <w:qFormat/>
    <w:uiPriority w:val="11"/>
    <w:rPr>
      <w:rFonts w:ascii="Cambria" w:hAnsi="Cambria" w:cs="Times New Roman"/>
      <w:b/>
      <w:bCs/>
      <w:kern w:val="28"/>
      <w:sz w:val="32"/>
      <w:szCs w:val="32"/>
    </w:rPr>
  </w:style>
  <w:style w:type="character" w:customStyle="1" w:styleId="110">
    <w:name w:val="正文文本 Char1"/>
    <w:qFormat/>
    <w:uiPriority w:val="0"/>
    <w:rPr>
      <w:kern w:val="2"/>
      <w:sz w:val="21"/>
      <w:szCs w:val="22"/>
    </w:rPr>
  </w:style>
  <w:style w:type="character" w:customStyle="1" w:styleId="111">
    <w:name w:val="标题4 Char Char"/>
    <w:link w:val="112"/>
    <w:qFormat/>
    <w:uiPriority w:val="0"/>
    <w:rPr>
      <w:rFonts w:ascii="Arial" w:hAnsi="Arial"/>
      <w:b/>
      <w:bCs/>
      <w:sz w:val="24"/>
      <w:szCs w:val="32"/>
    </w:rPr>
  </w:style>
  <w:style w:type="paragraph" w:customStyle="1" w:styleId="112">
    <w:name w:val="标题4"/>
    <w:basedOn w:val="2"/>
    <w:next w:val="24"/>
    <w:link w:val="111"/>
    <w:qFormat/>
    <w:uiPriority w:val="0"/>
    <w:pPr>
      <w:spacing w:before="0" w:after="0" w:line="413" w:lineRule="auto"/>
    </w:pPr>
    <w:rPr>
      <w:rFonts w:ascii="Arial" w:hAnsi="Arial"/>
      <w:kern w:val="0"/>
      <w:sz w:val="24"/>
    </w:rPr>
  </w:style>
  <w:style w:type="character" w:customStyle="1" w:styleId="113">
    <w:name w:val="ask-title2"/>
    <w:qFormat/>
    <w:uiPriority w:val="0"/>
  </w:style>
  <w:style w:type="character" w:customStyle="1" w:styleId="114">
    <w:name w:val="Blockquote Char_0_1"/>
    <w:link w:val="115"/>
    <w:qFormat/>
    <w:locked/>
    <w:uiPriority w:val="0"/>
    <w:rPr>
      <w:sz w:val="24"/>
    </w:rPr>
  </w:style>
  <w:style w:type="paragraph" w:customStyle="1" w:styleId="115">
    <w:name w:val="Blockquote_0_1"/>
    <w:basedOn w:val="116"/>
    <w:link w:val="114"/>
    <w:qFormat/>
    <w:uiPriority w:val="0"/>
    <w:pPr>
      <w:autoSpaceDE w:val="0"/>
      <w:autoSpaceDN w:val="0"/>
      <w:adjustRightInd w:val="0"/>
      <w:spacing w:before="100" w:after="100"/>
      <w:ind w:left="360" w:right="360"/>
      <w:jc w:val="left"/>
    </w:pPr>
    <w:rPr>
      <w:kern w:val="0"/>
      <w:sz w:val="24"/>
      <w:szCs w:val="20"/>
    </w:rPr>
  </w:style>
  <w:style w:type="paragraph" w:customStyle="1" w:styleId="11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7">
    <w:name w:val="批注主题 Char2"/>
    <w:semiHidden/>
    <w:qFormat/>
    <w:uiPriority w:val="99"/>
    <w:rPr>
      <w:b/>
      <w:bCs/>
      <w:kern w:val="2"/>
      <w:sz w:val="21"/>
      <w:szCs w:val="22"/>
    </w:rPr>
  </w:style>
  <w:style w:type="character" w:customStyle="1" w:styleId="118">
    <w:name w:val="批注框文本 Char2"/>
    <w:semiHidden/>
    <w:qFormat/>
    <w:uiPriority w:val="99"/>
    <w:rPr>
      <w:kern w:val="2"/>
      <w:sz w:val="18"/>
      <w:szCs w:val="18"/>
    </w:rPr>
  </w:style>
  <w:style w:type="character" w:customStyle="1" w:styleId="119">
    <w:name w:val="_Style 118"/>
    <w:qFormat/>
    <w:uiPriority w:val="0"/>
    <w:rPr>
      <w:i/>
      <w:iCs/>
      <w:color w:val="808080"/>
    </w:rPr>
  </w:style>
  <w:style w:type="character" w:customStyle="1" w:styleId="120">
    <w:name w:val="标题 7 Char_0"/>
    <w:link w:val="121"/>
    <w:qFormat/>
    <w:uiPriority w:val="0"/>
    <w:rPr>
      <w:b/>
      <w:bCs/>
      <w:sz w:val="24"/>
      <w:szCs w:val="24"/>
    </w:rPr>
  </w:style>
  <w:style w:type="paragraph" w:customStyle="1" w:styleId="121">
    <w:name w:val="标题 7_0"/>
    <w:basedOn w:val="122"/>
    <w:next w:val="122"/>
    <w:link w:val="120"/>
    <w:qFormat/>
    <w:uiPriority w:val="0"/>
    <w:pPr>
      <w:keepNext/>
      <w:keepLines/>
      <w:widowControl/>
      <w:numPr>
        <w:ilvl w:val="6"/>
        <w:numId w:val="1"/>
      </w:numPr>
      <w:spacing w:before="240" w:after="64" w:line="320" w:lineRule="auto"/>
      <w:jc w:val="left"/>
      <w:outlineLvl w:val="6"/>
    </w:pPr>
    <w:rPr>
      <w:b/>
      <w:bCs/>
      <w:kern w:val="0"/>
      <w:sz w:val="24"/>
    </w:rPr>
  </w:style>
  <w:style w:type="paragraph" w:customStyle="1" w:styleId="12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正文文本 (2) + 间距 0 pt5"/>
    <w:qFormat/>
    <w:uiPriority w:val="99"/>
    <w:rPr>
      <w:rFonts w:ascii="MingLiU" w:eastAsia="MingLiU" w:cs="MingLiU"/>
      <w:spacing w:val="0"/>
      <w:sz w:val="22"/>
      <w:shd w:val="clear" w:color="auto" w:fill="FFFFFF"/>
    </w:rPr>
  </w:style>
  <w:style w:type="character" w:customStyle="1" w:styleId="124">
    <w:name w:val="明显引用 字符"/>
    <w:link w:val="125"/>
    <w:qFormat/>
    <w:uiPriority w:val="0"/>
    <w:rPr>
      <w:b/>
      <w:bCs/>
      <w:i/>
      <w:iCs/>
      <w:color w:val="4F81BD"/>
      <w:kern w:val="2"/>
      <w:sz w:val="21"/>
      <w:szCs w:val="22"/>
    </w:rPr>
  </w:style>
  <w:style w:type="paragraph" w:styleId="125">
    <w:name w:val="Intense Quote"/>
    <w:basedOn w:val="1"/>
    <w:next w:val="1"/>
    <w:link w:val="124"/>
    <w:qFormat/>
    <w:uiPriority w:val="0"/>
    <w:pPr>
      <w:pBdr>
        <w:bottom w:val="single" w:color="4F81BD" w:sz="4" w:space="4"/>
      </w:pBdr>
      <w:spacing w:before="200" w:after="280"/>
      <w:ind w:left="936" w:right="936"/>
    </w:pPr>
    <w:rPr>
      <w:b/>
      <w:bCs/>
      <w:i/>
      <w:iCs/>
      <w:color w:val="4F81BD"/>
      <w:szCs w:val="22"/>
    </w:rPr>
  </w:style>
  <w:style w:type="character" w:customStyle="1" w:styleId="126">
    <w:name w:val="标题 6 Char1"/>
    <w:semiHidden/>
    <w:qFormat/>
    <w:uiPriority w:val="0"/>
    <w:rPr>
      <w:rFonts w:ascii="Cambria" w:hAnsi="Cambria" w:eastAsia="宋体"/>
      <w:b/>
      <w:kern w:val="2"/>
      <w:sz w:val="24"/>
      <w:szCs w:val="24"/>
    </w:rPr>
  </w:style>
  <w:style w:type="character" w:customStyle="1" w:styleId="127">
    <w:name w:val="正文2 Char"/>
    <w:link w:val="128"/>
    <w:qFormat/>
    <w:uiPriority w:val="0"/>
    <w:rPr>
      <w:rFonts w:ascii="楷体" w:eastAsia="楷体"/>
      <w:b/>
      <w:color w:val="0000FF"/>
      <w:kern w:val="2"/>
      <w:sz w:val="21"/>
      <w:szCs w:val="22"/>
      <w:lang w:val="en-US" w:eastAsia="zh-CN" w:bidi="ar-SA"/>
    </w:rPr>
  </w:style>
  <w:style w:type="paragraph" w:customStyle="1" w:styleId="128">
    <w:name w:val="正文2"/>
    <w:link w:val="127"/>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29">
    <w:name w:val="正文文本 Char_0"/>
    <w:link w:val="130"/>
    <w:qFormat/>
    <w:uiPriority w:val="0"/>
    <w:rPr>
      <w:kern w:val="2"/>
      <w:sz w:val="21"/>
      <w:szCs w:val="24"/>
    </w:rPr>
  </w:style>
  <w:style w:type="paragraph" w:customStyle="1" w:styleId="130">
    <w:name w:val="正文文本_0"/>
    <w:basedOn w:val="122"/>
    <w:link w:val="129"/>
    <w:qFormat/>
    <w:uiPriority w:val="0"/>
    <w:pPr>
      <w:spacing w:after="120"/>
    </w:pPr>
  </w:style>
  <w:style w:type="character" w:customStyle="1" w:styleId="131">
    <w:name w:val="批注文字 Char Char"/>
    <w:qFormat/>
    <w:uiPriority w:val="0"/>
    <w:rPr>
      <w:rFonts w:ascii="宋体" w:hAnsi="Times New Roman" w:eastAsia="宋体" w:cs="Times New Roman"/>
      <w:sz w:val="28"/>
      <w:szCs w:val="20"/>
    </w:rPr>
  </w:style>
  <w:style w:type="character" w:customStyle="1" w:styleId="132">
    <w:name w:val="textcontents"/>
    <w:qFormat/>
    <w:uiPriority w:val="0"/>
    <w:rPr>
      <w:rFonts w:cs="Times New Roman"/>
    </w:rPr>
  </w:style>
  <w:style w:type="character" w:customStyle="1" w:styleId="133">
    <w:name w:val="_Style 132"/>
    <w:qFormat/>
    <w:uiPriority w:val="0"/>
    <w:rPr>
      <w:b/>
      <w:bCs/>
      <w:smallCaps/>
      <w:spacing w:val="5"/>
    </w:rPr>
  </w:style>
  <w:style w:type="character" w:customStyle="1" w:styleId="134">
    <w:name w:val="_Style 133"/>
    <w:qFormat/>
    <w:uiPriority w:val="0"/>
    <w:rPr>
      <w:smallCaps/>
      <w:color w:val="C0504D"/>
      <w:u w:val="single"/>
    </w:rPr>
  </w:style>
  <w:style w:type="character" w:customStyle="1" w:styleId="135">
    <w:name w:val="纯文本 Char"/>
    <w:qFormat/>
    <w:uiPriority w:val="0"/>
    <w:rPr>
      <w:rFonts w:ascii="宋体" w:hAnsi="Courier New" w:cs="Courier New"/>
      <w:kern w:val="2"/>
      <w:sz w:val="21"/>
      <w:szCs w:val="21"/>
    </w:rPr>
  </w:style>
  <w:style w:type="character" w:customStyle="1" w:styleId="136">
    <w:name w:val="标题 9 Char1"/>
    <w:semiHidden/>
    <w:qFormat/>
    <w:uiPriority w:val="0"/>
    <w:rPr>
      <w:rFonts w:ascii="Cambria" w:hAnsi="Cambria" w:eastAsia="宋体"/>
      <w:kern w:val="2"/>
      <w:sz w:val="21"/>
      <w:szCs w:val="21"/>
    </w:rPr>
  </w:style>
  <w:style w:type="character" w:customStyle="1" w:styleId="137">
    <w:name w:val="标题 9 Char_0"/>
    <w:link w:val="138"/>
    <w:qFormat/>
    <w:uiPriority w:val="0"/>
    <w:rPr>
      <w:rFonts w:ascii="Arial" w:hAnsi="Arial" w:eastAsia="黑体"/>
      <w:sz w:val="21"/>
      <w:szCs w:val="21"/>
    </w:rPr>
  </w:style>
  <w:style w:type="paragraph" w:customStyle="1" w:styleId="138">
    <w:name w:val="标题 9_0"/>
    <w:basedOn w:val="122"/>
    <w:next w:val="122"/>
    <w:link w:val="13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39">
    <w:name w:val="标题 7 Char1"/>
    <w:semiHidden/>
    <w:qFormat/>
    <w:uiPriority w:val="0"/>
    <w:rPr>
      <w:rFonts w:ascii="Calibri" w:hAnsi="Calibri" w:eastAsia="宋体"/>
      <w:b/>
      <w:kern w:val="2"/>
      <w:sz w:val="24"/>
      <w:szCs w:val="24"/>
    </w:rPr>
  </w:style>
  <w:style w:type="character" w:customStyle="1" w:styleId="140">
    <w:name w:val="引用 Char1"/>
    <w:qFormat/>
    <w:uiPriority w:val="29"/>
    <w:rPr>
      <w:i/>
      <w:iCs/>
      <w:color w:val="000000"/>
      <w:kern w:val="2"/>
      <w:sz w:val="21"/>
      <w:szCs w:val="24"/>
    </w:rPr>
  </w:style>
  <w:style w:type="character" w:customStyle="1" w:styleId="141">
    <w:name w:val="标题 Char1"/>
    <w:qFormat/>
    <w:uiPriority w:val="10"/>
    <w:rPr>
      <w:rFonts w:ascii="Cambria" w:hAnsi="Cambria" w:cs="Times New Roman"/>
      <w:b/>
      <w:bCs/>
      <w:kern w:val="2"/>
      <w:sz w:val="32"/>
      <w:szCs w:val="32"/>
    </w:rPr>
  </w:style>
  <w:style w:type="character" w:customStyle="1" w:styleId="142">
    <w:name w:val="批注框文本 Char1"/>
    <w:qFormat/>
    <w:uiPriority w:val="0"/>
    <w:rPr>
      <w:kern w:val="2"/>
      <w:sz w:val="18"/>
      <w:szCs w:val="18"/>
    </w:rPr>
  </w:style>
  <w:style w:type="character" w:customStyle="1" w:styleId="143">
    <w:name w:val="标题 5 Char1"/>
    <w:semiHidden/>
    <w:qFormat/>
    <w:uiPriority w:val="0"/>
    <w:rPr>
      <w:rFonts w:ascii="Calibri" w:hAnsi="Calibri" w:eastAsia="宋体"/>
      <w:b/>
      <w:kern w:val="2"/>
      <w:sz w:val="28"/>
      <w:szCs w:val="28"/>
    </w:rPr>
  </w:style>
  <w:style w:type="character" w:customStyle="1" w:styleId="144">
    <w:name w:val="批注主题 Char1"/>
    <w:qFormat/>
    <w:uiPriority w:val="0"/>
    <w:rPr>
      <w:b/>
      <w:bCs/>
      <w:kern w:val="2"/>
      <w:sz w:val="21"/>
      <w:szCs w:val="24"/>
    </w:rPr>
  </w:style>
  <w:style w:type="character" w:customStyle="1" w:styleId="145">
    <w:name w:val="普通文字1 Char"/>
    <w:qFormat/>
    <w:uiPriority w:val="99"/>
    <w:rPr>
      <w:rFonts w:ascii="宋体" w:hAnsi="Courier New" w:eastAsia="宋体" w:cs="Courier New"/>
      <w:szCs w:val="21"/>
    </w:rPr>
  </w:style>
  <w:style w:type="character" w:customStyle="1" w:styleId="146">
    <w:name w:val="标题 1 Char_0"/>
    <w:link w:val="147"/>
    <w:qFormat/>
    <w:uiPriority w:val="0"/>
    <w:rPr>
      <w:rFonts w:ascii="黑体" w:eastAsia="黑体"/>
      <w:sz w:val="52"/>
    </w:rPr>
  </w:style>
  <w:style w:type="paragraph" w:customStyle="1" w:styleId="147">
    <w:name w:val="标题 1_0"/>
    <w:basedOn w:val="122"/>
    <w:next w:val="122"/>
    <w:link w:val="146"/>
    <w:qFormat/>
    <w:uiPriority w:val="0"/>
    <w:pPr>
      <w:keepNext/>
      <w:widowControl/>
      <w:numPr>
        <w:ilvl w:val="0"/>
        <w:numId w:val="1"/>
      </w:numPr>
      <w:jc w:val="center"/>
      <w:outlineLvl w:val="0"/>
    </w:pPr>
    <w:rPr>
      <w:rFonts w:ascii="黑体" w:eastAsia="黑体"/>
      <w:kern w:val="0"/>
      <w:sz w:val="52"/>
      <w:szCs w:val="20"/>
    </w:rPr>
  </w:style>
  <w:style w:type="character" w:customStyle="1" w:styleId="148">
    <w:name w:val="标题 3 Char1"/>
    <w:semiHidden/>
    <w:qFormat/>
    <w:uiPriority w:val="0"/>
    <w:rPr>
      <w:rFonts w:ascii="Calibri" w:hAnsi="Calibri" w:eastAsia="宋体"/>
      <w:b/>
      <w:kern w:val="2"/>
      <w:sz w:val="32"/>
    </w:rPr>
  </w:style>
  <w:style w:type="character" w:customStyle="1" w:styleId="149">
    <w:name w:val="Blockquote Char"/>
    <w:link w:val="150"/>
    <w:qFormat/>
    <w:uiPriority w:val="0"/>
    <w:rPr>
      <w:sz w:val="24"/>
    </w:rPr>
  </w:style>
  <w:style w:type="paragraph" w:customStyle="1" w:styleId="150">
    <w:name w:val="Blockquote"/>
    <w:basedOn w:val="1"/>
    <w:link w:val="149"/>
    <w:qFormat/>
    <w:uiPriority w:val="0"/>
    <w:pPr>
      <w:autoSpaceDE w:val="0"/>
      <w:autoSpaceDN w:val="0"/>
      <w:adjustRightInd w:val="0"/>
      <w:spacing w:before="100" w:after="100"/>
      <w:ind w:left="360" w:right="360"/>
      <w:jc w:val="left"/>
    </w:pPr>
    <w:rPr>
      <w:kern w:val="0"/>
      <w:sz w:val="24"/>
      <w:szCs w:val="20"/>
    </w:rPr>
  </w:style>
  <w:style w:type="character" w:customStyle="1" w:styleId="151">
    <w:name w:val="标题 8 Char1"/>
    <w:semiHidden/>
    <w:qFormat/>
    <w:uiPriority w:val="0"/>
    <w:rPr>
      <w:rFonts w:ascii="Cambria" w:hAnsi="Cambria" w:eastAsia="宋体"/>
      <w:kern w:val="2"/>
      <w:sz w:val="24"/>
      <w:szCs w:val="24"/>
    </w:rPr>
  </w:style>
  <w:style w:type="character" w:customStyle="1" w:styleId="152">
    <w:name w:val="Blockquote Char_0"/>
    <w:link w:val="153"/>
    <w:qFormat/>
    <w:locked/>
    <w:uiPriority w:val="0"/>
    <w:rPr>
      <w:sz w:val="24"/>
    </w:rPr>
  </w:style>
  <w:style w:type="paragraph" w:customStyle="1" w:styleId="153">
    <w:name w:val="Blockquote_0"/>
    <w:basedOn w:val="122"/>
    <w:link w:val="152"/>
    <w:qFormat/>
    <w:uiPriority w:val="0"/>
    <w:pPr>
      <w:autoSpaceDE w:val="0"/>
      <w:autoSpaceDN w:val="0"/>
      <w:adjustRightInd w:val="0"/>
      <w:spacing w:before="100" w:after="100"/>
      <w:ind w:left="360" w:right="360"/>
      <w:jc w:val="left"/>
    </w:pPr>
    <w:rPr>
      <w:kern w:val="0"/>
      <w:sz w:val="24"/>
      <w:szCs w:val="20"/>
    </w:rPr>
  </w:style>
  <w:style w:type="character" w:customStyle="1" w:styleId="154">
    <w:name w:val="纯文本 Char1_0"/>
    <w:link w:val="155"/>
    <w:qFormat/>
    <w:uiPriority w:val="0"/>
    <w:rPr>
      <w:rFonts w:ascii="宋体" w:hAnsi="Courier New"/>
      <w:kern w:val="2"/>
      <w:sz w:val="21"/>
      <w:szCs w:val="21"/>
    </w:rPr>
  </w:style>
  <w:style w:type="paragraph" w:customStyle="1" w:styleId="155">
    <w:name w:val="纯文本_1"/>
    <w:basedOn w:val="156"/>
    <w:link w:val="154"/>
    <w:qFormat/>
    <w:uiPriority w:val="0"/>
    <w:rPr>
      <w:rFonts w:ascii="宋体" w:hAnsi="Courier New"/>
      <w:szCs w:val="21"/>
    </w:rPr>
  </w:style>
  <w:style w:type="paragraph" w:customStyle="1" w:styleId="15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标题 4 Char_0"/>
    <w:link w:val="158"/>
    <w:qFormat/>
    <w:uiPriority w:val="0"/>
    <w:rPr>
      <w:rFonts w:ascii="Arial" w:hAnsi="Arial" w:eastAsia="黑体"/>
      <w:sz w:val="28"/>
    </w:rPr>
  </w:style>
  <w:style w:type="paragraph" w:customStyle="1" w:styleId="158">
    <w:name w:val="标题 4_0"/>
    <w:basedOn w:val="122"/>
    <w:next w:val="122"/>
    <w:link w:val="157"/>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5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160">
    <w:name w:val="正文文本 Char2"/>
    <w:semiHidden/>
    <w:qFormat/>
    <w:uiPriority w:val="99"/>
    <w:rPr>
      <w:kern w:val="2"/>
      <w:sz w:val="21"/>
      <w:szCs w:val="22"/>
    </w:rPr>
  </w:style>
  <w:style w:type="character" w:customStyle="1" w:styleId="161">
    <w:name w:val="批注文字 Char1"/>
    <w:qFormat/>
    <w:uiPriority w:val="99"/>
    <w:rPr>
      <w:kern w:val="2"/>
      <w:sz w:val="21"/>
      <w:szCs w:val="24"/>
    </w:rPr>
  </w:style>
  <w:style w:type="character" w:customStyle="1" w:styleId="162">
    <w:name w:val="日期 Char1"/>
    <w:qFormat/>
    <w:uiPriority w:val="0"/>
    <w:rPr>
      <w:kern w:val="2"/>
      <w:sz w:val="21"/>
      <w:szCs w:val="22"/>
    </w:rPr>
  </w:style>
  <w:style w:type="character" w:customStyle="1" w:styleId="163">
    <w:name w:val="文档结构图 Char2"/>
    <w:semiHidden/>
    <w:qFormat/>
    <w:uiPriority w:val="99"/>
    <w:rPr>
      <w:rFonts w:ascii="宋体"/>
      <w:kern w:val="2"/>
      <w:sz w:val="18"/>
      <w:szCs w:val="18"/>
    </w:rPr>
  </w:style>
  <w:style w:type="character" w:customStyle="1" w:styleId="164">
    <w:name w:val="Texte Char1"/>
    <w:link w:val="165"/>
    <w:qFormat/>
    <w:uiPriority w:val="99"/>
    <w:rPr>
      <w:rFonts w:ascii="宋体" w:hAnsi="Courier New"/>
      <w:kern w:val="2"/>
      <w:sz w:val="21"/>
      <w:szCs w:val="21"/>
    </w:rPr>
  </w:style>
  <w:style w:type="paragraph" w:customStyle="1" w:styleId="165">
    <w:name w:val="纯文本_0"/>
    <w:basedOn w:val="99"/>
    <w:link w:val="164"/>
    <w:qFormat/>
    <w:uiPriority w:val="99"/>
    <w:rPr>
      <w:rFonts w:ascii="宋体" w:hAnsi="Courier New"/>
      <w:szCs w:val="21"/>
    </w:rPr>
  </w:style>
  <w:style w:type="character" w:customStyle="1" w:styleId="166">
    <w:name w:val="页脚 Char1"/>
    <w:semiHidden/>
    <w:qFormat/>
    <w:uiPriority w:val="99"/>
    <w:rPr>
      <w:kern w:val="2"/>
      <w:sz w:val="18"/>
      <w:szCs w:val="18"/>
    </w:rPr>
  </w:style>
  <w:style w:type="character" w:customStyle="1" w:styleId="167">
    <w:name w:val="页眉 Char1"/>
    <w:semiHidden/>
    <w:qFormat/>
    <w:uiPriority w:val="99"/>
    <w:rPr>
      <w:kern w:val="2"/>
      <w:sz w:val="18"/>
      <w:szCs w:val="18"/>
    </w:rPr>
  </w:style>
  <w:style w:type="character" w:customStyle="1" w:styleId="168">
    <w:name w:val="纯文本 Char1_1"/>
    <w:link w:val="169"/>
    <w:qFormat/>
    <w:uiPriority w:val="0"/>
    <w:rPr>
      <w:rFonts w:ascii="宋体" w:hAnsi="Courier New"/>
      <w:kern w:val="2"/>
      <w:sz w:val="21"/>
      <w:szCs w:val="21"/>
    </w:rPr>
  </w:style>
  <w:style w:type="paragraph" w:customStyle="1" w:styleId="169">
    <w:name w:val="纯文本_2"/>
    <w:basedOn w:val="122"/>
    <w:link w:val="168"/>
    <w:qFormat/>
    <w:uiPriority w:val="0"/>
    <w:rPr>
      <w:rFonts w:ascii="宋体" w:hAnsi="Courier New"/>
      <w:szCs w:val="21"/>
    </w:rPr>
  </w:style>
  <w:style w:type="character" w:customStyle="1" w:styleId="170">
    <w:name w:val="标题 8 Char_0"/>
    <w:link w:val="171"/>
    <w:qFormat/>
    <w:uiPriority w:val="0"/>
    <w:rPr>
      <w:rFonts w:ascii="Arial" w:hAnsi="Arial" w:eastAsia="黑体"/>
      <w:sz w:val="24"/>
      <w:szCs w:val="24"/>
    </w:rPr>
  </w:style>
  <w:style w:type="paragraph" w:customStyle="1" w:styleId="171">
    <w:name w:val="标题 8_0"/>
    <w:basedOn w:val="122"/>
    <w:next w:val="122"/>
    <w:link w:val="17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72">
    <w:name w:val="标题 4 Char1"/>
    <w:semiHidden/>
    <w:qFormat/>
    <w:uiPriority w:val="0"/>
    <w:rPr>
      <w:rFonts w:ascii="Cambria" w:hAnsi="Cambria" w:eastAsia="宋体"/>
      <w:b/>
      <w:kern w:val="2"/>
      <w:sz w:val="28"/>
      <w:szCs w:val="28"/>
    </w:rPr>
  </w:style>
  <w:style w:type="character" w:customStyle="1" w:styleId="173">
    <w:name w:val="明显引用 Char1"/>
    <w:qFormat/>
    <w:uiPriority w:val="30"/>
    <w:rPr>
      <w:b/>
      <w:bCs/>
      <w:i/>
      <w:iCs/>
      <w:color w:val="4F81BD"/>
      <w:kern w:val="2"/>
      <w:sz w:val="21"/>
      <w:szCs w:val="24"/>
    </w:rPr>
  </w:style>
  <w:style w:type="character" w:customStyle="1" w:styleId="174">
    <w:name w:val="标题 1 Char1"/>
    <w:qFormat/>
    <w:uiPriority w:val="0"/>
    <w:rPr>
      <w:rFonts w:ascii="Calibri" w:hAnsi="Calibri" w:eastAsia="宋体"/>
      <w:b/>
      <w:kern w:val="44"/>
      <w:sz w:val="44"/>
      <w:szCs w:val="44"/>
    </w:rPr>
  </w:style>
  <w:style w:type="character" w:customStyle="1" w:styleId="175">
    <w:name w:val="_Style 174"/>
    <w:qFormat/>
    <w:uiPriority w:val="0"/>
    <w:rPr>
      <w:b/>
      <w:bCs/>
      <w:smallCaps/>
      <w:color w:val="C0504D"/>
      <w:spacing w:val="5"/>
      <w:u w:val="single"/>
    </w:rPr>
  </w:style>
  <w:style w:type="character" w:customStyle="1" w:styleId="176">
    <w:name w:val=" Char Char"/>
    <w:qFormat/>
    <w:uiPriority w:val="0"/>
    <w:rPr>
      <w:rFonts w:ascii="宋体" w:hAnsi="Courier New" w:eastAsia="宋体" w:cs="Courier New"/>
      <w:kern w:val="2"/>
      <w:sz w:val="21"/>
      <w:szCs w:val="21"/>
      <w:lang w:val="en-US" w:eastAsia="zh-CN" w:bidi="ar-SA"/>
    </w:rPr>
  </w:style>
  <w:style w:type="character" w:customStyle="1" w:styleId="177">
    <w:name w:val="标题 3 Char_0"/>
    <w:link w:val="178"/>
    <w:qFormat/>
    <w:uiPriority w:val="0"/>
    <w:rPr>
      <w:b/>
      <w:sz w:val="32"/>
    </w:rPr>
  </w:style>
  <w:style w:type="paragraph" w:customStyle="1" w:styleId="178">
    <w:name w:val="标题 3_0"/>
    <w:basedOn w:val="122"/>
    <w:next w:val="179"/>
    <w:link w:val="177"/>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79">
    <w:name w:val="正文缩进_0"/>
    <w:basedOn w:val="122"/>
    <w:unhideWhenUsed/>
    <w:qFormat/>
    <w:uiPriority w:val="0"/>
    <w:pPr>
      <w:ind w:firstLine="420" w:firstLineChars="200"/>
    </w:pPr>
    <w:rPr>
      <w:rFonts w:ascii="Calibri" w:hAnsi="Calibri"/>
      <w:bCs/>
      <w:szCs w:val="32"/>
    </w:rPr>
  </w:style>
  <w:style w:type="character" w:customStyle="1" w:styleId="180">
    <w:name w:val="tdrownotice1"/>
    <w:qFormat/>
    <w:uiPriority w:val="0"/>
    <w:rPr>
      <w:sz w:val="22"/>
    </w:rPr>
  </w:style>
  <w:style w:type="character" w:customStyle="1" w:styleId="181">
    <w:name w:val="标题 6 Char_0"/>
    <w:link w:val="182"/>
    <w:qFormat/>
    <w:uiPriority w:val="0"/>
    <w:rPr>
      <w:rFonts w:ascii="Arial" w:hAnsi="Arial" w:eastAsia="黑体"/>
      <w:b/>
      <w:bCs/>
      <w:sz w:val="24"/>
      <w:szCs w:val="24"/>
    </w:rPr>
  </w:style>
  <w:style w:type="paragraph" w:customStyle="1" w:styleId="182">
    <w:name w:val="标题 6_0"/>
    <w:basedOn w:val="122"/>
    <w:next w:val="122"/>
    <w:link w:val="18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customStyle="1" w:styleId="183">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1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8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8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0">
    <w:name w:val="font6"/>
    <w:basedOn w:val="1"/>
    <w:qFormat/>
    <w:uiPriority w:val="0"/>
    <w:pPr>
      <w:widowControl/>
      <w:spacing w:before="100" w:beforeAutospacing="1" w:after="100" w:afterAutospacing="1"/>
      <w:jc w:val="left"/>
    </w:pPr>
    <w:rPr>
      <w:kern w:val="0"/>
      <w:sz w:val="18"/>
      <w:szCs w:val="18"/>
    </w:rPr>
  </w:style>
  <w:style w:type="paragraph" w:customStyle="1" w:styleId="19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9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9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98">
    <w:name w:val="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199">
    <w:name w:val="样式 标题 3 + (中文) 黑体 小四 非加粗 段前: 7.8 磅 段后: 0 磅 行距: 固定值 20 磅"/>
    <w:basedOn w:val="4"/>
    <w:qFormat/>
    <w:uiPriority w:val="0"/>
    <w:pPr>
      <w:spacing w:line="400" w:lineRule="exact"/>
    </w:pPr>
    <w:rPr>
      <w:rFonts w:eastAsia="黑体" w:cs="宋体"/>
      <w:b/>
      <w:bCs w:val="0"/>
      <w:szCs w:val="20"/>
    </w:rPr>
  </w:style>
  <w:style w:type="paragraph" w:customStyle="1" w:styleId="200">
    <w:name w:val="Char10 Char Char Char Char Char Char Char Char Char"/>
    <w:basedOn w:val="1"/>
    <w:next w:val="1"/>
    <w:qFormat/>
    <w:uiPriority w:val="0"/>
    <w:rPr>
      <w:rFonts w:ascii="Calibri" w:hAnsi="Calibri"/>
      <w:szCs w:val="22"/>
    </w:rPr>
  </w:style>
  <w:style w:type="paragraph" w:customStyle="1" w:styleId="20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02">
    <w:name w:val="MsoNormal"/>
    <w:basedOn w:val="203"/>
    <w:qFormat/>
    <w:uiPriority w:val="0"/>
    <w:rPr>
      <w:rFonts w:ascii="Calibri" w:hAnsi="Calibri" w:eastAsia="Calibri"/>
      <w:sz w:val="21"/>
    </w:rPr>
  </w:style>
  <w:style w:type="paragraph" w:customStyle="1" w:styleId="203">
    <w:name w:val="Normal_0"/>
    <w:qFormat/>
    <w:uiPriority w:val="0"/>
    <w:rPr>
      <w:rFonts w:ascii="Times New Roman" w:hAnsi="Times New Roman" w:eastAsia="宋体" w:cs="Times New Roman"/>
      <w:sz w:val="24"/>
      <w:szCs w:val="24"/>
      <w:lang w:val="en-US" w:eastAsia="zh-CN" w:bidi="ar-SA"/>
    </w:rPr>
  </w:style>
  <w:style w:type="paragraph" w:customStyle="1" w:styleId="204">
    <w:name w:val="Normal_3"/>
    <w:qFormat/>
    <w:uiPriority w:val="0"/>
    <w:rPr>
      <w:rFonts w:ascii="Times New Roman" w:hAnsi="Times New Roman" w:eastAsia="Times New Roman" w:cs="Times New Roman"/>
      <w:sz w:val="24"/>
      <w:szCs w:val="24"/>
      <w:lang w:bidi="ar-SA"/>
    </w:rPr>
  </w:style>
  <w:style w:type="paragraph" w:customStyle="1" w:styleId="20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Normal_2"/>
    <w:qFormat/>
    <w:uiPriority w:val="0"/>
    <w:rPr>
      <w:rFonts w:ascii="Times New Roman" w:hAnsi="Times New Roman" w:eastAsia="Times New Roman" w:cs="Times New Roman"/>
      <w:sz w:val="24"/>
      <w:szCs w:val="24"/>
      <w:lang w:bidi="ar-SA"/>
    </w:rPr>
  </w:style>
  <w:style w:type="paragraph" w:customStyle="1" w:styleId="20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8">
    <w:name w:val="样式 标题 2 + Times New Roman 四号 非加粗 段前: 5 磅 段后: 0 磅 行距: 固定值 20..."/>
    <w:basedOn w:val="2"/>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09">
    <w:name w:val="Normal_1"/>
    <w:qFormat/>
    <w:uiPriority w:val="0"/>
    <w:rPr>
      <w:rFonts w:ascii="Times New Roman" w:hAnsi="Times New Roman" w:eastAsia="Times New Roman" w:cs="Times New Roman"/>
      <w:sz w:val="24"/>
      <w:szCs w:val="24"/>
      <w:lang w:bidi="ar-SA"/>
    </w:rPr>
  </w:style>
  <w:style w:type="paragraph" w:customStyle="1" w:styleId="210">
    <w:name w:val="样式1"/>
    <w:basedOn w:val="1"/>
    <w:next w:val="5"/>
    <w:qFormat/>
    <w:uiPriority w:val="0"/>
    <w:pPr>
      <w:spacing w:line="360" w:lineRule="auto"/>
      <w:ind w:firstLine="420" w:firstLineChars="200"/>
    </w:pPr>
    <w:rPr>
      <w:rFonts w:ascii="宋体" w:hAnsi="宋体"/>
      <w:szCs w:val="21"/>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12">
    <w:name w:val="A 正文"/>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1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4">
    <w:name w:val=" Char Char Char Char Char Char"/>
    <w:basedOn w:val="1"/>
    <w:qFormat/>
    <w:uiPriority w:val="0"/>
    <w:rPr>
      <w:rFonts w:ascii="Tahoma" w:hAnsi="Tahoma"/>
      <w:sz w:val="24"/>
      <w:szCs w:val="20"/>
    </w:rPr>
  </w:style>
  <w:style w:type="paragraph" w:customStyle="1" w:styleId="2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16">
    <w:name w:val="Table Paragraph"/>
    <w:basedOn w:val="1"/>
    <w:qFormat/>
    <w:uiPriority w:val="1"/>
    <w:pPr>
      <w:jc w:val="left"/>
    </w:pPr>
    <w:rPr>
      <w:rFonts w:ascii="Calibri" w:hAnsi="Calibri"/>
      <w:kern w:val="0"/>
      <w:sz w:val="22"/>
      <w:szCs w:val="22"/>
      <w:lang w:eastAsia="en-US"/>
    </w:rPr>
  </w:style>
  <w:style w:type="paragraph" w:customStyle="1" w:styleId="217">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styleId="218">
    <w:name w:val="List Paragraph"/>
    <w:basedOn w:val="1"/>
    <w:qFormat/>
    <w:uiPriority w:val="34"/>
    <w:pPr>
      <w:ind w:firstLine="420" w:firstLineChars="200"/>
    </w:pPr>
    <w:rPr>
      <w:rFonts w:ascii="Calibri" w:hAnsi="Calibri"/>
      <w:szCs w:val="22"/>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0">
    <w:name w:val="_Style 219"/>
    <w:basedOn w:val="3"/>
    <w:next w:val="1"/>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21">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4">
    <w:name w:val="段落2"/>
    <w:basedOn w:val="1"/>
    <w:qFormat/>
    <w:uiPriority w:val="0"/>
    <w:pPr>
      <w:spacing w:line="360" w:lineRule="auto"/>
      <w:ind w:firstLine="480" w:firstLineChars="200"/>
    </w:pPr>
    <w:rPr>
      <w:rFonts w:ascii="Calibri" w:hAnsi="Calibri" w:cs="Courier New"/>
      <w:sz w:val="24"/>
      <w:szCs w:val="21"/>
    </w:rPr>
  </w:style>
  <w:style w:type="paragraph" w:customStyle="1" w:styleId="2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7">
    <w:name w:val=" 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228">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29">
    <w:name w:val="_Style 228"/>
    <w:qFormat/>
    <w:uiPriority w:val="0"/>
    <w:rPr>
      <w:rFonts w:ascii="Times New Roman" w:hAnsi="Times New Roman" w:eastAsia="宋体" w:cs="Times New Roman"/>
      <w:kern w:val="2"/>
      <w:sz w:val="21"/>
      <w:szCs w:val="24"/>
      <w:lang w:val="en-US" w:eastAsia="zh-CN" w:bidi="ar-SA"/>
    </w:rPr>
  </w:style>
  <w:style w:type="paragraph" w:customStyle="1" w:styleId="230">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简单回函地址"/>
    <w:basedOn w:val="1"/>
    <w:qFormat/>
    <w:uiPriority w:val="0"/>
    <w:rPr>
      <w:rFonts w:ascii="Calibri" w:hAnsi="Calibri"/>
      <w:szCs w:val="22"/>
    </w:rPr>
  </w:style>
  <w:style w:type="paragraph" w:customStyle="1" w:styleId="232">
    <w:name w:val=" Char10 Char Char Char Char Char Char Char Char Char"/>
    <w:basedOn w:val="1"/>
    <w:next w:val="1"/>
    <w:qFormat/>
    <w:uiPriority w:val="0"/>
    <w:rPr>
      <w:rFonts w:ascii="Calibri" w:hAnsi="Calibri"/>
      <w:szCs w:val="22"/>
    </w:rPr>
  </w:style>
  <w:style w:type="paragraph" w:customStyle="1" w:styleId="233">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234">
    <w:name w:val=" Char"/>
    <w:basedOn w:val="1"/>
    <w:qFormat/>
    <w:uiPriority w:val="0"/>
    <w:rPr>
      <w:rFonts w:ascii="Calibri" w:hAnsi="Calibri"/>
      <w:szCs w:val="22"/>
    </w:rPr>
  </w:style>
  <w:style w:type="paragraph" w:customStyle="1" w:styleId="23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6">
    <w:name w:val="目录"/>
    <w:basedOn w:val="1"/>
    <w:qFormat/>
    <w:uiPriority w:val="0"/>
    <w:pPr>
      <w:widowControl/>
      <w:jc w:val="center"/>
    </w:pPr>
    <w:rPr>
      <w:rFonts w:ascii="宋体" w:hAnsi="Calibri"/>
      <w:b/>
      <w:kern w:val="0"/>
      <w:sz w:val="36"/>
      <w:szCs w:val="20"/>
    </w:rPr>
  </w:style>
  <w:style w:type="paragraph" w:customStyle="1" w:styleId="2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9">
    <w:name w:val=" Char Char Char Char Char"/>
    <w:basedOn w:val="1"/>
    <w:qFormat/>
    <w:uiPriority w:val="0"/>
    <w:rPr>
      <w:rFonts w:ascii="Tahoma" w:hAnsi="Tahoma"/>
      <w:sz w:val="24"/>
      <w:szCs w:val="20"/>
    </w:rPr>
  </w:style>
  <w:style w:type="paragraph" w:customStyle="1" w:styleId="240">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241">
    <w:name w:val="范本目录"/>
    <w:basedOn w:val="1"/>
    <w:qFormat/>
    <w:uiPriority w:val="0"/>
    <w:pPr>
      <w:adjustRightInd w:val="0"/>
      <w:snapToGrid w:val="0"/>
      <w:spacing w:before="48" w:beforeLines="20" w:after="48" w:afterLines="20" w:line="540" w:lineRule="exact"/>
      <w:jc w:val="center"/>
    </w:pPr>
    <w:rPr>
      <w:rFonts w:hAnsi="宋体"/>
      <w:b/>
      <w:bCs/>
      <w:sz w:val="36"/>
    </w:rPr>
  </w:style>
  <w:style w:type="paragraph" w:customStyle="1" w:styleId="242">
    <w:name w:val="Char Char Char Char Char Char"/>
    <w:basedOn w:val="1"/>
    <w:qFormat/>
    <w:uiPriority w:val="0"/>
    <w:rPr>
      <w:rFonts w:ascii="Tahoma" w:hAnsi="Tahoma"/>
      <w:sz w:val="24"/>
      <w:szCs w:val="20"/>
    </w:rPr>
  </w:style>
  <w:style w:type="paragraph" w:customStyle="1" w:styleId="243">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4">
    <w:name w:val="目录文字"/>
    <w:basedOn w:val="1"/>
    <w:qFormat/>
    <w:uiPriority w:val="0"/>
    <w:pPr>
      <w:widowControl/>
      <w:spacing w:line="480" w:lineRule="auto"/>
      <w:jc w:val="left"/>
    </w:pPr>
    <w:rPr>
      <w:rFonts w:ascii="宋体" w:hAnsi="宋体"/>
      <w:kern w:val="0"/>
      <w:sz w:val="24"/>
      <w:szCs w:val="20"/>
    </w:rPr>
  </w:style>
  <w:style w:type="paragraph" w:customStyle="1" w:styleId="245">
    <w:name w:val="普通(网站)_0"/>
    <w:basedOn w:val="122"/>
    <w:qFormat/>
    <w:uiPriority w:val="0"/>
    <w:pPr>
      <w:widowControl/>
      <w:spacing w:before="100" w:beforeAutospacing="1" w:after="100" w:afterAutospacing="1"/>
      <w:jc w:val="left"/>
    </w:pPr>
    <w:rPr>
      <w:rFonts w:ascii="宋体" w:hAnsi="宋体"/>
      <w:kern w:val="0"/>
      <w:sz w:val="24"/>
    </w:rPr>
  </w:style>
  <w:style w:type="paragraph" w:customStyle="1" w:styleId="2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47">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paragraph" w:customStyle="1" w:styleId="24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49">
    <w:name w:val="段落1 Char"/>
    <w:basedOn w:val="27"/>
    <w:qFormat/>
    <w:uiPriority w:val="0"/>
    <w:pPr>
      <w:spacing w:line="360" w:lineRule="auto"/>
    </w:pPr>
    <w:rPr>
      <w:rFonts w:ascii="Times New Roman" w:hAnsi="Times New Roman"/>
      <w:sz w:val="24"/>
      <w:szCs w:val="21"/>
    </w:rPr>
  </w:style>
  <w:style w:type="paragraph" w:customStyle="1" w:styleId="250">
    <w:name w:val="Char"/>
    <w:basedOn w:val="1"/>
    <w:next w:val="1"/>
    <w:qFormat/>
    <w:uiPriority w:val="0"/>
    <w:pPr>
      <w:widowControl/>
      <w:spacing w:line="360" w:lineRule="auto"/>
      <w:jc w:val="left"/>
    </w:pPr>
    <w:rPr>
      <w:rFonts w:ascii="Calibri" w:hAnsi="Calibri"/>
      <w:kern w:val="0"/>
      <w:szCs w:val="20"/>
      <w:lang w:eastAsia="en-US"/>
    </w:rPr>
  </w:style>
  <w:style w:type="paragraph" w:customStyle="1" w:styleId="251">
    <w:name w:val="Char Char Char Char Char Char Char1 Char"/>
    <w:basedOn w:val="1"/>
    <w:qFormat/>
    <w:uiPriority w:val="0"/>
    <w:rPr>
      <w:rFonts w:ascii="Tahoma" w:hAnsi="Tahoma"/>
      <w:sz w:val="24"/>
      <w:szCs w:val="20"/>
    </w:rPr>
  </w:style>
  <w:style w:type="paragraph" w:customStyle="1" w:styleId="252">
    <w:name w:val="D&amp;L"/>
    <w:basedOn w:val="34"/>
    <w:qFormat/>
    <w:uiPriority w:val="0"/>
    <w:pPr>
      <w:pBdr>
        <w:bottom w:val="thinThickSmallGap" w:color="auto" w:sz="18" w:space="1"/>
      </w:pBdr>
      <w:adjustRightInd w:val="0"/>
      <w:snapToGrid/>
      <w:spacing w:line="240" w:lineRule="atLeas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72</Pages>
  <Words>28595</Words>
  <Characters>30628</Characters>
  <Lines>391</Lines>
  <Paragraphs>110</Paragraphs>
  <TotalTime>12</TotalTime>
  <ScaleCrop>false</ScaleCrop>
  <LinksUpToDate>false</LinksUpToDate>
  <CharactersWithSpaces>34002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2020-06-11T14:38:00Z</dcterms:created>
  <dc:creator>User</dc:creator>
  <cp:lastModifiedBy>程敏</cp:lastModifiedBy>
  <cp:lastPrinted>2025-09-16T02:42:00Z</cp:lastPrinted>
  <dcterms:modified xsi:type="dcterms:W3CDTF">2025-09-18T05:14:13Z</dcterms:modified>
  <dc:title>第二章  投标人须知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B61F9699085C44728C76D90E04BE2AA1_13</vt:lpwstr>
  </property>
  <property fmtid="{D5CDD505-2E9C-101B-9397-08002B2CF9AE}" pid="4" name="KSOTemplateDocerSaveRecord">
    <vt:lpwstr>eyJoZGlkIjoiMWY5ZWU0YmY3ZTMyN2ViMGE0NTU2NmViNjIyODU4MmYiLCJ1c2VySWQiOiI0MzUyODQ4OTkifQ==</vt:lpwstr>
  </property>
</Properties>
</file>