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3" w:line="210" w:lineRule="auto"/>
        <w:ind w:right="366"/>
        <w:jc w:val="center"/>
        <w:outlineLvl w:val="0"/>
        <w:rPr>
          <w:rFonts w:ascii="宋体" w:hAnsi="宋体" w:eastAsia="宋体" w:cs="宋体"/>
          <w:b/>
          <w:bCs/>
          <w:sz w:val="36"/>
          <w:szCs w:val="36"/>
          <w:highlight w:val="none"/>
        </w:rPr>
      </w:pPr>
      <w:r>
        <w:rPr>
          <w:rFonts w:hint="eastAsia" w:ascii="宋体" w:hAnsi="宋体" w:eastAsia="宋体" w:cs="宋体"/>
          <w:b/>
          <w:bCs/>
          <w:spacing w:val="6"/>
          <w:sz w:val="36"/>
          <w:szCs w:val="36"/>
          <w:highlight w:val="none"/>
          <w:lang w:eastAsia="zh-CN"/>
        </w:rPr>
        <w:t>合肥野生动物园</w:t>
      </w:r>
      <w:r>
        <w:rPr>
          <w:rFonts w:hint="eastAsia" w:ascii="宋体" w:hAnsi="宋体" w:eastAsia="宋体" w:cs="宋体"/>
          <w:b/>
          <w:bCs/>
          <w:spacing w:val="6"/>
          <w:sz w:val="36"/>
          <w:szCs w:val="36"/>
          <w:highlight w:val="none"/>
          <w:lang w:val="en-US" w:eastAsia="zh-CN"/>
        </w:rPr>
        <w:t>东门停车场经营权转让项目</w:t>
      </w:r>
      <w:r>
        <w:rPr>
          <w:rFonts w:hint="eastAsia" w:ascii="宋体" w:hAnsi="宋体" w:eastAsia="宋体" w:cs="宋体"/>
          <w:b/>
          <w:bCs/>
          <w:spacing w:val="3"/>
          <w:sz w:val="36"/>
          <w:szCs w:val="36"/>
          <w:highlight w:val="none"/>
          <w:lang w:eastAsia="zh-CN"/>
        </w:rPr>
        <w:t>招商</w:t>
      </w:r>
      <w:r>
        <w:rPr>
          <w:rFonts w:ascii="宋体" w:hAnsi="宋体" w:eastAsia="宋体" w:cs="宋体"/>
          <w:b/>
          <w:bCs/>
          <w:spacing w:val="3"/>
          <w:sz w:val="36"/>
          <w:szCs w:val="36"/>
          <w:highlight w:val="none"/>
        </w:rPr>
        <w:t>公告</w:t>
      </w:r>
    </w:p>
    <w:tbl>
      <w:tblPr>
        <w:tblStyle w:val="16"/>
        <w:tblW w:w="10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1"/>
        <w:gridCol w:w="1381"/>
        <w:gridCol w:w="1200"/>
        <w:gridCol w:w="1486"/>
        <w:gridCol w:w="1342"/>
        <w:gridCol w:w="1792"/>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4"/>
                <w:highlight w:val="none"/>
              </w:rPr>
              <w:t>项目名称</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spacing w:val="-2"/>
                <w:highlight w:val="none"/>
                <w:lang w:eastAsia="zh-CN"/>
              </w:rPr>
              <w:t>合肥野生动物园</w:t>
            </w:r>
            <w:r>
              <w:rPr>
                <w:rFonts w:hint="eastAsia"/>
                <w:spacing w:val="-2"/>
                <w:highlight w:val="none"/>
                <w:lang w:val="en-US" w:eastAsia="zh-CN"/>
              </w:rPr>
              <w:t>东门停车场</w:t>
            </w:r>
            <w:r>
              <w:rPr>
                <w:rFonts w:hint="eastAsia"/>
                <w:spacing w:val="-2"/>
                <w:highlight w:val="none"/>
                <w:lang w:eastAsia="zh-CN"/>
              </w:rPr>
              <w:t>经营权转让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4"/>
                <w:highlight w:val="none"/>
              </w:rPr>
              <w:t>项目编号</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sz w:val="24"/>
                <w:szCs w:val="24"/>
                <w:vertAlign w:val="baseline"/>
                <w:lang w:val="en-US" w:eastAsia="zh-CN"/>
              </w:rPr>
              <w:t>DWYSG013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eastAsia="宋体"/>
                <w:highlight w:val="none"/>
                <w:lang w:eastAsia="zh-CN"/>
              </w:rPr>
            </w:pPr>
            <w:r>
              <w:rPr>
                <w:rFonts w:hint="eastAsia"/>
                <w:spacing w:val="-3"/>
                <w:highlight w:val="none"/>
                <w:lang w:eastAsia="zh-CN"/>
              </w:rPr>
              <w:t>招商方</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highlight w:val="none"/>
                <w:lang w:val="en-US" w:eastAsia="zh-CN"/>
              </w:rPr>
              <w:t>合肥文旅博览集团野生动物园管理有限公司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2"/>
                <w:highlight w:val="none"/>
                <w:lang w:eastAsia="zh-CN"/>
              </w:rPr>
              <w:t>招商方</w:t>
            </w:r>
            <w:r>
              <w:rPr>
                <w:spacing w:val="-2"/>
                <w:highlight w:val="none"/>
              </w:rPr>
              <w:t>承诺</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highlight w:val="none"/>
              </w:rPr>
            </w:pPr>
            <w:r>
              <w:rPr>
                <w:rFonts w:hint="eastAsia"/>
                <w:spacing w:val="-3"/>
                <w:highlight w:val="none"/>
                <w:lang w:eastAsia="zh-CN"/>
              </w:rPr>
              <w:t>招商方</w:t>
            </w:r>
            <w:r>
              <w:rPr>
                <w:spacing w:val="-3"/>
                <w:highlight w:val="none"/>
              </w:rPr>
              <w:t>承诺本次</w:t>
            </w:r>
            <w:r>
              <w:rPr>
                <w:rFonts w:hint="eastAsia"/>
                <w:spacing w:val="-3"/>
                <w:highlight w:val="none"/>
                <w:lang w:eastAsia="zh-CN"/>
              </w:rPr>
              <w:t>招商</w:t>
            </w:r>
            <w:r>
              <w:rPr>
                <w:spacing w:val="-3"/>
                <w:highlight w:val="none"/>
              </w:rPr>
              <w:t>行为已履行了必要的审批程序，保证本公告的内容不存在任</w:t>
            </w:r>
            <w:r>
              <w:rPr>
                <w:spacing w:val="-7"/>
                <w:highlight w:val="none"/>
              </w:rPr>
              <w:t>何重大遗漏、虚假陈述或严重误导，并对其内容的真实性、完整性和准确性负责。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3"/>
                <w:position w:val="11"/>
                <w:highlight w:val="none"/>
              </w:rPr>
              <w:t>交易监督部</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highlight w:val="none"/>
              </w:rPr>
              <w:t>门</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spacing w:line="240" w:lineRule="auto"/>
              <w:ind w:left="0" w:leftChars="0"/>
              <w:jc w:val="left"/>
              <w:textAlignment w:val="auto"/>
              <w:rPr>
                <w:rFonts w:hint="eastAsia"/>
                <w:spacing w:val="-1"/>
                <w:position w:val="11"/>
                <w:lang w:eastAsia="zh-CN"/>
              </w:rPr>
            </w:pPr>
            <w:r>
              <w:rPr>
                <w:rFonts w:hint="eastAsia"/>
                <w:spacing w:val="-1"/>
                <w:position w:val="11"/>
                <w:lang w:eastAsia="zh-CN"/>
              </w:rPr>
              <w:t>合肥文旅博览集团野生动物园管理有限公司纪检（督查室）</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eastAsia="宋体"/>
                <w:highlight w:val="none"/>
                <w:lang w:val="en-US" w:eastAsia="zh-CN"/>
              </w:rPr>
            </w:pPr>
            <w:r>
              <w:rPr>
                <w:spacing w:val="-1"/>
              </w:rPr>
              <w:t>联系方式：</w:t>
            </w:r>
            <w:r>
              <w:rPr>
                <w:rFonts w:hint="eastAsia" w:hAnsi="宋体"/>
                <w:szCs w:val="24"/>
              </w:rPr>
              <w:t>0551-6</w:t>
            </w:r>
            <w:r>
              <w:rPr>
                <w:rFonts w:hint="eastAsia" w:hAnsi="宋体"/>
                <w:szCs w:val="24"/>
                <w:lang w:val="en-US" w:eastAsia="zh-CN"/>
              </w:rPr>
              <w:t>539</w:t>
            </w:r>
            <w:r>
              <w:rPr>
                <w:rFonts w:hint="eastAsia"/>
                <w:szCs w:val="24"/>
                <w:lang w:val="en-US" w:eastAsia="zh-CN"/>
              </w:rPr>
              <w:t>5906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spacing w:val="-6"/>
                <w:highlight w:val="none"/>
                <w:lang w:eastAsia="zh-CN"/>
              </w:rPr>
            </w:pPr>
            <w:r>
              <w:rPr>
                <w:rFonts w:hint="eastAsia" w:ascii="宋体" w:hAnsi="宋体" w:eastAsia="宋体" w:cs="宋体"/>
                <w:color w:val="000000"/>
                <w:sz w:val="24"/>
                <w:szCs w:val="24"/>
                <w:highlight w:val="none"/>
              </w:rPr>
              <w:t>公告、</w:t>
            </w:r>
            <w:r>
              <w:rPr>
                <w:rFonts w:hint="eastAsia" w:ascii="宋体" w:hAnsi="宋体" w:eastAsia="宋体" w:cs="宋体"/>
                <w:color w:val="000000"/>
                <w:sz w:val="24"/>
                <w:szCs w:val="24"/>
                <w:highlight w:val="none"/>
                <w:lang w:val="en-US" w:eastAsia="zh-CN"/>
              </w:rPr>
              <w:t>开标期</w:t>
            </w:r>
            <w:r>
              <w:rPr>
                <w:rFonts w:hint="eastAsia" w:ascii="宋体" w:hAnsi="宋体" w:eastAsia="宋体" w:cs="宋体"/>
                <w:color w:val="000000"/>
                <w:sz w:val="24"/>
                <w:szCs w:val="24"/>
                <w:highlight w:val="none"/>
              </w:rPr>
              <w:t>限</w:t>
            </w:r>
          </w:p>
        </w:tc>
        <w:tc>
          <w:tcPr>
            <w:tcW w:w="8657" w:type="dxa"/>
            <w:gridSpan w:val="6"/>
            <w:noWrap w:val="0"/>
            <w:vAlign w:val="center"/>
          </w:tcPr>
          <w:p>
            <w:pPr>
              <w:pStyle w:val="17"/>
              <w:keepNext w:val="0"/>
              <w:keepLines w:val="0"/>
              <w:pageBreakBefore w:val="0"/>
              <w:widowControl w:val="0"/>
              <w:numPr>
                <w:ilvl w:val="0"/>
                <w:numId w:val="0"/>
              </w:numPr>
              <w:wordWrap/>
              <w:overflowPunct/>
              <w:topLinePunct w:val="0"/>
              <w:bidi w:val="0"/>
              <w:adjustRightInd w:val="0"/>
              <w:snapToGrid w:val="0"/>
              <w:spacing w:line="240" w:lineRule="auto"/>
              <w:ind w:leftChars="50" w:right="0" w:rightChars="0"/>
              <w:jc w:val="both"/>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rPr>
              <w:t>1.</w:t>
            </w:r>
            <w:r>
              <w:rPr>
                <w:rFonts w:hint="eastAsia" w:cs="宋体"/>
                <w:b/>
                <w:bCs/>
                <w:color w:val="000000"/>
                <w:sz w:val="24"/>
                <w:szCs w:val="24"/>
                <w:lang w:eastAsia="zh-CN"/>
              </w:rPr>
              <w:t>公告</w:t>
            </w:r>
            <w:r>
              <w:rPr>
                <w:rFonts w:hint="eastAsia" w:ascii="宋体" w:hAnsi="宋体" w:eastAsia="宋体" w:cs="宋体"/>
                <w:b/>
                <w:bCs/>
                <w:color w:val="000000"/>
                <w:sz w:val="24"/>
                <w:szCs w:val="24"/>
              </w:rPr>
              <w:t>期</w:t>
            </w:r>
            <w:r>
              <w:rPr>
                <w:rFonts w:hint="eastAsia" w:ascii="宋体" w:hAnsi="宋体" w:eastAsia="宋体" w:cs="宋体"/>
                <w:color w:val="000000"/>
                <w:sz w:val="24"/>
                <w:szCs w:val="24"/>
              </w:rPr>
              <w:t>：</w:t>
            </w:r>
            <w:r>
              <w:rPr>
                <w:rFonts w:hint="eastAsia" w:cs="宋体"/>
                <w:color w:val="000000"/>
                <w:sz w:val="24"/>
                <w:szCs w:val="24"/>
                <w:highlight w:val="none"/>
                <w:lang w:val="en-US" w:eastAsia="zh-CN"/>
              </w:rPr>
              <w:t>2025年6月10日至2025年6月18日</w:t>
            </w:r>
          </w:p>
          <w:p>
            <w:pPr>
              <w:pStyle w:val="17"/>
              <w:keepNext w:val="0"/>
              <w:keepLines w:val="0"/>
              <w:pageBreakBefore w:val="0"/>
              <w:widowControl w:val="0"/>
              <w:wordWrap/>
              <w:overflowPunct/>
              <w:topLinePunct w:val="0"/>
              <w:bidi w:val="0"/>
              <w:spacing w:line="240" w:lineRule="auto"/>
              <w:ind w:left="105" w:leftChars="50" w:right="0" w:firstLine="0" w:firstLineChars="0"/>
              <w:jc w:val="both"/>
              <w:rPr>
                <w:rFonts w:hint="default" w:ascii="宋体" w:hAnsi="宋体" w:eastAsia="宋体" w:cs="宋体"/>
                <w:color w:val="000000"/>
                <w:sz w:val="24"/>
                <w:szCs w:val="24"/>
                <w:highlight w:val="yellow"/>
                <w:lang w:val="en-US" w:eastAsia="zh-CN"/>
              </w:rPr>
            </w:pP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val="en-US" w:eastAsia="zh-CN"/>
              </w:rPr>
              <w:t>开标日期</w:t>
            </w:r>
            <w:r>
              <w:rPr>
                <w:rFonts w:hint="eastAsia" w:ascii="宋体" w:hAnsi="宋体" w:eastAsia="宋体" w:cs="宋体"/>
                <w:b/>
                <w:bCs/>
                <w:color w:val="000000"/>
                <w:sz w:val="24"/>
                <w:szCs w:val="24"/>
                <w:highlight w:val="none"/>
              </w:rPr>
              <w:t>：</w:t>
            </w:r>
            <w:r>
              <w:rPr>
                <w:rFonts w:hint="eastAsia" w:cs="宋体"/>
                <w:color w:val="000000"/>
                <w:sz w:val="24"/>
                <w:szCs w:val="24"/>
                <w:highlight w:val="none"/>
                <w:lang w:val="en-US" w:eastAsia="zh-CN"/>
              </w:rPr>
              <w:t>2025年6月19日下午15：00</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highlight w:val="none"/>
              </w:rPr>
            </w:pPr>
            <w:r>
              <w:rPr>
                <w:rFonts w:hint="eastAsia" w:ascii="宋体" w:hAnsi="宋体" w:eastAsia="宋体" w:cs="宋体"/>
                <w:b/>
                <w:bCs/>
                <w:color w:val="000000"/>
                <w:sz w:val="24"/>
                <w:szCs w:val="24"/>
                <w:lang w:val="en-US" w:eastAsia="zh-CN"/>
              </w:rPr>
              <w:t>3.地址：</w:t>
            </w:r>
            <w:r>
              <w:rPr>
                <w:rFonts w:hint="eastAsia" w:cs="宋体"/>
                <w:color w:val="000000"/>
                <w:sz w:val="24"/>
                <w:szCs w:val="24"/>
                <w:lang w:val="en-US" w:eastAsia="zh-CN"/>
              </w:rPr>
              <w:t>合肥市高新区望江西路600号合肥野生动物园小会议室</w:t>
            </w:r>
            <w:r>
              <w:rPr>
                <w:rFonts w:hint="eastAsia" w:ascii="宋体" w:hAnsi="宋体" w:eastAsia="宋体" w:cs="宋体"/>
                <w:color w:val="000000"/>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2"/>
                <w:highlight w:val="none"/>
              </w:rPr>
              <w:t>一、</w:t>
            </w:r>
            <w:r>
              <w:rPr>
                <w:rFonts w:hint="eastAsia"/>
                <w:spacing w:val="-2"/>
                <w:highlight w:val="none"/>
                <w:lang w:eastAsia="zh-CN"/>
              </w:rPr>
              <w:t>招商</w:t>
            </w:r>
            <w:r>
              <w:rPr>
                <w:spacing w:val="-2"/>
                <w:highlight w:val="none"/>
              </w:rPr>
              <w:t>标的情况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792" w:type="dxa"/>
            <w:gridSpan w:val="2"/>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highlight w:val="none"/>
              </w:rPr>
            </w:pPr>
            <w:r>
              <w:rPr>
                <w:rFonts w:hint="eastAsia"/>
                <w:spacing w:val="-8"/>
                <w:highlight w:val="none"/>
                <w:lang w:eastAsia="zh-CN"/>
              </w:rPr>
              <w:t>招商</w:t>
            </w:r>
            <w:r>
              <w:rPr>
                <w:spacing w:val="-8"/>
                <w:highlight w:val="none"/>
              </w:rPr>
              <w:t>标的</w:t>
            </w:r>
          </w:p>
        </w:tc>
        <w:tc>
          <w:tcPr>
            <w:tcW w:w="1200" w:type="dxa"/>
            <w:tcBorders>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eastAsia="宋体"/>
                <w:highlight w:val="none"/>
                <w:lang w:eastAsia="zh-CN"/>
              </w:rPr>
            </w:pPr>
            <w:r>
              <w:rPr>
                <w:spacing w:val="-5"/>
              </w:rPr>
              <w:t>面</w:t>
            </w:r>
            <w:r>
              <w:rPr>
                <w:spacing w:val="-8"/>
              </w:rPr>
              <w:t>积（㎡</w:t>
            </w:r>
            <w:r>
              <w:rPr>
                <w:rFonts w:hint="eastAsia"/>
                <w:spacing w:val="-8"/>
                <w:lang w:eastAsia="zh-CN"/>
              </w:rPr>
              <w:t>）</w:t>
            </w:r>
          </w:p>
        </w:tc>
        <w:tc>
          <w:tcPr>
            <w:tcW w:w="1486" w:type="dxa"/>
            <w:tcBorders>
              <w:lef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highlight w:val="none"/>
                <w:lang w:val="en-US" w:eastAsia="zh-CN"/>
              </w:rPr>
            </w:pPr>
            <w:r>
              <w:rPr>
                <w:rFonts w:hint="eastAsia"/>
                <w:highlight w:val="none"/>
                <w:lang w:val="en-US" w:eastAsia="zh-CN"/>
              </w:rPr>
              <w:t>项目底价</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spacing w:val="-7"/>
                <w:highlight w:val="none"/>
              </w:rPr>
            </w:pPr>
            <w:r>
              <w:rPr>
                <w:spacing w:val="-7"/>
                <w:highlight w:val="none"/>
              </w:rPr>
              <w:t>（万元/年）</w:t>
            </w:r>
          </w:p>
        </w:tc>
        <w:tc>
          <w:tcPr>
            <w:tcW w:w="134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分成比例</w:t>
            </w:r>
          </w:p>
        </w:tc>
        <w:tc>
          <w:tcPr>
            <w:tcW w:w="179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spacing w:val="-6"/>
                <w:highlight w:val="none"/>
                <w:lang w:val="en-US" w:eastAsia="zh-CN"/>
              </w:rPr>
            </w:pPr>
            <w:r>
              <w:rPr>
                <w:rFonts w:hint="eastAsia"/>
                <w:spacing w:val="-6"/>
                <w:highlight w:val="none"/>
                <w:lang w:eastAsia="zh-CN"/>
              </w:rPr>
              <w:t>合作期限</w:t>
            </w:r>
            <w:r>
              <w:rPr>
                <w:highlight w:val="none"/>
              </w:rPr>
              <w:t xml:space="preserve"> </w:t>
            </w:r>
            <w:r>
              <w:rPr>
                <w:spacing w:val="-14"/>
                <w:highlight w:val="none"/>
              </w:rPr>
              <w:t>（年）</w:t>
            </w:r>
          </w:p>
        </w:tc>
        <w:tc>
          <w:tcPr>
            <w:tcW w:w="1456"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4"/>
                <w:highlight w:val="none"/>
                <w:lang w:val="en-US" w:eastAsia="zh-CN"/>
              </w:rPr>
              <w:t>履约</w:t>
            </w:r>
            <w:r>
              <w:rPr>
                <w:spacing w:val="-4"/>
                <w:highlight w:val="none"/>
              </w:rPr>
              <w:t>保证</w:t>
            </w:r>
            <w:r>
              <w:rPr>
                <w:spacing w:val="-7"/>
                <w:highlight w:val="none"/>
              </w:rPr>
              <w:t>金（万元）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92" w:type="dxa"/>
            <w:gridSpan w:val="2"/>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eastAsia="宋体"/>
                <w:highlight w:val="none"/>
                <w:lang w:val="en-US" w:eastAsia="zh-CN"/>
              </w:rPr>
            </w:pPr>
            <w:r>
              <w:rPr>
                <w:rFonts w:hint="eastAsia"/>
                <w:lang w:val="en-US" w:eastAsia="zh-CN"/>
              </w:rPr>
              <w:t>动物园东门停车场经营权转让</w:t>
            </w:r>
          </w:p>
        </w:tc>
        <w:tc>
          <w:tcPr>
            <w:tcW w:w="1200" w:type="dxa"/>
            <w:tcBorders>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highlight w:val="none"/>
                <w:lang w:val="en-US" w:eastAsia="zh-CN"/>
              </w:rPr>
            </w:pPr>
            <w:r>
              <w:rPr>
                <w:rFonts w:hint="eastAsia"/>
                <w:highlight w:val="none"/>
                <w:lang w:val="en-US" w:eastAsia="zh-CN"/>
              </w:rPr>
              <w:t>3771.50</w:t>
            </w:r>
          </w:p>
        </w:tc>
        <w:tc>
          <w:tcPr>
            <w:tcW w:w="1486" w:type="dxa"/>
            <w:tcBorders>
              <w:lef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strike w:val="0"/>
                <w:dstrike w:val="0"/>
                <w:color w:val="auto"/>
                <w:highlight w:val="none"/>
                <w:lang w:val="en-US" w:eastAsia="zh-CN"/>
              </w:rPr>
            </w:pPr>
            <w:r>
              <w:rPr>
                <w:rFonts w:hint="eastAsia"/>
                <w:strike w:val="0"/>
                <w:dstrike w:val="0"/>
                <w:color w:val="auto"/>
                <w:highlight w:val="none"/>
                <w:lang w:val="en-US" w:eastAsia="zh-CN"/>
              </w:rPr>
              <w:t>11.52</w:t>
            </w:r>
          </w:p>
        </w:tc>
        <w:tc>
          <w:tcPr>
            <w:tcW w:w="134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≥10%</w:t>
            </w:r>
          </w:p>
        </w:tc>
        <w:tc>
          <w:tcPr>
            <w:tcW w:w="179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6+4</w:t>
            </w:r>
          </w:p>
        </w:tc>
        <w:tc>
          <w:tcPr>
            <w:tcW w:w="1456"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eastAsia="宋体"/>
                <w:highlight w:val="none"/>
                <w:lang w:val="en-US" w:eastAsia="zh-CN"/>
              </w:rPr>
            </w:pPr>
            <w:r>
              <w:rPr>
                <w:rFonts w:hint="eastAsia" w:cs="宋体"/>
                <w:snapToGrid w:val="0"/>
                <w:color w:val="000000"/>
                <w:kern w:val="0"/>
                <w:sz w:val="24"/>
                <w:szCs w:val="24"/>
                <w:highlight w:val="none"/>
                <w:lang w:val="en-US" w:eastAsia="zh-CN" w:bidi="ar-SA"/>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default" w:eastAsia="宋体"/>
                <w:highlight w:val="yellow"/>
                <w:lang w:val="en-US" w:eastAsia="zh-CN"/>
              </w:rPr>
            </w:pPr>
            <w:r>
              <w:rPr>
                <w:spacing w:val="-1"/>
                <w:position w:val="11"/>
              </w:rPr>
              <w:t>1.标的坐落位置：</w:t>
            </w:r>
            <w:r>
              <w:rPr>
                <w:rFonts w:hint="eastAsia"/>
                <w:spacing w:val="-1"/>
                <w:position w:val="11"/>
                <w:lang w:eastAsia="zh-CN"/>
              </w:rPr>
              <w:t>合肥市高新区望江西路</w:t>
            </w:r>
            <w:r>
              <w:rPr>
                <w:rFonts w:hint="eastAsia"/>
                <w:spacing w:val="-1"/>
                <w:position w:val="11"/>
                <w:lang w:val="en-US" w:eastAsia="zh-CN"/>
              </w:rPr>
              <w:t>600号合肥野生动物园东门停车场</w:t>
            </w:r>
            <w:r>
              <w:rPr>
                <w:rFonts w:hint="eastAsia"/>
                <w:spacing w:val="-1"/>
                <w:position w:val="11"/>
                <w:highlight w:val="none"/>
                <w:lang w:val="en-US" w:eastAsia="zh-CN"/>
              </w:rPr>
              <w:t>。</w:t>
            </w:r>
          </w:p>
          <w:p>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highlight w:val="none"/>
              </w:rPr>
            </w:pPr>
            <w:r>
              <w:rPr>
                <w:spacing w:val="-2"/>
              </w:rPr>
              <w:t>2.标的权属情况：</w:t>
            </w:r>
            <w:r>
              <w:rPr>
                <w:spacing w:val="-3"/>
                <w:highlight w:val="none"/>
              </w:rPr>
              <w:t>标的面积仅供参考。</w:t>
            </w:r>
            <w:r>
              <w:rPr>
                <w:rFonts w:hint="eastAsia"/>
                <w:spacing w:val="-3"/>
                <w:highlight w:val="none"/>
                <w:lang w:eastAsia="zh-CN"/>
              </w:rPr>
              <w:t>招商</w:t>
            </w:r>
            <w:r>
              <w:rPr>
                <w:spacing w:val="-3"/>
                <w:highlight w:val="none"/>
              </w:rPr>
              <w:t>标的无权属纠纷</w:t>
            </w:r>
            <w:r>
              <w:rPr>
                <w:spacing w:val="-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3"/>
                <w:highlight w:val="none"/>
                <w:lang w:eastAsia="zh-CN"/>
              </w:rPr>
              <w:t>招商</w:t>
            </w:r>
            <w:r>
              <w:rPr>
                <w:spacing w:val="-3"/>
                <w:highlight w:val="none"/>
              </w:rPr>
              <w:t>用</w:t>
            </w:r>
            <w:r>
              <w:rPr>
                <w:spacing w:val="-4"/>
                <w:highlight w:val="none"/>
              </w:rPr>
              <w:t>途要求</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spacing w:line="240" w:lineRule="auto"/>
              <w:jc w:val="left"/>
              <w:textAlignment w:val="auto"/>
              <w:rPr>
                <w:rFonts w:hint="default"/>
                <w:highlight w:val="none"/>
                <w:lang w:val="en-US"/>
              </w:rPr>
            </w:pPr>
            <w:r>
              <w:rPr>
                <w:spacing w:val="-3"/>
                <w:highlight w:val="none"/>
              </w:rPr>
              <w:t>1.</w:t>
            </w:r>
            <w:r>
              <w:rPr>
                <w:rFonts w:hint="eastAsia"/>
                <w:spacing w:val="-3"/>
                <w:highlight w:val="none"/>
                <w:lang w:eastAsia="zh-CN"/>
              </w:rPr>
              <w:t>招商点位</w:t>
            </w:r>
            <w:r>
              <w:rPr>
                <w:spacing w:val="-3"/>
                <w:highlight w:val="none"/>
              </w:rPr>
              <w:t>的用途为</w:t>
            </w:r>
            <w:r>
              <w:rPr>
                <w:rFonts w:hint="eastAsia"/>
                <w:spacing w:val="-3"/>
                <w:highlight w:val="none"/>
                <w:lang w:val="en-US" w:eastAsia="zh-CN"/>
              </w:rPr>
              <w:t>停车场、充电设备及自助洗车设备的运营及日常管理。</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spacing w:val="-1"/>
                <w:highlight w:val="none"/>
              </w:rPr>
            </w:pPr>
            <w:r>
              <w:rPr>
                <w:highlight w:val="none"/>
              </w:rPr>
              <w:t>2.</w:t>
            </w:r>
            <w:r>
              <w:rPr>
                <w:rFonts w:hint="eastAsia"/>
                <w:highlight w:val="none"/>
                <w:lang w:eastAsia="zh-CN"/>
              </w:rPr>
              <w:t>合作方</w:t>
            </w:r>
            <w:r>
              <w:rPr>
                <w:highlight w:val="none"/>
              </w:rPr>
              <w:t>使用上述</w:t>
            </w:r>
            <w:r>
              <w:rPr>
                <w:rFonts w:hint="eastAsia"/>
                <w:highlight w:val="none"/>
                <w:lang w:eastAsia="zh-CN"/>
              </w:rPr>
              <w:t>场地</w:t>
            </w:r>
            <w:r>
              <w:rPr>
                <w:highlight w:val="none"/>
              </w:rPr>
              <w:t>必须符合相关法律法规</w:t>
            </w:r>
            <w:r>
              <w:rPr>
                <w:spacing w:val="-1"/>
                <w:highlight w:val="none"/>
              </w:rPr>
              <w:t>要求，上述</w:t>
            </w:r>
            <w:r>
              <w:rPr>
                <w:rFonts w:hint="eastAsia"/>
                <w:spacing w:val="-1"/>
                <w:highlight w:val="none"/>
                <w:lang w:eastAsia="zh-CN"/>
              </w:rPr>
              <w:t>场地</w:t>
            </w:r>
            <w:r>
              <w:rPr>
                <w:spacing w:val="-1"/>
                <w:highlight w:val="none"/>
              </w:rPr>
              <w:t>内均不得从事</w:t>
            </w:r>
            <w:r>
              <w:rPr>
                <w:rFonts w:hint="eastAsia"/>
                <w:spacing w:val="-1"/>
                <w:highlight w:val="none"/>
                <w:lang w:eastAsia="zh-CN"/>
              </w:rPr>
              <w:t>除</w:t>
            </w:r>
            <w:r>
              <w:rPr>
                <w:rFonts w:hint="eastAsia"/>
                <w:spacing w:val="-1"/>
                <w:highlight w:val="none"/>
                <w:lang w:val="en-US" w:eastAsia="zh-CN"/>
              </w:rPr>
              <w:t>电动车充电、车辆停放及自助洗车设备</w:t>
            </w:r>
            <w:r>
              <w:rPr>
                <w:rFonts w:hint="eastAsia" w:ascii="宋体" w:hAnsi="宋体" w:eastAsia="宋体" w:cs="宋体"/>
                <w:spacing w:val="-1"/>
                <w:kern w:val="2"/>
                <w:sz w:val="24"/>
                <w:szCs w:val="24"/>
                <w:highlight w:val="none"/>
                <w:lang w:val="en-US" w:eastAsia="zh-CN" w:bidi="ar-SA"/>
              </w:rPr>
              <w:t>（</w:t>
            </w:r>
            <w:r>
              <w:rPr>
                <w:rFonts w:hint="eastAsia" w:cs="宋体"/>
                <w:spacing w:val="-1"/>
                <w:kern w:val="2"/>
                <w:sz w:val="24"/>
                <w:szCs w:val="24"/>
                <w:highlight w:val="none"/>
                <w:lang w:val="en-US" w:eastAsia="zh-CN" w:bidi="ar-SA"/>
              </w:rPr>
              <w:t>自助洗车设备建设方案需经招商方审核确认后方可实施，要求包含但不限于</w:t>
            </w:r>
            <w:r>
              <w:rPr>
                <w:rFonts w:hint="eastAsia" w:ascii="宋体" w:hAnsi="宋体" w:eastAsia="宋体" w:cs="宋体"/>
                <w:spacing w:val="-1"/>
                <w:kern w:val="2"/>
                <w:sz w:val="24"/>
                <w:szCs w:val="24"/>
                <w:highlight w:val="none"/>
                <w:lang w:val="en-US" w:eastAsia="zh-CN" w:bidi="ar-SA"/>
              </w:rPr>
              <w:t>污水要确保进入污水管网，地面要无洗车污水</w:t>
            </w:r>
            <w:r>
              <w:rPr>
                <w:rFonts w:hint="eastAsia" w:cs="宋体"/>
                <w:spacing w:val="-1"/>
                <w:kern w:val="2"/>
                <w:sz w:val="24"/>
                <w:szCs w:val="24"/>
                <w:highlight w:val="none"/>
                <w:lang w:val="en-US" w:eastAsia="zh-CN" w:bidi="ar-SA"/>
              </w:rPr>
              <w:t>等）</w:t>
            </w:r>
            <w:r>
              <w:rPr>
                <w:rFonts w:hint="eastAsia"/>
                <w:spacing w:val="-1"/>
                <w:highlight w:val="none"/>
                <w:lang w:eastAsia="zh-CN"/>
              </w:rPr>
              <w:t>之外的其他经营行为</w:t>
            </w:r>
            <w:r>
              <w:rPr>
                <w:spacing w:val="-3"/>
                <w:highlight w:val="none"/>
              </w:rPr>
              <w:t>，</w:t>
            </w:r>
            <w:r>
              <w:rPr>
                <w:rFonts w:hint="eastAsia"/>
                <w:spacing w:val="-3"/>
                <w:highlight w:val="none"/>
                <w:lang w:eastAsia="zh-CN"/>
              </w:rPr>
              <w:t>场地</w:t>
            </w:r>
            <w:r>
              <w:rPr>
                <w:spacing w:val="-3"/>
                <w:highlight w:val="none"/>
              </w:rPr>
              <w:t>不得使用</w:t>
            </w:r>
            <w:r>
              <w:rPr>
                <w:spacing w:val="-2"/>
                <w:highlight w:val="none"/>
              </w:rPr>
              <w:t>明火、不得经营或存放化工类产品及易燃易爆</w:t>
            </w:r>
            <w:r>
              <w:rPr>
                <w:spacing w:val="-3"/>
                <w:highlight w:val="none"/>
              </w:rPr>
              <w:t>有毒物品。如由此造成</w:t>
            </w:r>
            <w:r>
              <w:rPr>
                <w:rFonts w:hint="eastAsia"/>
                <w:spacing w:val="-3"/>
                <w:highlight w:val="none"/>
                <w:lang w:eastAsia="zh-CN"/>
              </w:rPr>
              <w:t>合作方</w:t>
            </w:r>
            <w:r>
              <w:rPr>
                <w:spacing w:val="-3"/>
                <w:highlight w:val="none"/>
              </w:rPr>
              <w:t>不能</w:t>
            </w:r>
            <w:r>
              <w:rPr>
                <w:highlight w:val="none"/>
              </w:rPr>
              <w:t>按预想的方案使用</w:t>
            </w:r>
            <w:r>
              <w:rPr>
                <w:rFonts w:hint="eastAsia"/>
                <w:highlight w:val="none"/>
                <w:lang w:eastAsia="zh-CN"/>
              </w:rPr>
              <w:t>场地</w:t>
            </w:r>
            <w:r>
              <w:rPr>
                <w:highlight w:val="none"/>
              </w:rPr>
              <w:t>并导致合同不能</w:t>
            </w:r>
            <w:r>
              <w:rPr>
                <w:spacing w:val="-1"/>
                <w:highlight w:val="none"/>
              </w:rPr>
              <w:t>履约的，责任由</w:t>
            </w:r>
            <w:r>
              <w:rPr>
                <w:rFonts w:hint="eastAsia"/>
                <w:spacing w:val="-1"/>
                <w:highlight w:val="none"/>
                <w:lang w:eastAsia="zh-CN"/>
              </w:rPr>
              <w:t>合作方</w:t>
            </w:r>
            <w:r>
              <w:rPr>
                <w:spacing w:val="-1"/>
                <w:highlight w:val="none"/>
              </w:rPr>
              <w:t>承担。</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rFonts w:hint="eastAsia"/>
                <w:spacing w:val="-1"/>
                <w:highlight w:val="none"/>
                <w:lang w:val="en-US" w:eastAsia="zh-CN"/>
              </w:rPr>
            </w:pPr>
            <w:r>
              <w:rPr>
                <w:rFonts w:hint="eastAsia"/>
                <w:spacing w:val="-1"/>
                <w:highlight w:val="none"/>
                <w:lang w:val="en-US" w:eastAsia="zh-CN"/>
              </w:rPr>
              <w:t>3.招商方仅提供场地，合作方自行负责停车场、充电桩及其它附属设施（如：道闸、监控等）的建设、改造、维修维护及人工、水电等日常所有运营成本。</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rFonts w:hint="default"/>
                <w:spacing w:val="-1"/>
                <w:highlight w:val="none"/>
                <w:lang w:val="en-US" w:eastAsia="zh-CN"/>
              </w:rPr>
            </w:pPr>
            <w:r>
              <w:rPr>
                <w:rFonts w:hint="eastAsia"/>
                <w:spacing w:val="-1"/>
                <w:highlight w:val="none"/>
                <w:lang w:val="en-US" w:eastAsia="zh-CN"/>
              </w:rPr>
              <w:t>4.停车场内容建设不低于40个新能源汽车快充停车位及充电设备。</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rFonts w:hint="eastAsia" w:cs="宋体"/>
                <w:color w:val="000000"/>
                <w:sz w:val="24"/>
                <w:szCs w:val="24"/>
                <w:highlight w:val="none"/>
                <w:lang w:val="en-US" w:eastAsia="zh-CN" w:bidi="zh-CN"/>
              </w:rPr>
            </w:pPr>
            <w:r>
              <w:rPr>
                <w:rFonts w:hint="eastAsia"/>
                <w:spacing w:val="-1"/>
                <w:highlight w:val="none"/>
                <w:lang w:val="en-US" w:eastAsia="zh-CN"/>
              </w:rPr>
              <w:t>5.合作方在合</w:t>
            </w:r>
            <w:r>
              <w:rPr>
                <w:rFonts w:hint="eastAsia" w:cs="宋体"/>
                <w:color w:val="000000"/>
                <w:sz w:val="24"/>
                <w:szCs w:val="24"/>
                <w:highlight w:val="none"/>
                <w:lang w:val="en-US" w:eastAsia="zh-CN" w:bidi="zh-CN"/>
              </w:rPr>
              <w:t>作经营期间必须服从招商方的监督管理，合法经营，如不服从管理或违约时，招商方有权单方面终止合同，并要求合作方赔偿因此给招商方造成的一切经济损失。</w:t>
            </w:r>
          </w:p>
          <w:p>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default" w:cs="宋体"/>
                <w:color w:val="000000"/>
                <w:sz w:val="24"/>
                <w:szCs w:val="24"/>
                <w:highlight w:val="none"/>
                <w:lang w:val="en-US" w:eastAsia="zh-CN" w:bidi="zh-CN"/>
              </w:rPr>
            </w:pPr>
            <w:r>
              <w:rPr>
                <w:rFonts w:hint="eastAsia" w:cs="宋体"/>
                <w:color w:val="000000"/>
                <w:sz w:val="24"/>
                <w:szCs w:val="24"/>
                <w:highlight w:val="none"/>
                <w:lang w:val="en-US" w:eastAsia="zh-CN" w:bidi="zh-CN"/>
              </w:rPr>
              <w:t>6.合作期间场地如遇政府部门要求拆迁（如土地征收、生态红线违规建设等原因），招商方有权解除合同，并不承担任何违约责任。如遇招商方后期有新的商业规划在点位附近设置新的业态，合作方不得以此为由要求减免保底价及分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spacing w:val="-3"/>
                <w:kern w:val="2"/>
                <w:position w:val="11"/>
                <w:sz w:val="24"/>
                <w:szCs w:val="24"/>
                <w:highlight w:val="none"/>
                <w:lang w:val="en-US" w:eastAsia="zh-CN" w:bidi="ar-SA"/>
              </w:rPr>
            </w:pPr>
            <w:r>
              <w:rPr>
                <w:rFonts w:hint="eastAsia" w:cs="宋体"/>
                <w:spacing w:val="-3"/>
                <w:kern w:val="2"/>
                <w:position w:val="11"/>
                <w:sz w:val="24"/>
                <w:szCs w:val="24"/>
                <w:highlight w:val="none"/>
                <w:lang w:val="en-US" w:eastAsia="zh-CN" w:bidi="ar-SA"/>
              </w:rPr>
              <w:t>经营权转让</w:t>
            </w:r>
            <w:r>
              <w:rPr>
                <w:rFonts w:hint="eastAsia" w:ascii="宋体" w:hAnsi="宋体" w:eastAsia="宋体" w:cs="宋体"/>
                <w:spacing w:val="-3"/>
                <w:kern w:val="2"/>
                <w:position w:val="11"/>
                <w:sz w:val="24"/>
                <w:szCs w:val="24"/>
                <w:highlight w:val="none"/>
                <w:lang w:val="en-US" w:eastAsia="zh-CN" w:bidi="ar-SA"/>
              </w:rPr>
              <w:t>分成款及履约保证金支付</w:t>
            </w:r>
          </w:p>
        </w:tc>
        <w:tc>
          <w:tcPr>
            <w:tcW w:w="8657" w:type="dxa"/>
            <w:gridSpan w:val="6"/>
            <w:noWrap w:val="0"/>
            <w:vAlign w:val="center"/>
          </w:tcPr>
          <w:tbl>
            <w:tblPr>
              <w:tblStyle w:val="16"/>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65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合作采用保底报价＋分成的模式。东门停车场经营权转让项目</w:t>
                  </w:r>
                  <w:r>
                    <w:rPr>
                      <w:rFonts w:hint="eastAsia" w:ascii="宋体" w:hAnsi="宋体" w:eastAsia="宋体" w:cs="宋体"/>
                      <w:spacing w:val="-1"/>
                      <w:kern w:val="2"/>
                      <w:sz w:val="24"/>
                      <w:szCs w:val="24"/>
                      <w:highlight w:val="none"/>
                      <w:lang w:val="en-US" w:eastAsia="en-US" w:bidi="ar-SA"/>
                    </w:rPr>
                    <w:t>在运营期间产生的经营收入</w:t>
                  </w:r>
                  <w:r>
                    <w:rPr>
                      <w:rFonts w:hint="eastAsia" w:ascii="宋体" w:hAnsi="宋体" w:eastAsia="宋体" w:cs="宋体"/>
                      <w:spacing w:val="-1"/>
                      <w:kern w:val="2"/>
                      <w:sz w:val="24"/>
                      <w:szCs w:val="24"/>
                      <w:highlight w:val="none"/>
                      <w:lang w:val="en-US" w:eastAsia="zh-CN" w:bidi="ar-SA"/>
                    </w:rPr>
                    <w:t>（包括停车收费、充电服务费及洗车费用）</w:t>
                  </w:r>
                  <w:r>
                    <w:rPr>
                      <w:rFonts w:hint="eastAsia" w:ascii="宋体" w:hAnsi="宋体" w:eastAsia="宋体" w:cs="宋体"/>
                      <w:spacing w:val="-1"/>
                      <w:kern w:val="2"/>
                      <w:sz w:val="24"/>
                      <w:szCs w:val="24"/>
                      <w:highlight w:val="none"/>
                      <w:lang w:val="en-US" w:eastAsia="en-US" w:bidi="ar-SA"/>
                    </w:rPr>
                    <w:t>由</w:t>
                  </w:r>
                  <w:r>
                    <w:rPr>
                      <w:rFonts w:hint="eastAsia" w:ascii="宋体" w:hAnsi="宋体" w:eastAsia="宋体" w:cs="宋体"/>
                      <w:spacing w:val="-1"/>
                      <w:kern w:val="2"/>
                      <w:sz w:val="24"/>
                      <w:szCs w:val="24"/>
                      <w:highlight w:val="none"/>
                      <w:lang w:val="en-US" w:eastAsia="zh-CN" w:bidi="ar-SA"/>
                    </w:rPr>
                    <w:t>合作方</w:t>
                  </w:r>
                  <w:r>
                    <w:rPr>
                      <w:rFonts w:hint="eastAsia" w:ascii="宋体" w:hAnsi="宋体" w:eastAsia="宋体" w:cs="宋体"/>
                      <w:spacing w:val="-1"/>
                      <w:kern w:val="2"/>
                      <w:sz w:val="24"/>
                      <w:szCs w:val="24"/>
                      <w:highlight w:val="none"/>
                      <w:lang w:val="en-US" w:eastAsia="en-US" w:bidi="ar-SA"/>
                    </w:rPr>
                    <w:t>直接收取，</w:t>
                  </w:r>
                  <w:r>
                    <w:rPr>
                      <w:rFonts w:hint="eastAsia" w:ascii="宋体" w:hAnsi="宋体" w:eastAsia="宋体" w:cs="宋体"/>
                      <w:spacing w:val="-1"/>
                      <w:kern w:val="2"/>
                      <w:sz w:val="24"/>
                      <w:szCs w:val="24"/>
                      <w:highlight w:val="none"/>
                      <w:lang w:val="en-US" w:eastAsia="zh-CN" w:bidi="ar-SA"/>
                    </w:rPr>
                    <w:t>合作方在合同签订后10个工作日内将当年保底报价转到招商方账户，以后每年保底报价在上一个合同年结束后10个工作日内转入。按合同年度对分成款进行结算，招商方分成金额</w:t>
                  </w:r>
                  <w:r>
                    <w:rPr>
                      <w:rFonts w:hint="default" w:ascii="Arial" w:hAnsi="Arial" w:eastAsia="宋体" w:cs="Arial"/>
                      <w:spacing w:val="-1"/>
                      <w:kern w:val="2"/>
                      <w:sz w:val="24"/>
                      <w:szCs w:val="24"/>
                      <w:highlight w:val="none"/>
                      <w:lang w:val="en-US" w:eastAsia="zh-CN" w:bidi="ar-SA"/>
                    </w:rPr>
                    <w:t>≤</w:t>
                  </w:r>
                  <w:r>
                    <w:rPr>
                      <w:rFonts w:hint="eastAsia" w:ascii="宋体" w:hAnsi="宋体" w:eastAsia="宋体" w:cs="宋体"/>
                      <w:spacing w:val="-1"/>
                      <w:kern w:val="2"/>
                      <w:sz w:val="24"/>
                      <w:szCs w:val="24"/>
                      <w:highlight w:val="none"/>
                      <w:lang w:val="en-US" w:eastAsia="zh-CN" w:bidi="ar-SA"/>
                    </w:rPr>
                    <w:t>保底报价时，招商方不再分成，营业款由合作方收取；招商方分成金额&gt;保底报价时，招商方按比例进行分成。合作方应向招商方开放商家版管理后台查看权限，以方便招商方监督查看营收数据。</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eastAsia" w:ascii="宋体" w:hAnsi="宋体" w:eastAsia="宋体" w:cs="宋体"/>
                      <w:spacing w:val="-3"/>
                      <w:kern w:val="2"/>
                      <w:position w:val="11"/>
                      <w:sz w:val="24"/>
                      <w:szCs w:val="24"/>
                      <w:highlight w:val="none"/>
                      <w:lang w:val="en-US" w:eastAsia="zh-CN" w:bidi="ar-SA"/>
                    </w:rPr>
                  </w:pPr>
                  <w:r>
                    <w:rPr>
                      <w:rFonts w:ascii="宋体" w:hAnsi="宋体" w:eastAsia="宋体" w:cs="宋体"/>
                      <w:spacing w:val="-1"/>
                      <w:kern w:val="2"/>
                      <w:sz w:val="24"/>
                      <w:szCs w:val="24"/>
                      <w:highlight w:val="none"/>
                      <w:lang w:val="en-US" w:eastAsia="en-US" w:bidi="ar-SA"/>
                    </w:rPr>
                    <w:t xml:space="preserve">2. </w:t>
                  </w:r>
                  <w:r>
                    <w:rPr>
                      <w:rFonts w:hint="eastAsia" w:cs="宋体"/>
                      <w:spacing w:val="-1"/>
                      <w:kern w:val="2"/>
                      <w:sz w:val="24"/>
                      <w:szCs w:val="24"/>
                      <w:highlight w:val="none"/>
                      <w:lang w:val="en-US" w:eastAsia="zh-CN" w:bidi="ar-SA"/>
                    </w:rPr>
                    <w:t>合作</w:t>
                  </w:r>
                  <w:r>
                    <w:rPr>
                      <w:rFonts w:hint="eastAsia" w:ascii="宋体" w:hAnsi="宋体" w:eastAsia="宋体" w:cs="宋体"/>
                      <w:spacing w:val="-1"/>
                      <w:kern w:val="2"/>
                      <w:sz w:val="24"/>
                      <w:szCs w:val="24"/>
                      <w:highlight w:val="none"/>
                      <w:lang w:val="en-US" w:eastAsia="zh-CN" w:bidi="ar-SA"/>
                    </w:rPr>
                    <w:t>方</w:t>
                  </w:r>
                  <w:r>
                    <w:rPr>
                      <w:rFonts w:ascii="宋体" w:hAnsi="宋体" w:eastAsia="宋体" w:cs="宋体"/>
                      <w:spacing w:val="-1"/>
                      <w:kern w:val="2"/>
                      <w:sz w:val="24"/>
                      <w:szCs w:val="24"/>
                      <w:highlight w:val="none"/>
                      <w:lang w:val="en-US" w:eastAsia="en-US" w:bidi="ar-SA"/>
                    </w:rPr>
                    <w:t>应在《</w:t>
                  </w:r>
                  <w:r>
                    <w:rPr>
                      <w:rFonts w:hint="eastAsia" w:cs="宋体"/>
                      <w:spacing w:val="-1"/>
                      <w:kern w:val="2"/>
                      <w:sz w:val="24"/>
                      <w:szCs w:val="24"/>
                      <w:highlight w:val="none"/>
                      <w:lang w:val="en-US" w:eastAsia="zh-CN" w:bidi="ar-SA"/>
                    </w:rPr>
                    <w:t>招商结果</w:t>
                  </w:r>
                  <w:r>
                    <w:rPr>
                      <w:rFonts w:ascii="宋体" w:hAnsi="宋体" w:eastAsia="宋体" w:cs="宋体"/>
                      <w:spacing w:val="-1"/>
                      <w:kern w:val="2"/>
                      <w:sz w:val="24"/>
                      <w:szCs w:val="24"/>
                      <w:highlight w:val="none"/>
                      <w:lang w:val="en-US" w:eastAsia="en-US" w:bidi="ar-SA"/>
                    </w:rPr>
                    <w:t>确认书》出具之日起</w:t>
                  </w:r>
                  <w:r>
                    <w:rPr>
                      <w:rFonts w:hint="eastAsia" w:cs="宋体"/>
                      <w:spacing w:val="-1"/>
                      <w:kern w:val="2"/>
                      <w:sz w:val="24"/>
                      <w:szCs w:val="24"/>
                      <w:highlight w:val="none"/>
                      <w:lang w:val="en-US" w:eastAsia="zh-CN" w:bidi="ar-SA"/>
                    </w:rPr>
                    <w:t>7</w:t>
                  </w:r>
                  <w:r>
                    <w:rPr>
                      <w:rFonts w:ascii="宋体" w:hAnsi="宋体" w:eastAsia="宋体" w:cs="宋体"/>
                      <w:spacing w:val="-1"/>
                      <w:kern w:val="2"/>
                      <w:sz w:val="24"/>
                      <w:szCs w:val="24"/>
                      <w:highlight w:val="none"/>
                      <w:lang w:val="en-US" w:eastAsia="en-US" w:bidi="ar-SA"/>
                    </w:rPr>
                    <w:t>日内（合同签订前）向</w:t>
                  </w:r>
                  <w:r>
                    <w:rPr>
                      <w:rFonts w:hint="eastAsia" w:ascii="宋体" w:hAnsi="宋体" w:eastAsia="宋体" w:cs="宋体"/>
                      <w:spacing w:val="-1"/>
                      <w:kern w:val="2"/>
                      <w:sz w:val="24"/>
                      <w:szCs w:val="24"/>
                      <w:highlight w:val="none"/>
                      <w:lang w:val="en-US" w:eastAsia="zh-CN" w:bidi="ar-SA"/>
                    </w:rPr>
                    <w:t>招商方</w:t>
                  </w:r>
                  <w:r>
                    <w:rPr>
                      <w:rFonts w:ascii="宋体" w:hAnsi="宋体" w:eastAsia="宋体" w:cs="宋体"/>
                      <w:spacing w:val="-1"/>
                      <w:kern w:val="2"/>
                      <w:sz w:val="24"/>
                      <w:szCs w:val="24"/>
                      <w:highlight w:val="none"/>
                      <w:lang w:val="en-US" w:eastAsia="en-US" w:bidi="ar-SA"/>
                    </w:rPr>
                    <w:t>提交履约保证金</w:t>
                  </w:r>
                </w:p>
              </w:tc>
            </w:tr>
          </w:tbl>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pacing w:val="-3"/>
                <w:kern w:val="2"/>
                <w:position w:val="11"/>
                <w:sz w:val="24"/>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68" w:type="dxa"/>
            <w:gridSpan w:val="7"/>
            <w:tcBorders>
              <w:bottom w:val="single" w:color="auto" w:sz="4" w:space="0"/>
            </w:tcBorders>
            <w:noWrap w:val="0"/>
            <w:vAlign w:val="center"/>
          </w:tcPr>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spacing w:val="-3"/>
                <w:kern w:val="2"/>
                <w:position w:val="11"/>
                <w:sz w:val="24"/>
                <w:szCs w:val="24"/>
                <w:highlight w:val="none"/>
                <w:lang w:val="en-US" w:eastAsia="zh-CN" w:bidi="ar-SA"/>
              </w:rPr>
            </w:pPr>
            <w:r>
              <w:rPr>
                <w:rFonts w:hint="eastAsia" w:ascii="宋体" w:hAnsi="宋体" w:eastAsia="宋体" w:cs="宋体"/>
                <w:spacing w:val="-3"/>
                <w:kern w:val="2"/>
                <w:position w:val="11"/>
                <w:sz w:val="24"/>
                <w:szCs w:val="24"/>
                <w:highlight w:val="none"/>
                <w:lang w:val="en-US" w:eastAsia="zh-CN" w:bidi="ar-SA"/>
              </w:rPr>
              <w:t>对投标方资格的要求</w:t>
            </w:r>
            <w:r>
              <w:rPr>
                <w:rFonts w:hint="eastAsia" w:cs="宋体"/>
                <w:spacing w:val="-3"/>
                <w:kern w:val="2"/>
                <w:position w:val="11"/>
                <w:sz w:val="24"/>
                <w:szCs w:val="24"/>
                <w:highlight w:val="none"/>
                <w:lang w:val="en-US" w:eastAsia="zh-CN" w:bidi="ar-SA"/>
              </w:rPr>
              <w:t>（初审资格）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68" w:type="dxa"/>
            <w:gridSpan w:val="7"/>
            <w:tcBorders>
              <w:top w:val="single" w:color="auto" w:sz="4" w:space="0"/>
            </w:tcBorders>
            <w:noWrap w:val="0"/>
            <w:vAlign w:val="center"/>
          </w:tcPr>
          <w:p>
            <w:pPr>
              <w:pStyle w:val="3"/>
              <w:keepNext w:val="0"/>
              <w:keepLines w:val="0"/>
              <w:pageBreakBefore w:val="0"/>
              <w:widowControl w:val="0"/>
              <w:numPr>
                <w:ilvl w:val="0"/>
                <w:numId w:val="3"/>
              </w:numPr>
              <w:kinsoku/>
              <w:wordWrap/>
              <w:overflowPunct/>
              <w:topLinePunct w:val="0"/>
              <w:autoSpaceDE/>
              <w:autoSpaceDN/>
              <w:bidi w:val="0"/>
              <w:spacing w:line="240" w:lineRule="auto"/>
              <w:ind w:left="0" w:leftChars="0" w:right="0" w:firstLine="0" w:firstLineChars="0"/>
              <w:textAlignment w:val="auto"/>
              <w:rPr>
                <w:rFonts w:hint="eastAsia"/>
                <w:spacing w:val="-2"/>
                <w:sz w:val="24"/>
                <w:szCs w:val="24"/>
                <w:highlight w:val="none"/>
                <w:lang w:val="en-US" w:eastAsia="zh-CN"/>
              </w:rPr>
            </w:pPr>
            <w:r>
              <w:rPr>
                <w:spacing w:val="-4"/>
                <w:sz w:val="24"/>
                <w:szCs w:val="24"/>
              </w:rPr>
              <w:t>投标人须具有独立承担民事责任的能</w:t>
            </w:r>
            <w:r>
              <w:rPr>
                <w:spacing w:val="-4"/>
                <w:sz w:val="24"/>
                <w:szCs w:val="24"/>
                <w:highlight w:val="none"/>
              </w:rPr>
              <w:t>力</w:t>
            </w:r>
            <w:r>
              <w:rPr>
                <w:rFonts w:hint="eastAsia"/>
                <w:spacing w:val="-4"/>
                <w:sz w:val="24"/>
                <w:szCs w:val="24"/>
                <w:highlight w:val="none"/>
                <w:lang w:eastAsia="zh-CN"/>
              </w:rPr>
              <w:t>，营业执照</w:t>
            </w:r>
            <w:r>
              <w:rPr>
                <w:rFonts w:hint="eastAsia"/>
                <w:spacing w:val="-4"/>
                <w:sz w:val="24"/>
                <w:szCs w:val="24"/>
                <w:highlight w:val="none"/>
                <w:lang w:val="en-US" w:eastAsia="zh-CN"/>
              </w:rPr>
              <w:t>经营范围涵盖停车场服务；电动汽车充电基础设施运营;集中式快速充电站</w:t>
            </w:r>
            <w:r>
              <w:rPr>
                <w:spacing w:val="-2"/>
                <w:sz w:val="24"/>
                <w:szCs w:val="24"/>
                <w:highlight w:val="none"/>
              </w:rPr>
              <w:t>。</w:t>
            </w:r>
            <w:r>
              <w:rPr>
                <w:rFonts w:hint="eastAsia"/>
                <w:color w:val="auto"/>
                <w:spacing w:val="-2"/>
                <w:sz w:val="24"/>
                <w:szCs w:val="24"/>
                <w:highlight w:val="none"/>
                <w:lang w:val="en-US" w:eastAsia="zh-CN"/>
              </w:rPr>
              <w:t>如投标人和充电站运营品牌方不是同一法人，需提供在合作周期内合作合同作为资格审查依据及本停车场运营合作合同作为履约条件</w:t>
            </w:r>
            <w:r>
              <w:rPr>
                <w:rFonts w:hint="eastAsia"/>
                <w:spacing w:val="-2"/>
                <w:sz w:val="24"/>
                <w:szCs w:val="24"/>
                <w:highlight w:val="none"/>
                <w:lang w:val="en-US" w:eastAsia="zh-CN"/>
              </w:rPr>
              <w:t>，不符合资格或不能提供相关材料的一律不予参与招标或废标处理。</w:t>
            </w:r>
          </w:p>
          <w:p>
            <w:pPr>
              <w:pStyle w:val="3"/>
              <w:keepNext w:val="0"/>
              <w:keepLines w:val="0"/>
              <w:pageBreakBefore w:val="0"/>
              <w:widowControl w:val="0"/>
              <w:numPr>
                <w:ilvl w:val="0"/>
                <w:numId w:val="3"/>
              </w:numPr>
              <w:kinsoku/>
              <w:wordWrap/>
              <w:overflowPunct/>
              <w:topLinePunct w:val="0"/>
              <w:autoSpaceDE/>
              <w:autoSpaceDN/>
              <w:bidi w:val="0"/>
              <w:spacing w:line="240" w:lineRule="auto"/>
              <w:ind w:left="0" w:leftChars="0" w:right="0" w:firstLine="0" w:firstLineChars="0"/>
              <w:textAlignment w:val="auto"/>
              <w:rPr>
                <w:sz w:val="24"/>
                <w:szCs w:val="24"/>
                <w:highlight w:val="none"/>
              </w:rPr>
            </w:pPr>
            <w:r>
              <w:rPr>
                <w:spacing w:val="-7"/>
                <w:sz w:val="24"/>
                <w:szCs w:val="24"/>
                <w:highlight w:val="none"/>
              </w:rPr>
              <w:t>自</w:t>
            </w:r>
            <w:r>
              <w:rPr>
                <w:spacing w:val="-48"/>
                <w:sz w:val="24"/>
                <w:szCs w:val="24"/>
                <w:highlight w:val="none"/>
              </w:rPr>
              <w:t xml:space="preserve"> </w:t>
            </w:r>
            <w:r>
              <w:rPr>
                <w:spacing w:val="-7"/>
                <w:sz w:val="24"/>
                <w:szCs w:val="24"/>
                <w:highlight w:val="none"/>
              </w:rPr>
              <w:t>20</w:t>
            </w:r>
            <w:r>
              <w:rPr>
                <w:rFonts w:hint="eastAsia"/>
                <w:spacing w:val="-7"/>
                <w:sz w:val="24"/>
                <w:szCs w:val="24"/>
                <w:highlight w:val="none"/>
                <w:lang w:val="en-US" w:eastAsia="zh-CN"/>
              </w:rPr>
              <w:t>23</w:t>
            </w:r>
            <w:r>
              <w:rPr>
                <w:spacing w:val="-7"/>
                <w:sz w:val="24"/>
                <w:szCs w:val="24"/>
                <w:highlight w:val="none"/>
              </w:rPr>
              <w:t>年</w:t>
            </w:r>
            <w:r>
              <w:rPr>
                <w:spacing w:val="-33"/>
                <w:sz w:val="24"/>
                <w:szCs w:val="24"/>
                <w:highlight w:val="none"/>
              </w:rPr>
              <w:t xml:space="preserve"> </w:t>
            </w:r>
            <w:r>
              <w:rPr>
                <w:spacing w:val="-7"/>
                <w:sz w:val="24"/>
                <w:szCs w:val="24"/>
                <w:highlight w:val="none"/>
              </w:rPr>
              <w:t>1</w:t>
            </w:r>
            <w:r>
              <w:rPr>
                <w:spacing w:val="-45"/>
                <w:sz w:val="24"/>
                <w:szCs w:val="24"/>
                <w:highlight w:val="none"/>
              </w:rPr>
              <w:t xml:space="preserve"> </w:t>
            </w:r>
            <w:r>
              <w:rPr>
                <w:spacing w:val="-7"/>
                <w:sz w:val="24"/>
                <w:szCs w:val="24"/>
                <w:highlight w:val="none"/>
              </w:rPr>
              <w:t>月</w:t>
            </w:r>
            <w:r>
              <w:rPr>
                <w:spacing w:val="-33"/>
                <w:sz w:val="24"/>
                <w:szCs w:val="24"/>
                <w:highlight w:val="none"/>
              </w:rPr>
              <w:t xml:space="preserve"> </w:t>
            </w:r>
            <w:r>
              <w:rPr>
                <w:spacing w:val="-7"/>
                <w:sz w:val="24"/>
                <w:szCs w:val="24"/>
                <w:highlight w:val="none"/>
              </w:rPr>
              <w:t>1 日以来（以合同签订时间为准</w:t>
            </w:r>
            <w:r>
              <w:rPr>
                <w:spacing w:val="-23"/>
                <w:sz w:val="24"/>
                <w:szCs w:val="24"/>
                <w:highlight w:val="none"/>
              </w:rPr>
              <w:t>），</w:t>
            </w:r>
            <w:r>
              <w:rPr>
                <w:spacing w:val="-7"/>
                <w:sz w:val="24"/>
                <w:szCs w:val="24"/>
                <w:highlight w:val="none"/>
              </w:rPr>
              <w:t>投标人</w:t>
            </w:r>
            <w:r>
              <w:rPr>
                <w:rFonts w:hint="eastAsia"/>
                <w:spacing w:val="-7"/>
                <w:sz w:val="24"/>
                <w:szCs w:val="24"/>
                <w:highlight w:val="none"/>
                <w:lang w:val="en-US" w:eastAsia="zh-CN"/>
              </w:rPr>
              <w:t>及其充电站运营品牌方在合肥市运营中的新能源汽车充电站至少90座以上，以确保充电站后期运营的专业性和可持续性</w:t>
            </w:r>
            <w:r>
              <w:rPr>
                <w:spacing w:val="-2"/>
                <w:sz w:val="24"/>
                <w:szCs w:val="24"/>
                <w:highlight w:val="none"/>
              </w:rPr>
              <w:t>。</w:t>
            </w:r>
          </w:p>
          <w:p>
            <w:pPr>
              <w:pStyle w:val="15"/>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宋体" w:hAnsi="宋体" w:eastAsia="宋体" w:cs="宋体"/>
                <w:spacing w:val="-3"/>
                <w:kern w:val="2"/>
                <w:position w:val="11"/>
                <w:sz w:val="24"/>
                <w:szCs w:val="24"/>
                <w:highlight w:val="none"/>
                <w:lang w:val="en-US" w:eastAsia="zh-CN" w:bidi="ar-SA"/>
              </w:rPr>
            </w:pPr>
            <w:r>
              <w:rPr>
                <w:rFonts w:hint="eastAsia"/>
                <w:spacing w:val="2"/>
                <w:sz w:val="24"/>
                <w:szCs w:val="24"/>
                <w:highlight w:val="none"/>
                <w:lang w:val="en-US" w:eastAsia="zh-CN"/>
              </w:rPr>
              <w:t>动物园东门停车场所建设新能源汽车充电站预期充电频次较高，充电设备的质量及售后服务要求较高，考虑到后期履约能力问题及充电桩设备维修维护的快速便捷，优先考虑投标人或充电站运营品牌方为央国企的投标人，充电场站主要设备优先考虑合肥市本土品牌的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2"/>
                <w:highlight w:val="none"/>
              </w:rPr>
              <w:t>三、</w:t>
            </w:r>
            <w:r>
              <w:rPr>
                <w:rFonts w:hint="eastAsia"/>
                <w:spacing w:val="-2"/>
                <w:highlight w:val="none"/>
                <w:lang w:eastAsia="zh-CN"/>
              </w:rPr>
              <w:t>招商</w:t>
            </w:r>
            <w:r>
              <w:rPr>
                <w:spacing w:val="-2"/>
                <w:highlight w:val="none"/>
              </w:rPr>
              <w:t>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10068" w:type="dxa"/>
            <w:gridSpan w:val="7"/>
            <w:noWrap w:val="0"/>
            <w:vAlign w:val="center"/>
          </w:tcPr>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合作方未被合肥市及其所辖县（市）、区（开发区）公共资源交易监督管理部门记不良行为记录的；或被记不良行为记录（以公布日期为准）。</w:t>
            </w:r>
          </w:p>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宋体"/>
                <w:color w:val="00000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本项目不接受自然人及联合体报名及报价，不允许分包、转包或挂靠。</w:t>
            </w:r>
          </w:p>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宋体"/>
                <w:color w:val="00000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合肥文旅博览集团野生动物园管理有限公司职工及其亲属不得参与此次招商。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cs="宋体"/>
                <w:color w:val="000000"/>
                <w:sz w:val="24"/>
                <w:szCs w:val="24"/>
                <w:highlight w:val="none"/>
                <w:lang w:eastAsia="zh-CN"/>
              </w:rPr>
              <w:t>四</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合作</w:t>
            </w:r>
            <w:r>
              <w:rPr>
                <w:rFonts w:hint="eastAsia" w:ascii="宋体" w:hAnsi="宋体" w:eastAsia="宋体" w:cs="宋体"/>
                <w:color w:val="000000"/>
                <w:sz w:val="24"/>
                <w:szCs w:val="24"/>
                <w:highlight w:val="none"/>
              </w:rPr>
              <w:t>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1" w:hRule="atLeast"/>
        </w:trPr>
        <w:tc>
          <w:tcPr>
            <w:tcW w:w="10068" w:type="dxa"/>
            <w:gridSpan w:val="7"/>
            <w:noWrap w:val="0"/>
            <w:vAlign w:val="center"/>
          </w:tcPr>
          <w:p>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105" w:leftChars="50" w:right="0" w:firstLine="0" w:firstLineChars="0"/>
              <w:jc w:val="both"/>
              <w:textAlignment w:val="auto"/>
              <w:rPr>
                <w:rFonts w:hint="eastAsia" w:cs="宋体"/>
                <w:spacing w:val="-1"/>
                <w:sz w:val="24"/>
                <w:szCs w:val="24"/>
                <w:highlight w:val="none"/>
                <w:lang w:val="en-US" w:eastAsia="zh-CN"/>
              </w:rPr>
            </w:pPr>
            <w:r>
              <w:rPr>
                <w:rFonts w:hint="eastAsia" w:cs="宋体"/>
                <w:spacing w:val="-1"/>
                <w:sz w:val="24"/>
                <w:szCs w:val="24"/>
                <w:highlight w:val="none"/>
                <w:lang w:val="en-US" w:eastAsia="zh-CN"/>
              </w:rPr>
              <w:t>意向</w:t>
            </w:r>
            <w:r>
              <w:rPr>
                <w:rFonts w:hint="eastAsia" w:cs="宋体"/>
                <w:spacing w:val="-1"/>
                <w:sz w:val="24"/>
                <w:szCs w:val="24"/>
                <w:highlight w:val="none"/>
                <w:lang w:eastAsia="zh-CN"/>
              </w:rPr>
              <w:t>合作方应在本公告期截止前现场踏勘招商标的，就招商标的相关情况主动向招商方咨询，自行了解使用该场地可能涉及的相关法律法规及市政规定；完成</w:t>
            </w:r>
            <w:r>
              <w:rPr>
                <w:rFonts w:hint="eastAsia" w:cs="宋体"/>
                <w:spacing w:val="-1"/>
                <w:sz w:val="24"/>
                <w:szCs w:val="24"/>
                <w:highlight w:val="none"/>
                <w:lang w:val="en-US" w:eastAsia="zh-CN"/>
              </w:rPr>
              <w:t>报名</w:t>
            </w:r>
            <w:r>
              <w:rPr>
                <w:rFonts w:hint="eastAsia" w:cs="宋体"/>
                <w:spacing w:val="-1"/>
                <w:sz w:val="24"/>
                <w:szCs w:val="24"/>
                <w:highlight w:val="none"/>
                <w:lang w:eastAsia="zh-CN"/>
              </w:rPr>
              <w:t>的</w:t>
            </w:r>
            <w:r>
              <w:rPr>
                <w:rFonts w:hint="eastAsia" w:cs="宋体"/>
                <w:spacing w:val="-1"/>
                <w:sz w:val="24"/>
                <w:szCs w:val="24"/>
                <w:highlight w:val="none"/>
                <w:lang w:val="en-US" w:eastAsia="zh-CN"/>
              </w:rPr>
              <w:t>意向</w:t>
            </w:r>
            <w:r>
              <w:rPr>
                <w:rFonts w:hint="eastAsia" w:cs="宋体"/>
                <w:spacing w:val="-1"/>
                <w:sz w:val="24"/>
                <w:szCs w:val="24"/>
                <w:highlight w:val="none"/>
                <w:lang w:eastAsia="zh-CN"/>
              </w:rPr>
              <w:t>合作方都视同已实地踏勘招商标的，确认了标的位置、范围、面积和现状等并认可招商要求，自愿承担因上述原因导致的一切后果和法律责任。</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105" w:leftChars="50" w:right="0" w:firstLine="0" w:firstLineChars="0"/>
              <w:jc w:val="both"/>
              <w:textAlignment w:val="auto"/>
              <w:rPr>
                <w:rFonts w:hint="eastAsia" w:cs="宋体"/>
                <w:spacing w:val="-1"/>
                <w:sz w:val="24"/>
                <w:szCs w:val="24"/>
                <w:highlight w:val="none"/>
                <w:lang w:eastAsia="zh-CN"/>
              </w:rPr>
            </w:pPr>
            <w:r>
              <w:rPr>
                <w:rFonts w:hint="eastAsia" w:cs="宋体"/>
                <w:spacing w:val="-1"/>
                <w:sz w:val="24"/>
                <w:szCs w:val="24"/>
                <w:highlight w:val="none"/>
                <w:lang w:eastAsia="zh-CN"/>
              </w:rPr>
              <w:t>公告所列示的标的面积仅作参考，不作为确定合作经营分成款的依据，最终以标的实际面积为准。标的实际面积与本公告所列示面积不符的，不调整成交价格。面积之外的建筑物、附属物（如道路、绿化、空地等）均不在招商范围内，招商方不提供任何承诺及服务。</w:t>
            </w:r>
          </w:p>
          <w:p>
            <w:pPr>
              <w:pStyle w:val="15"/>
              <w:keepNext w:val="0"/>
              <w:keepLines w:val="0"/>
              <w:pageBreakBefore w:val="0"/>
              <w:widowControl w:val="0"/>
              <w:numPr>
                <w:ilvl w:val="0"/>
                <w:numId w:val="5"/>
              </w:numPr>
              <w:wordWrap/>
              <w:overflowPunct/>
              <w:topLinePunct w:val="0"/>
              <w:bidi w:val="0"/>
              <w:spacing w:line="240" w:lineRule="auto"/>
              <w:ind w:left="105" w:leftChars="50" w:right="0" w:firstLine="0" w:firstLineChars="0"/>
              <w:jc w:val="both"/>
              <w:rPr>
                <w:rFonts w:hint="eastAsia" w:cs="宋体"/>
                <w:spacing w:val="-1"/>
                <w:sz w:val="24"/>
                <w:szCs w:val="24"/>
                <w:highlight w:val="none"/>
                <w:lang w:eastAsia="zh-CN"/>
              </w:rPr>
            </w:pPr>
            <w:r>
              <w:rPr>
                <w:rFonts w:hint="eastAsia" w:cs="宋体"/>
                <w:spacing w:val="-1"/>
                <w:sz w:val="24"/>
                <w:szCs w:val="24"/>
                <w:highlight w:val="none"/>
                <w:lang w:eastAsia="zh-CN"/>
              </w:rPr>
              <w:t>合作方在合同履约期限内，不得转租。招商场地必须由合作方自主经营，未经招商方书面同意，不得以任何形式转租、分租、出借及与他人合作经营，</w:t>
            </w:r>
            <w:r>
              <w:rPr>
                <w:rFonts w:hint="eastAsia" w:cs="宋体"/>
                <w:spacing w:val="-1"/>
                <w:sz w:val="24"/>
                <w:szCs w:val="24"/>
                <w:highlight w:val="none"/>
                <w:lang w:val="en-US" w:eastAsia="zh-CN"/>
              </w:rPr>
              <w:t>如有发生则招商方有权终止合作。</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合同期内，合作方负责点位的日常安全管理工作并承担点位发生的通讯（网络）、水电、等</w:t>
            </w:r>
            <w:r>
              <w:rPr>
                <w:rFonts w:hint="eastAsia" w:ascii="宋体" w:hAnsi="宋体" w:cs="宋体"/>
                <w:snapToGrid w:val="0"/>
                <w:color w:val="000000"/>
                <w:kern w:val="0"/>
                <w:sz w:val="24"/>
                <w:szCs w:val="24"/>
                <w:highlight w:val="none"/>
                <w:lang w:val="en-US" w:eastAsia="zh-CN" w:bidi="zh-CN"/>
              </w:rPr>
              <w:t>停车场运营</w:t>
            </w:r>
            <w:r>
              <w:rPr>
                <w:rFonts w:hint="eastAsia" w:ascii="宋体" w:hAnsi="宋体" w:eastAsia="宋体" w:cs="宋体"/>
                <w:snapToGrid w:val="0"/>
                <w:color w:val="000000"/>
                <w:kern w:val="0"/>
                <w:sz w:val="24"/>
                <w:szCs w:val="24"/>
                <w:highlight w:val="none"/>
                <w:lang w:val="en-US" w:eastAsia="zh-CN" w:bidi="zh-CN"/>
              </w:rPr>
              <w:t>相关费用。</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招商方仅提供场地，合作方需</w:t>
            </w:r>
            <w:r>
              <w:rPr>
                <w:rFonts w:hint="eastAsia" w:ascii="宋体" w:hAnsi="宋体" w:cs="宋体"/>
                <w:snapToGrid w:val="0"/>
                <w:color w:val="000000"/>
                <w:kern w:val="0"/>
                <w:sz w:val="24"/>
                <w:szCs w:val="24"/>
                <w:highlight w:val="none"/>
                <w:lang w:val="en-US" w:eastAsia="zh-CN" w:bidi="zh-CN"/>
              </w:rPr>
              <w:t>自行</w:t>
            </w:r>
            <w:r>
              <w:rPr>
                <w:rFonts w:hint="eastAsia"/>
                <w:spacing w:val="-1"/>
                <w:sz w:val="24"/>
                <w:szCs w:val="24"/>
                <w:highlight w:val="none"/>
                <w:lang w:val="en-US" w:eastAsia="zh-CN"/>
              </w:rPr>
              <w:t>建设不低于40个新能源汽车快充停车位并安装充电设备</w:t>
            </w:r>
            <w:r>
              <w:rPr>
                <w:rFonts w:hint="eastAsia"/>
                <w:spacing w:val="-1"/>
                <w:sz w:val="24"/>
                <w:szCs w:val="24"/>
                <w:lang w:val="en-US" w:eastAsia="zh-CN"/>
              </w:rPr>
              <w:t>，并负责已建成停车场代运营、停车场养护维修及日常管理。</w:t>
            </w:r>
            <w:r>
              <w:rPr>
                <w:rFonts w:hint="eastAsia" w:ascii="宋体" w:hAnsi="宋体" w:cs="宋体"/>
                <w:snapToGrid w:val="0"/>
                <w:color w:val="000000"/>
                <w:kern w:val="0"/>
                <w:sz w:val="24"/>
                <w:szCs w:val="24"/>
                <w:highlight w:val="none"/>
                <w:lang w:val="en-US" w:eastAsia="zh-CN" w:bidi="zh-CN"/>
              </w:rPr>
              <w:t>停车场</w:t>
            </w:r>
            <w:r>
              <w:rPr>
                <w:rFonts w:hint="eastAsia" w:ascii="宋体" w:hAnsi="宋体" w:eastAsia="宋体" w:cs="宋体"/>
                <w:snapToGrid w:val="0"/>
                <w:color w:val="000000"/>
                <w:kern w:val="0"/>
                <w:sz w:val="24"/>
                <w:szCs w:val="24"/>
                <w:highlight w:val="none"/>
                <w:lang w:val="en-US" w:eastAsia="zh-CN" w:bidi="zh-CN"/>
              </w:rPr>
              <w:t>项目运营不得改动或破坏点位周围环境。如擅自改动或破坏点位周围环境，合作方应立即恢复原状</w:t>
            </w:r>
            <w:r>
              <w:rPr>
                <w:rFonts w:hint="eastAsia" w:ascii="宋体" w:hAnsi="宋体" w:cs="宋体"/>
                <w:snapToGrid w:val="0"/>
                <w:color w:val="000000"/>
                <w:kern w:val="0"/>
                <w:sz w:val="24"/>
                <w:szCs w:val="24"/>
                <w:highlight w:val="none"/>
                <w:lang w:val="en-US" w:eastAsia="zh-CN" w:bidi="zh-CN"/>
              </w:rPr>
              <w:t>，</w:t>
            </w:r>
            <w:r>
              <w:rPr>
                <w:rFonts w:hint="eastAsia" w:ascii="宋体" w:hAnsi="宋体" w:eastAsia="宋体" w:cs="宋体"/>
                <w:snapToGrid w:val="0"/>
                <w:color w:val="000000"/>
                <w:kern w:val="0"/>
                <w:sz w:val="24"/>
                <w:szCs w:val="24"/>
                <w:highlight w:val="none"/>
                <w:lang w:val="en-US" w:eastAsia="zh-CN" w:bidi="zh-CN"/>
              </w:rPr>
              <w:t>给招商方或第三人造成的损失应由</w:t>
            </w:r>
            <w:r>
              <w:rPr>
                <w:rFonts w:hint="eastAsia" w:ascii="宋体" w:hAnsi="宋体" w:cs="宋体"/>
                <w:snapToGrid w:val="0"/>
                <w:color w:val="000000"/>
                <w:kern w:val="0"/>
                <w:sz w:val="24"/>
                <w:szCs w:val="24"/>
                <w:highlight w:val="none"/>
                <w:lang w:val="en-US" w:eastAsia="zh-CN" w:bidi="zh-CN"/>
              </w:rPr>
              <w:t>合作</w:t>
            </w:r>
            <w:r>
              <w:rPr>
                <w:rFonts w:hint="eastAsia" w:ascii="宋体" w:hAnsi="宋体" w:eastAsia="宋体" w:cs="宋体"/>
                <w:snapToGrid w:val="0"/>
                <w:color w:val="000000"/>
                <w:kern w:val="0"/>
                <w:sz w:val="24"/>
                <w:szCs w:val="24"/>
                <w:highlight w:val="none"/>
                <w:lang w:val="en-US" w:eastAsia="zh-CN" w:bidi="zh-CN"/>
              </w:rPr>
              <w:t>方承担赔偿责任。点位的装修、装潢费用及合同期内点位的维修费用全部由合作方自行承担。</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合作方要安排专人对停车场日常经营进行管理，确保停车场优质服务，停车场内干净整洁，停车有序。节假日及春游、秋游期间，停车场中的新能源车辆充电车位要对燃油车开放，停车遵循“先到先得”的原则。</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合同期内，合作方不得以任何理由要求减免底价及分成比例。如因法律法规及市政规定需要拆除或改造</w:t>
            </w:r>
            <w:r>
              <w:rPr>
                <w:rFonts w:hint="eastAsia" w:ascii="宋体" w:hAnsi="宋体" w:cs="宋体"/>
                <w:snapToGrid w:val="0"/>
                <w:color w:val="000000"/>
                <w:kern w:val="0"/>
                <w:sz w:val="24"/>
                <w:szCs w:val="24"/>
                <w:highlight w:val="none"/>
                <w:lang w:val="en-US" w:eastAsia="zh-CN" w:bidi="zh-CN"/>
              </w:rPr>
              <w:t>停车场</w:t>
            </w:r>
            <w:r>
              <w:rPr>
                <w:rFonts w:hint="eastAsia" w:ascii="宋体" w:hAnsi="宋体" w:eastAsia="宋体" w:cs="宋体"/>
                <w:snapToGrid w:val="0"/>
                <w:color w:val="000000"/>
                <w:kern w:val="0"/>
                <w:sz w:val="24"/>
                <w:szCs w:val="24"/>
                <w:highlight w:val="none"/>
                <w:lang w:val="en-US" w:eastAsia="zh-CN" w:bidi="zh-CN"/>
              </w:rPr>
              <w:t>而导致合同解除的，底价及分成款按照实际合作时间计算，不足整月的按实际天数计算，多退少补。合同期满或终止时，合作方的</w:t>
            </w:r>
            <w:r>
              <w:rPr>
                <w:rFonts w:hint="eastAsia" w:ascii="宋体" w:hAnsi="宋体" w:cs="宋体"/>
                <w:snapToGrid w:val="0"/>
                <w:color w:val="000000"/>
                <w:kern w:val="0"/>
                <w:sz w:val="24"/>
                <w:szCs w:val="24"/>
                <w:highlight w:val="none"/>
                <w:lang w:val="en-US" w:eastAsia="zh-CN" w:bidi="zh-CN"/>
              </w:rPr>
              <w:t>充电桩及其电站等设备</w:t>
            </w:r>
            <w:r>
              <w:rPr>
                <w:rFonts w:hint="eastAsia" w:ascii="宋体" w:hAnsi="宋体" w:eastAsia="宋体" w:cs="宋体"/>
                <w:snapToGrid w:val="0"/>
                <w:color w:val="000000"/>
                <w:kern w:val="0"/>
                <w:sz w:val="24"/>
                <w:szCs w:val="24"/>
                <w:highlight w:val="none"/>
                <w:lang w:val="en-US" w:eastAsia="zh-CN" w:bidi="zh-CN"/>
              </w:rPr>
              <w:t>需自行运走并将场地恢复原状，将点位在</w:t>
            </w:r>
            <w:r>
              <w:rPr>
                <w:rFonts w:hint="eastAsia" w:ascii="宋体" w:hAnsi="宋体" w:cs="宋体"/>
                <w:snapToGrid w:val="0"/>
                <w:color w:val="000000"/>
                <w:kern w:val="0"/>
                <w:sz w:val="24"/>
                <w:szCs w:val="24"/>
                <w:highlight w:val="none"/>
                <w:lang w:val="en-US" w:eastAsia="zh-CN" w:bidi="zh-CN"/>
              </w:rPr>
              <w:t>10</w:t>
            </w:r>
            <w:r>
              <w:rPr>
                <w:rFonts w:hint="eastAsia" w:ascii="宋体" w:hAnsi="宋体" w:eastAsia="宋体" w:cs="宋体"/>
                <w:snapToGrid w:val="0"/>
                <w:color w:val="000000"/>
                <w:kern w:val="0"/>
                <w:sz w:val="24"/>
                <w:szCs w:val="24"/>
                <w:highlight w:val="none"/>
                <w:lang w:val="en-US" w:eastAsia="zh-CN" w:bidi="zh-CN"/>
              </w:rPr>
              <w:t>日内交还招商方，并结清水、电等相关费用，且不得提出任何补偿要求。</w:t>
            </w:r>
            <w:r>
              <w:rPr>
                <w:rFonts w:hint="eastAsia" w:ascii="宋体" w:hAnsi="宋体" w:cs="宋体"/>
                <w:snapToGrid w:val="0"/>
                <w:color w:val="000000"/>
                <w:kern w:val="0"/>
                <w:sz w:val="24"/>
                <w:szCs w:val="24"/>
                <w:highlight w:val="none"/>
                <w:lang w:val="en-US" w:eastAsia="zh-CN" w:bidi="zh-CN"/>
              </w:rPr>
              <w:t>道闸、监控、收银系统等设备需留给甲方。</w:t>
            </w:r>
            <w:r>
              <w:rPr>
                <w:rFonts w:hint="eastAsia" w:ascii="宋体" w:hAnsi="宋体" w:eastAsia="宋体" w:cs="宋体"/>
                <w:snapToGrid w:val="0"/>
                <w:color w:val="000000"/>
                <w:kern w:val="0"/>
                <w:sz w:val="24"/>
                <w:szCs w:val="24"/>
                <w:highlight w:val="none"/>
                <w:lang w:val="en-US" w:eastAsia="zh-CN" w:bidi="zh-CN"/>
              </w:rPr>
              <w:t>经招商方验收合格后，退还合作方履约保证金。</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合作方应在《招商结果通知书》发出之日起7个工作日内与招商方签订《合肥野生动物园东门停车场经营权转让项目合同》。</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其他未尽事宜详见本公告附件《合肥野生动物园东门停车场经营权转让项目合同》。</w:t>
            </w:r>
          </w:p>
          <w:p>
            <w:pPr>
              <w:pStyle w:val="15"/>
              <w:keepNext w:val="0"/>
              <w:keepLines w:val="0"/>
              <w:pageBreakBefore w:val="0"/>
              <w:widowControl w:val="0"/>
              <w:numPr>
                <w:ilvl w:val="0"/>
                <w:numId w:val="0"/>
              </w:numPr>
              <w:wordWrap/>
              <w:overflowPunct/>
              <w:topLinePunct w:val="0"/>
              <w:bidi w:val="0"/>
              <w:spacing w:line="240" w:lineRule="auto"/>
              <w:ind w:leftChars="50" w:right="0" w:rightChars="0"/>
              <w:jc w:val="both"/>
              <w:rPr>
                <w:rFonts w:hint="eastAsia" w:cs="宋体"/>
                <w:spacing w:val="-1"/>
                <w:sz w:val="24"/>
                <w:szCs w:val="24"/>
                <w:highlight w:val="none"/>
                <w:lang w:eastAsia="zh-CN"/>
              </w:rPr>
            </w:pPr>
            <w:r>
              <w:rPr>
                <w:rFonts w:hint="eastAsia" w:cs="宋体"/>
                <w:spacing w:val="-1"/>
                <w:sz w:val="24"/>
                <w:szCs w:val="24"/>
                <w:highlight w:val="none"/>
                <w:lang w:val="en-US" w:eastAsia="zh-CN"/>
              </w:rPr>
              <w:t>10.</w:t>
            </w:r>
            <w:r>
              <w:rPr>
                <w:rFonts w:hint="eastAsia" w:cs="宋体"/>
                <w:spacing w:val="-1"/>
                <w:sz w:val="24"/>
                <w:szCs w:val="24"/>
                <w:highlight w:val="none"/>
                <w:lang w:eastAsia="zh-CN"/>
              </w:rPr>
              <w:t>特别说明：</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cs="宋体"/>
                <w:b w:val="0"/>
                <w:bCs w:val="0"/>
                <w:color w:val="000000"/>
                <w:sz w:val="24"/>
                <w:szCs w:val="24"/>
                <w:highlight w:val="none"/>
                <w:lang w:val="en-US" w:eastAsia="zh-CN"/>
              </w:rPr>
              <w:t>合作方</w:t>
            </w:r>
            <w:r>
              <w:rPr>
                <w:rFonts w:hint="eastAsia" w:ascii="宋体" w:hAnsi="宋体" w:eastAsia="宋体" w:cs="宋体"/>
                <w:b w:val="0"/>
                <w:bCs w:val="0"/>
                <w:color w:val="000000"/>
                <w:sz w:val="24"/>
                <w:szCs w:val="24"/>
                <w:highlight w:val="none"/>
                <w:lang w:val="en-US" w:eastAsia="zh-CN"/>
              </w:rPr>
              <w:t>需自行评估参与本次招商的预期风险及收益，参与</w:t>
            </w:r>
            <w:r>
              <w:rPr>
                <w:rFonts w:hint="eastAsia" w:cs="宋体"/>
                <w:b w:val="0"/>
                <w:bCs w:val="0"/>
                <w:color w:val="000000"/>
                <w:sz w:val="24"/>
                <w:szCs w:val="24"/>
                <w:highlight w:val="none"/>
                <w:lang w:val="en-US" w:eastAsia="zh-CN"/>
              </w:rPr>
              <w:t>合肥文旅博览集团野生动物园管理有限公司</w:t>
            </w:r>
            <w:r>
              <w:rPr>
                <w:rFonts w:hint="eastAsia" w:ascii="宋体" w:hAnsi="宋体" w:eastAsia="宋体" w:cs="宋体"/>
                <w:b w:val="0"/>
                <w:bCs w:val="0"/>
                <w:color w:val="000000"/>
                <w:sz w:val="24"/>
                <w:szCs w:val="24"/>
                <w:highlight w:val="none"/>
                <w:lang w:val="en-US" w:eastAsia="zh-CN"/>
              </w:rPr>
              <w:t>招商视作认可</w:t>
            </w:r>
            <w:r>
              <w:rPr>
                <w:rFonts w:hint="eastAsia" w:cs="宋体"/>
                <w:b w:val="0"/>
                <w:bCs w:val="0"/>
                <w:color w:val="000000"/>
                <w:sz w:val="24"/>
                <w:szCs w:val="24"/>
                <w:highlight w:val="none"/>
                <w:lang w:val="en-US" w:eastAsia="zh-CN"/>
              </w:rPr>
              <w:t>合肥文旅博览集团野生动物园管理有限公司</w:t>
            </w:r>
            <w:r>
              <w:rPr>
                <w:rFonts w:hint="eastAsia" w:ascii="宋体" w:hAnsi="宋体" w:eastAsia="宋体" w:cs="宋体"/>
                <w:b w:val="0"/>
                <w:bCs w:val="0"/>
                <w:color w:val="000000"/>
                <w:sz w:val="24"/>
                <w:szCs w:val="24"/>
                <w:highlight w:val="none"/>
                <w:lang w:val="en-US" w:eastAsia="zh-CN"/>
              </w:rPr>
              <w:t>招商相关要求及规定，本招商公告最终解释权归</w:t>
            </w:r>
            <w:r>
              <w:rPr>
                <w:rFonts w:hint="eastAsia" w:cs="宋体"/>
                <w:b w:val="0"/>
                <w:bCs w:val="0"/>
                <w:color w:val="000000"/>
                <w:sz w:val="24"/>
                <w:szCs w:val="24"/>
                <w:highlight w:val="none"/>
                <w:lang w:val="en-US" w:eastAsia="zh-CN"/>
              </w:rPr>
              <w:t>合肥文旅博览集团野生动物园管理有限公司</w:t>
            </w:r>
            <w:r>
              <w:rPr>
                <w:rFonts w:hint="eastAsia" w:ascii="宋体" w:hAnsi="宋体" w:eastAsia="宋体" w:cs="宋体"/>
                <w:b w:val="0"/>
                <w:bCs w:val="0"/>
                <w:color w:val="000000"/>
                <w:sz w:val="24"/>
                <w:szCs w:val="24"/>
                <w:highlight w:val="none"/>
                <w:lang w:val="en-US" w:eastAsia="zh-CN"/>
              </w:rPr>
              <w:t>所有。</w:t>
            </w:r>
          </w:p>
        </w:tc>
      </w:tr>
    </w:tbl>
    <w:tbl>
      <w:tblPr>
        <w:tblStyle w:val="11"/>
        <w:tblW w:w="100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0068" w:type="dxa"/>
            <w:noWrap w:val="0"/>
            <w:vAlign w:val="top"/>
          </w:tcPr>
          <w:p>
            <w:pPr>
              <w:pStyle w:val="17"/>
              <w:spacing w:before="66"/>
              <w:ind w:right="3024" w:firstLine="3600" w:firstLineChars="1500"/>
              <w:jc w:val="both"/>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五</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中标方</w:t>
            </w:r>
            <w:r>
              <w:rPr>
                <w:rFonts w:hint="eastAsia" w:ascii="宋体" w:hAnsi="宋体" w:eastAsia="宋体" w:cs="宋体"/>
                <w:color w:val="000000"/>
                <w:sz w:val="24"/>
                <w:szCs w:val="24"/>
                <w:highlight w:val="none"/>
              </w:rPr>
              <w:t xml:space="preserve">确定方式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068" w:type="dxa"/>
            <w:noWrap w:val="0"/>
            <w:vAlign w:val="top"/>
          </w:tcPr>
          <w:p>
            <w:pPr>
              <w:pStyle w:val="15"/>
              <w:numPr>
                <w:ilvl w:val="0"/>
                <w:numId w:val="0"/>
              </w:numPr>
              <w:kinsoku w:val="0"/>
              <w:autoSpaceDE w:val="0"/>
              <w:autoSpaceDN w:val="0"/>
              <w:adjustRightInd w:val="0"/>
              <w:snapToGrid w:val="0"/>
              <w:spacing w:before="115" w:line="263" w:lineRule="auto"/>
              <w:ind w:right="70" w:rightChars="0" w:firstLine="480" w:firstLineChars="200"/>
              <w:jc w:val="left"/>
              <w:textAlignment w:val="baseline"/>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本项目采用</w:t>
            </w:r>
            <w:r>
              <w:rPr>
                <w:rFonts w:hint="eastAsia" w:cs="宋体"/>
                <w:b w:val="0"/>
                <w:bCs w:val="0"/>
                <w:color w:val="000000"/>
                <w:sz w:val="24"/>
                <w:szCs w:val="24"/>
                <w:highlight w:val="none"/>
                <w:lang w:val="en-US" w:eastAsia="zh-CN"/>
              </w:rPr>
              <w:t>综合评分法</w:t>
            </w:r>
            <w:r>
              <w:rPr>
                <w:rFonts w:hint="eastAsia" w:ascii="宋体" w:hAnsi="宋体" w:eastAsia="宋体" w:cs="宋体"/>
                <w:b w:val="0"/>
                <w:bCs w:val="0"/>
                <w:color w:val="000000"/>
                <w:sz w:val="24"/>
                <w:szCs w:val="24"/>
                <w:highlight w:val="none"/>
                <w:lang w:val="en-US" w:eastAsia="zh-CN"/>
              </w:rPr>
              <w:t>。</w:t>
            </w:r>
            <w:r>
              <w:rPr>
                <w:rFonts w:hint="eastAsia" w:cs="宋体"/>
                <w:b w:val="0"/>
                <w:bCs w:val="0"/>
                <w:color w:val="000000"/>
                <w:sz w:val="24"/>
                <w:szCs w:val="24"/>
                <w:highlight w:val="none"/>
                <w:lang w:val="en-US" w:eastAsia="zh-CN"/>
              </w:rPr>
              <w:t>得分</w:t>
            </w:r>
            <w:r>
              <w:rPr>
                <w:rFonts w:hint="eastAsia" w:ascii="宋体" w:hAnsi="宋体" w:eastAsia="宋体" w:cs="宋体"/>
                <w:b w:val="0"/>
                <w:bCs w:val="0"/>
                <w:color w:val="000000"/>
                <w:sz w:val="24"/>
                <w:szCs w:val="24"/>
                <w:highlight w:val="none"/>
                <w:lang w:val="en-US" w:eastAsia="zh-CN"/>
              </w:rPr>
              <w:t>最高者确定为本项目最终</w:t>
            </w:r>
            <w:r>
              <w:rPr>
                <w:rFonts w:hint="eastAsia" w:cs="宋体"/>
                <w:b w:val="0"/>
                <w:bCs w:val="0"/>
                <w:color w:val="000000"/>
                <w:sz w:val="24"/>
                <w:szCs w:val="24"/>
                <w:highlight w:val="none"/>
                <w:lang w:val="en-US" w:eastAsia="zh-CN"/>
              </w:rPr>
              <w:t>合作</w:t>
            </w:r>
            <w:r>
              <w:rPr>
                <w:rFonts w:hint="eastAsia" w:ascii="宋体" w:hAnsi="宋体" w:eastAsia="宋体" w:cs="宋体"/>
                <w:b w:val="0"/>
                <w:bCs w:val="0"/>
                <w:color w:val="000000"/>
                <w:sz w:val="24"/>
                <w:szCs w:val="24"/>
                <w:highlight w:val="none"/>
                <w:lang w:val="en-US" w:eastAsia="zh-CN"/>
              </w:rPr>
              <w:t>方。</w:t>
            </w:r>
            <w:r>
              <w:rPr>
                <w:rFonts w:hint="eastAsia"/>
                <w:highlight w:val="none"/>
                <w:lang w:eastAsia="zh-CN"/>
              </w:rPr>
              <w:t>若此次招商所有合作方综合得分均低于</w:t>
            </w:r>
            <w:r>
              <w:rPr>
                <w:rFonts w:hint="eastAsia"/>
                <w:highlight w:val="none"/>
                <w:lang w:val="en-US" w:eastAsia="zh-CN"/>
              </w:rPr>
              <w:t>60分，则本次招商无效。</w:t>
            </w:r>
          </w:p>
          <w:tbl>
            <w:tblPr>
              <w:tblStyle w:val="11"/>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00"/>
              <w:gridCol w:w="677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8" w:type="dxa"/>
                  <w:gridSpan w:val="4"/>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商务、技术部分详细评审表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7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序号</w:t>
                  </w:r>
                </w:p>
              </w:tc>
              <w:tc>
                <w:tcPr>
                  <w:tcW w:w="110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指标</w:t>
                  </w:r>
                </w:p>
              </w:tc>
              <w:tc>
                <w:tcPr>
                  <w:tcW w:w="6772"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指标描述</w:t>
                  </w:r>
                </w:p>
              </w:tc>
              <w:tc>
                <w:tcPr>
                  <w:tcW w:w="133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分值 </w:t>
                  </w:r>
                </w:p>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r>
                    <w:rPr>
                      <w:rFonts w:hint="eastAsia" w:ascii="宋体" w:hAnsi="宋体" w:eastAsia="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7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Arial"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1</w:t>
                  </w:r>
                </w:p>
              </w:tc>
              <w:tc>
                <w:tcPr>
                  <w:tcW w:w="110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eastAsia" w:ascii="宋体" w:hAnsi="宋体" w:eastAsia="宋体" w:cs="Times New Roman"/>
                      <w:color w:val="000000"/>
                      <w:spacing w:val="3"/>
                      <w:sz w:val="24"/>
                      <w:highlight w:val="none"/>
                      <w:lang w:val="en-US" w:eastAsia="zh-CN"/>
                    </w:rPr>
                  </w:pPr>
                  <w:r>
                    <w:rPr>
                      <w:rFonts w:hint="eastAsia" w:ascii="宋体" w:hAnsi="宋体" w:cs="Times New Roman"/>
                      <w:color w:val="000000"/>
                      <w:spacing w:val="3"/>
                      <w:sz w:val="24"/>
                      <w:highlight w:val="none"/>
                      <w:lang w:val="en-US" w:eastAsia="zh-CN"/>
                    </w:rPr>
                    <w:t>安全管理方案</w:t>
                  </w:r>
                </w:p>
              </w:tc>
              <w:tc>
                <w:tcPr>
                  <w:tcW w:w="677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eastAsia" w:ascii="宋体" w:hAnsi="宋体" w:eastAsia="宋体" w:cs="Times New Roman"/>
                      <w:color w:val="000000"/>
                      <w:spacing w:val="3"/>
                      <w:sz w:val="24"/>
                      <w:highlight w:val="none"/>
                      <w:lang w:val="en-US" w:eastAsia="zh-CN"/>
                    </w:rPr>
                  </w:pPr>
                  <w:r>
                    <w:rPr>
                      <w:rFonts w:hint="eastAsia" w:ascii="宋体" w:hAnsi="宋体" w:cs="宋体"/>
                      <w:bCs/>
                      <w:color w:val="000000"/>
                      <w:sz w:val="24"/>
                      <w:szCs w:val="24"/>
                      <w:lang w:val="en-US" w:eastAsia="zh-CN"/>
                    </w:rPr>
                    <w:t>提供的安全管理方案齐全完善、详细、切实可行，安全方案内容科学合理，</w:t>
                  </w:r>
                  <w:r>
                    <w:rPr>
                      <w:rFonts w:hint="eastAsia" w:ascii="宋体" w:hAnsi="宋体" w:cs="宋体"/>
                      <w:bCs/>
                      <w:color w:val="000000"/>
                      <w:sz w:val="24"/>
                      <w:szCs w:val="24"/>
                      <w:highlight w:val="none"/>
                      <w:lang w:val="en-US" w:eastAsia="zh-CN"/>
                    </w:rPr>
                    <w:t>有可靠和可操作性的质量保证措施的得</w:t>
                  </w:r>
                  <w:r>
                    <w:rPr>
                      <w:rFonts w:hint="eastAsia" w:ascii="宋体" w:hAnsi="宋体" w:eastAsia="宋体" w:cs="Times New Roman"/>
                      <w:color w:val="000000"/>
                      <w:spacing w:val="3"/>
                      <w:sz w:val="24"/>
                      <w:highlight w:val="none"/>
                      <w:lang w:val="en-US" w:eastAsia="zh-CN"/>
                    </w:rPr>
                    <w:t>16</w:t>
                  </w:r>
                  <w:r>
                    <w:rPr>
                      <w:rFonts w:hint="eastAsia" w:ascii="宋体" w:hAnsi="宋体"/>
                      <w:color w:val="000000"/>
                      <w:spacing w:val="3"/>
                      <w:sz w:val="24"/>
                      <w:highlight w:val="none"/>
                    </w:rPr>
                    <w:t>≤F≤</w:t>
                  </w:r>
                  <w:r>
                    <w:rPr>
                      <w:rFonts w:hint="eastAsia" w:ascii="宋体" w:hAnsi="宋体" w:eastAsia="宋体"/>
                      <w:color w:val="000000"/>
                      <w:spacing w:val="3"/>
                      <w:sz w:val="24"/>
                      <w:highlight w:val="none"/>
                      <w:lang w:val="en-US" w:eastAsia="zh-CN"/>
                    </w:rPr>
                    <w:t>25</w:t>
                  </w:r>
                  <w:r>
                    <w:rPr>
                      <w:rFonts w:hint="eastAsia" w:ascii="宋体" w:hAnsi="宋体" w:cs="宋体"/>
                      <w:bCs/>
                      <w:color w:val="000000"/>
                      <w:sz w:val="24"/>
                      <w:szCs w:val="24"/>
                      <w:lang w:val="en-US" w:eastAsia="zh-CN"/>
                    </w:rPr>
                    <w:t>分； 安全方案齐全、描述简单、基本可行，质量保证措施一般的得8</w:t>
                  </w:r>
                  <w:r>
                    <w:rPr>
                      <w:rFonts w:hint="eastAsia" w:ascii="宋体" w:hAnsi="宋体"/>
                      <w:color w:val="000000"/>
                      <w:spacing w:val="3"/>
                      <w:sz w:val="24"/>
                      <w:highlight w:val="none"/>
                    </w:rPr>
                    <w:t>≤F</w:t>
                  </w:r>
                  <w:r>
                    <w:rPr>
                      <w:rFonts w:hint="eastAsia" w:ascii="宋体" w:hAnsi="宋体" w:eastAsia="宋体" w:cs="宋体"/>
                      <w:color w:val="000000"/>
                      <w:spacing w:val="3"/>
                      <w:sz w:val="24"/>
                      <w:highlight w:val="none"/>
                    </w:rPr>
                    <w:t>&lt;</w:t>
                  </w:r>
                  <w:r>
                    <w:rPr>
                      <w:rFonts w:hint="eastAsia" w:ascii="宋体" w:hAnsi="宋体" w:eastAsia="宋体"/>
                      <w:color w:val="000000"/>
                      <w:spacing w:val="3"/>
                      <w:sz w:val="24"/>
                      <w:highlight w:val="none"/>
                      <w:lang w:val="en-US" w:eastAsia="zh-CN"/>
                    </w:rPr>
                    <w:t>16</w:t>
                  </w:r>
                  <w:r>
                    <w:rPr>
                      <w:rFonts w:hint="eastAsia" w:ascii="宋体" w:hAnsi="宋体" w:cs="宋体"/>
                      <w:bCs/>
                      <w:color w:val="000000"/>
                      <w:sz w:val="24"/>
                      <w:szCs w:val="24"/>
                      <w:lang w:val="en-US" w:eastAsia="zh-CN"/>
                    </w:rPr>
                    <w:t>分；安全方案内容可行性欠妥、存在不合理处，质量保证措施较差或没有的得1</w:t>
                  </w:r>
                  <w:r>
                    <w:rPr>
                      <w:rFonts w:hint="eastAsia" w:ascii="宋体" w:hAnsi="宋体"/>
                      <w:color w:val="000000"/>
                      <w:spacing w:val="3"/>
                      <w:sz w:val="24"/>
                      <w:highlight w:val="none"/>
                    </w:rPr>
                    <w:t>≤F</w:t>
                  </w:r>
                  <w:r>
                    <w:rPr>
                      <w:rFonts w:hint="eastAsia" w:ascii="宋体" w:hAnsi="宋体" w:eastAsia="宋体" w:cs="宋体"/>
                      <w:color w:val="000000"/>
                      <w:spacing w:val="3"/>
                      <w:sz w:val="24"/>
                      <w:highlight w:val="none"/>
                    </w:rPr>
                    <w:t>&lt;</w:t>
                  </w:r>
                  <w:r>
                    <w:rPr>
                      <w:rFonts w:hint="eastAsia" w:ascii="宋体" w:hAnsi="宋体" w:eastAsia="宋体"/>
                      <w:color w:val="000000"/>
                      <w:spacing w:val="3"/>
                      <w:sz w:val="24"/>
                      <w:highlight w:val="none"/>
                      <w:lang w:val="en-US" w:eastAsia="zh-CN"/>
                    </w:rPr>
                    <w:t>8</w:t>
                  </w:r>
                  <w:r>
                    <w:rPr>
                      <w:rFonts w:hint="eastAsia" w:ascii="宋体" w:hAnsi="宋体" w:cs="宋体"/>
                      <w:bCs/>
                      <w:color w:val="000000"/>
                      <w:sz w:val="24"/>
                      <w:szCs w:val="24"/>
                      <w:lang w:val="en-US" w:eastAsia="zh-CN"/>
                    </w:rPr>
                    <w:t>分；未提供方案或提供的方案存在重大纰漏无法满足项目要求的得 0分。</w:t>
                  </w:r>
                </w:p>
              </w:tc>
              <w:tc>
                <w:tcPr>
                  <w:tcW w:w="133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2</w:t>
                  </w:r>
                </w:p>
              </w:tc>
              <w:tc>
                <w:tcPr>
                  <w:tcW w:w="11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cs="Times New Roman"/>
                      <w:color w:val="000000"/>
                      <w:spacing w:val="3"/>
                      <w:sz w:val="24"/>
                      <w:highlight w:val="none"/>
                      <w:lang w:val="en-US" w:eastAsia="zh-CN"/>
                    </w:rPr>
                    <w:t>停车场</w:t>
                  </w:r>
                  <w:r>
                    <w:rPr>
                      <w:rFonts w:hint="eastAsia" w:ascii="宋体" w:hAnsi="宋体" w:eastAsia="宋体" w:cs="Times New Roman"/>
                      <w:color w:val="000000"/>
                      <w:spacing w:val="3"/>
                      <w:sz w:val="24"/>
                      <w:highlight w:val="none"/>
                      <w:lang w:val="en-US" w:eastAsia="zh-CN"/>
                    </w:rPr>
                    <w:t>设计方案</w:t>
                  </w:r>
                  <w:r>
                    <w:rPr>
                      <w:rFonts w:hint="eastAsia" w:ascii="宋体" w:hAnsi="宋体" w:cs="Times New Roman"/>
                      <w:color w:val="000000"/>
                      <w:spacing w:val="3"/>
                      <w:sz w:val="24"/>
                      <w:highlight w:val="none"/>
                      <w:lang w:val="en-US" w:eastAsia="zh-CN"/>
                    </w:rPr>
                    <w:t>（需提供项目方案图）</w:t>
                  </w:r>
                </w:p>
              </w:tc>
              <w:tc>
                <w:tcPr>
                  <w:tcW w:w="67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合作方制定合肥野生动物园</w:t>
                  </w:r>
                  <w:r>
                    <w:rPr>
                      <w:rFonts w:hint="eastAsia" w:ascii="宋体" w:hAnsi="宋体" w:cs="Times New Roman"/>
                      <w:color w:val="000000"/>
                      <w:spacing w:val="3"/>
                      <w:sz w:val="24"/>
                      <w:highlight w:val="none"/>
                      <w:lang w:val="en-US" w:eastAsia="zh-CN"/>
                    </w:rPr>
                    <w:t>东门停车场</w:t>
                  </w:r>
                  <w:r>
                    <w:rPr>
                      <w:rFonts w:hint="eastAsia" w:ascii="宋体" w:hAnsi="宋体" w:eastAsia="宋体" w:cs="Times New Roman"/>
                      <w:color w:val="000000"/>
                      <w:spacing w:val="3"/>
                      <w:sz w:val="24"/>
                      <w:highlight w:val="none"/>
                      <w:lang w:val="en-US" w:eastAsia="zh-CN"/>
                    </w:rPr>
                    <w:t>设计方案，供评委进行综合评价。</w:t>
                  </w:r>
                  <w:r>
                    <w:rPr>
                      <w:rFonts w:hint="eastAsia" w:ascii="宋体" w:hAnsi="宋体"/>
                      <w:color w:val="000000"/>
                      <w:spacing w:val="3"/>
                      <w:sz w:val="24"/>
                      <w:highlight w:val="none"/>
                    </w:rPr>
                    <w:t>综合评价为优的，得</w:t>
                  </w:r>
                  <w:r>
                    <w:rPr>
                      <w:rFonts w:hint="eastAsia" w:ascii="宋体" w:hAnsi="宋体" w:eastAsia="宋体"/>
                      <w:color w:val="000000"/>
                      <w:spacing w:val="3"/>
                      <w:sz w:val="24"/>
                      <w:highlight w:val="none"/>
                      <w:lang w:val="en-US" w:eastAsia="zh-CN"/>
                    </w:rPr>
                    <w:t>16</w:t>
                  </w:r>
                  <w:r>
                    <w:rPr>
                      <w:rFonts w:hint="eastAsia" w:ascii="宋体" w:hAnsi="宋体"/>
                      <w:color w:val="000000"/>
                      <w:spacing w:val="3"/>
                      <w:sz w:val="24"/>
                      <w:highlight w:val="none"/>
                    </w:rPr>
                    <w:t>≤F≤</w:t>
                  </w:r>
                  <w:r>
                    <w:rPr>
                      <w:rFonts w:hint="eastAsia" w:ascii="宋体" w:hAnsi="宋体"/>
                      <w:color w:val="000000"/>
                      <w:spacing w:val="3"/>
                      <w:sz w:val="24"/>
                      <w:highlight w:val="none"/>
                      <w:lang w:val="en-US" w:eastAsia="zh-CN"/>
                    </w:rPr>
                    <w:t>25</w:t>
                  </w:r>
                  <w:r>
                    <w:rPr>
                      <w:rFonts w:hint="eastAsia" w:ascii="宋体" w:hAnsi="宋体"/>
                      <w:color w:val="000000"/>
                      <w:spacing w:val="3"/>
                      <w:sz w:val="24"/>
                      <w:highlight w:val="none"/>
                    </w:rPr>
                    <w:t>分；综合评价为良的，得</w:t>
                  </w:r>
                  <w:r>
                    <w:rPr>
                      <w:rFonts w:hint="eastAsia" w:ascii="宋体" w:hAnsi="宋体" w:eastAsia="宋体"/>
                      <w:color w:val="000000"/>
                      <w:spacing w:val="3"/>
                      <w:sz w:val="24"/>
                      <w:highlight w:val="none"/>
                      <w:lang w:val="en-US" w:eastAsia="zh-CN"/>
                    </w:rPr>
                    <w:t>8</w:t>
                  </w:r>
                  <w:r>
                    <w:rPr>
                      <w:rFonts w:hint="eastAsia" w:ascii="宋体" w:hAnsi="宋体"/>
                      <w:color w:val="000000"/>
                      <w:spacing w:val="3"/>
                      <w:sz w:val="24"/>
                      <w:highlight w:val="none"/>
                    </w:rPr>
                    <w:t>≤F＜</w:t>
                  </w:r>
                  <w:r>
                    <w:rPr>
                      <w:rFonts w:hint="eastAsia" w:ascii="宋体" w:hAnsi="宋体" w:eastAsia="宋体"/>
                      <w:color w:val="000000"/>
                      <w:spacing w:val="3"/>
                      <w:sz w:val="24"/>
                      <w:highlight w:val="none"/>
                      <w:lang w:val="en-US" w:eastAsia="zh-CN"/>
                    </w:rPr>
                    <w:t>16</w:t>
                  </w:r>
                  <w:r>
                    <w:rPr>
                      <w:rFonts w:hint="eastAsia" w:ascii="宋体" w:hAnsi="宋体"/>
                      <w:color w:val="000000"/>
                      <w:spacing w:val="3"/>
                      <w:sz w:val="24"/>
                      <w:highlight w:val="none"/>
                    </w:rPr>
                    <w:t>分；综合评价一般的，得1≤F＜</w:t>
                  </w:r>
                  <w:r>
                    <w:rPr>
                      <w:rFonts w:hint="eastAsia" w:ascii="宋体" w:hAnsi="宋体" w:eastAsia="宋体"/>
                      <w:color w:val="000000"/>
                      <w:spacing w:val="3"/>
                      <w:sz w:val="24"/>
                      <w:highlight w:val="none"/>
                      <w:lang w:val="en-US" w:eastAsia="zh-CN"/>
                    </w:rPr>
                    <w:t>8</w:t>
                  </w:r>
                  <w:r>
                    <w:rPr>
                      <w:rFonts w:hint="eastAsia" w:ascii="宋体" w:hAnsi="宋体"/>
                      <w:color w:val="000000"/>
                      <w:spacing w:val="3"/>
                      <w:sz w:val="24"/>
                      <w:highlight w:val="none"/>
                    </w:rPr>
                    <w:t>分，未提供不得分</w:t>
                  </w:r>
                  <w:r>
                    <w:rPr>
                      <w:rFonts w:hint="eastAsia" w:ascii="宋体" w:hAnsi="宋体" w:eastAsia="宋体" w:cs="Times New Roman"/>
                      <w:color w:val="000000"/>
                      <w:spacing w:val="3"/>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default" w:ascii="宋体" w:hAnsi="宋体" w:eastAsia="宋体" w:cs="Times New Roman"/>
                      <w:color w:val="auto"/>
                      <w:spacing w:val="3"/>
                      <w:sz w:val="24"/>
                      <w:highlight w:val="none"/>
                      <w:lang w:val="en-US" w:eastAsia="zh-CN"/>
                    </w:rPr>
                  </w:pPr>
                </w:p>
              </w:tc>
              <w:tc>
                <w:tcPr>
                  <w:tcW w:w="1336" w:type="dxa"/>
                  <w:noWrap w:val="0"/>
                  <w:vAlign w:val="center"/>
                </w:tcPr>
                <w:p>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ascii="宋体" w:hAnsi="宋体" w:cs="宋体"/>
                      <w:bCs/>
                      <w:color w:val="000000"/>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25</w:t>
                  </w:r>
                  <w:r>
                    <w:rPr>
                      <w:rFonts w:hint="eastAsia" w:ascii="宋体" w:hAnsi="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w:t>
                  </w:r>
                </w:p>
              </w:tc>
              <w:tc>
                <w:tcPr>
                  <w:tcW w:w="11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保底报价</w:t>
                  </w:r>
                </w:p>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（要求不少于</w:t>
                  </w:r>
                  <w:r>
                    <w:rPr>
                      <w:rFonts w:hint="eastAsia" w:ascii="宋体" w:hAnsi="宋体" w:cs="Times New Roman"/>
                      <w:color w:val="000000"/>
                      <w:spacing w:val="3"/>
                      <w:sz w:val="24"/>
                      <w:highlight w:val="none"/>
                      <w:lang w:val="en-US" w:eastAsia="zh-CN"/>
                    </w:rPr>
                    <w:t>11.52</w:t>
                  </w:r>
                  <w:r>
                    <w:rPr>
                      <w:rFonts w:hint="eastAsia" w:ascii="宋体" w:hAnsi="宋体" w:eastAsia="宋体" w:cs="Times New Roman"/>
                      <w:color w:val="000000"/>
                      <w:spacing w:val="3"/>
                      <w:sz w:val="24"/>
                      <w:highlight w:val="none"/>
                      <w:lang w:val="en-US" w:eastAsia="zh-CN"/>
                    </w:rPr>
                    <w:t>万元）</w:t>
                  </w:r>
                </w:p>
              </w:tc>
              <w:tc>
                <w:tcPr>
                  <w:tcW w:w="67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合作方应根据自身综合能力，对招商方年度能获得的保底分成额做出报价，报价需要不低于项目评估底价。以满足文件要求的有效最高保底报价作为基准价，得分25分，其他报价得分=（其他报价/基准价）×25%×100（保留至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000000"/>
                      <w:spacing w:val="3"/>
                      <w:sz w:val="24"/>
                      <w:highlight w:val="none"/>
                      <w:lang w:val="en-US" w:eastAsia="zh-CN"/>
                    </w:rPr>
                    <w:t>注意：招商方全年分成总和大于保底报价时，招商方按照分成总和收取合作经营款，招商方全年分成总和小于等于保底报价时，招商方按照保底报价收取合作经营款，请合作方谨慎对待，慎重报价。</w:t>
                  </w:r>
                </w:p>
              </w:tc>
              <w:tc>
                <w:tcPr>
                  <w:tcW w:w="1336" w:type="dxa"/>
                  <w:noWrap w:val="0"/>
                  <w:vAlign w:val="center"/>
                </w:tcPr>
                <w:p>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000000"/>
                      <w:spacing w:val="3"/>
                      <w:sz w:val="24"/>
                      <w:highlight w:val="none"/>
                      <w:lang w:val="en-US" w:eastAsia="zh-CN"/>
                    </w:rPr>
                    <w:t>分成比例报价</w:t>
                  </w:r>
                  <w:r>
                    <w:rPr>
                      <w:rFonts w:hint="eastAsia" w:ascii="宋体" w:hAnsi="宋体" w:cs="宋体"/>
                      <w:color w:val="auto"/>
                      <w:sz w:val="24"/>
                      <w:szCs w:val="24"/>
                      <w:highlight w:val="none"/>
                      <w:lang w:val="en-US" w:eastAsia="zh-CN"/>
                    </w:rPr>
                    <w:t>（要求不少于10%）</w:t>
                  </w:r>
                </w:p>
              </w:tc>
              <w:tc>
                <w:tcPr>
                  <w:tcW w:w="67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招商方分成比例最低不得少于</w:t>
                  </w:r>
                  <w:r>
                    <w:rPr>
                      <w:rFonts w:hint="eastAsia" w:ascii="宋体" w:hAnsi="宋体" w:cs="Times New Roman"/>
                      <w:color w:val="000000"/>
                      <w:spacing w:val="3"/>
                      <w:sz w:val="24"/>
                      <w:highlight w:val="none"/>
                      <w:lang w:val="en-US" w:eastAsia="zh-CN"/>
                    </w:rPr>
                    <w:t>10</w:t>
                  </w:r>
                  <w:r>
                    <w:rPr>
                      <w:rFonts w:hint="eastAsia" w:ascii="宋体" w:hAnsi="宋体" w:eastAsia="宋体" w:cs="Times New Roman"/>
                      <w:color w:val="000000"/>
                      <w:spacing w:val="3"/>
                      <w:sz w:val="24"/>
                      <w:highlight w:val="none"/>
                      <w:lang w:val="en-US" w:eastAsia="zh-CN"/>
                    </w:rPr>
                    <w:t>%。以满足文件要求的有效最高招商方分成比例报价为基准价，得25分，其他报价得分=（其他报价/基准价）×25%×100（保留至小数点后两位）。</w:t>
                  </w:r>
                </w:p>
                <w:p>
                  <w:pPr>
                    <w:keepNext w:val="0"/>
                    <w:keepLines w:val="0"/>
                    <w:pageBreakBefore w:val="0"/>
                    <w:widowControl/>
                    <w:kinsoku/>
                    <w:wordWrap/>
                    <w:overflowPunct/>
                    <w:topLinePunct w:val="0"/>
                    <w:autoSpaceDE/>
                    <w:autoSpaceDN/>
                    <w:bidi w:val="0"/>
                    <w:adjustRightInd/>
                    <w:snapToGrid/>
                    <w:spacing w:line="240" w:lineRule="auto"/>
                    <w:ind w:left="0" w:leftChars="0" w:right="0"/>
                    <w:jc w:val="both"/>
                    <w:textAlignment w:val="auto"/>
                    <w:rPr>
                      <w:rFonts w:hint="default" w:ascii="宋体" w:hAnsi="宋体" w:eastAsia="宋体" w:cs="Times New Roman"/>
                      <w:color w:val="auto"/>
                      <w:spacing w:val="3"/>
                      <w:sz w:val="24"/>
                      <w:highlight w:val="none"/>
                      <w:lang w:val="en-US" w:eastAsia="zh-CN"/>
                    </w:rPr>
                  </w:pPr>
                </w:p>
              </w:tc>
              <w:tc>
                <w:tcPr>
                  <w:tcW w:w="1336" w:type="dxa"/>
                  <w:noWrap w:val="0"/>
                  <w:vAlign w:val="center"/>
                </w:tcPr>
                <w:p>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25</w:t>
                  </w:r>
                  <w:r>
                    <w:rPr>
                      <w:rFonts w:hint="eastAsia" w:ascii="宋体" w:hAnsi="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b/>
                      <w:bCs/>
                      <w:color w:val="000000"/>
                      <w:sz w:val="24"/>
                      <w:szCs w:val="24"/>
                      <w:highlight w:val="none"/>
                      <w:lang w:val="en-US" w:eastAsia="zh-CN"/>
                    </w:rPr>
                  </w:pPr>
                </w:p>
              </w:tc>
              <w:tc>
                <w:tcPr>
                  <w:tcW w:w="7872"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合计（1</w:t>
                  </w:r>
                  <w:r>
                    <w:rPr>
                      <w:rFonts w:ascii="宋体" w:hAnsi="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4</w:t>
                  </w:r>
                  <w:r>
                    <w:rPr>
                      <w:rFonts w:hint="eastAsia" w:ascii="宋体" w:hAnsi="宋体" w:cs="宋体"/>
                      <w:b/>
                      <w:bCs/>
                      <w:color w:val="000000"/>
                      <w:sz w:val="24"/>
                      <w:szCs w:val="24"/>
                      <w:highlight w:val="none"/>
                    </w:rPr>
                    <w:t>项）</w:t>
                  </w:r>
                </w:p>
              </w:tc>
              <w:tc>
                <w:tcPr>
                  <w:tcW w:w="13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100</w:t>
                  </w:r>
                  <w:r>
                    <w:rPr>
                      <w:rFonts w:hint="eastAsia" w:ascii="宋体" w:hAnsi="宋体" w:cs="宋体"/>
                      <w:b/>
                      <w:bCs/>
                      <w:color w:val="000000"/>
                      <w:sz w:val="24"/>
                      <w:szCs w:val="24"/>
                      <w:highlight w:val="none"/>
                    </w:rPr>
                    <w:t>分</w:t>
                  </w:r>
                </w:p>
              </w:tc>
            </w:tr>
          </w:tbl>
          <w:p>
            <w:pPr>
              <w:pStyle w:val="15"/>
              <w:numPr>
                <w:ilvl w:val="0"/>
                <w:numId w:val="0"/>
              </w:numPr>
              <w:kinsoku w:val="0"/>
              <w:autoSpaceDE w:val="0"/>
              <w:autoSpaceDN w:val="0"/>
              <w:adjustRightInd w:val="0"/>
              <w:snapToGrid w:val="0"/>
              <w:spacing w:before="115" w:line="263" w:lineRule="auto"/>
              <w:ind w:right="70" w:rightChars="0" w:firstLine="480" w:firstLineChars="200"/>
              <w:jc w:val="left"/>
              <w:textAlignment w:val="baseline"/>
              <w:rPr>
                <w:rFonts w:hint="eastAsia" w:ascii="宋体" w:hAnsi="宋体" w:eastAsia="宋体" w:cs="宋体"/>
                <w:b w:val="0"/>
                <w:bCs w:val="0"/>
                <w:color w:val="000000"/>
                <w:sz w:val="24"/>
                <w:szCs w:val="24"/>
                <w:highlight w:val="none"/>
                <w:lang w:val="zh-CN" w:eastAsia="zh-CN"/>
              </w:rPr>
            </w:pPr>
            <w:r>
              <w:rPr>
                <w:rFonts w:hint="eastAsia" w:ascii="宋体" w:hAnsi="宋体" w:eastAsia="宋体" w:cs="宋体"/>
                <w:b w:val="0"/>
                <w:bCs w:val="0"/>
                <w:color w:val="000000"/>
                <w:sz w:val="24"/>
                <w:szCs w:val="24"/>
                <w:highlight w:val="none"/>
                <w:lang w:val="zh-CN" w:eastAsia="zh-CN"/>
              </w:rPr>
              <w:t>最终成交结果以</w:t>
            </w:r>
            <w:r>
              <w:rPr>
                <w:rFonts w:hint="eastAsia" w:cs="宋体"/>
                <w:b w:val="0"/>
                <w:bCs w:val="0"/>
                <w:color w:val="000000"/>
                <w:sz w:val="24"/>
                <w:szCs w:val="24"/>
                <w:highlight w:val="none"/>
                <w:lang w:val="zh-CN" w:eastAsia="zh-CN"/>
              </w:rPr>
              <w:t>招商结果公告</w:t>
            </w:r>
            <w:r>
              <w:rPr>
                <w:rFonts w:hint="eastAsia" w:ascii="宋体" w:hAnsi="宋体" w:eastAsia="宋体" w:cs="宋体"/>
                <w:b w:val="0"/>
                <w:bCs w:val="0"/>
                <w:color w:val="000000"/>
                <w:sz w:val="24"/>
                <w:szCs w:val="24"/>
                <w:highlight w:val="none"/>
                <w:lang w:val="zh-CN" w:eastAsia="zh-CN"/>
              </w:rPr>
              <w:t>为准。</w:t>
            </w:r>
          </w:p>
          <w:p>
            <w:pPr>
              <w:pStyle w:val="15"/>
              <w:numPr>
                <w:ilvl w:val="0"/>
                <w:numId w:val="0"/>
              </w:numPr>
              <w:kinsoku w:val="0"/>
              <w:autoSpaceDE w:val="0"/>
              <w:autoSpaceDN w:val="0"/>
              <w:adjustRightInd w:val="0"/>
              <w:snapToGrid w:val="0"/>
              <w:spacing w:before="115" w:line="263" w:lineRule="auto"/>
              <w:ind w:right="70" w:rightChars="0" w:firstLine="482" w:firstLineChars="200"/>
              <w:jc w:val="left"/>
              <w:textAlignment w:val="baseline"/>
              <w:rPr>
                <w:rFonts w:hint="eastAsia" w:ascii="宋体" w:hAnsi="宋体" w:eastAsia="宋体" w:cs="宋体"/>
                <w:color w:val="000000"/>
                <w:w w:val="100"/>
                <w:sz w:val="24"/>
                <w:szCs w:val="24"/>
                <w:highlight w:val="none"/>
                <w:lang w:eastAsia="zh-CN"/>
              </w:rPr>
            </w:pPr>
            <w:r>
              <w:rPr>
                <w:rFonts w:hint="eastAsia" w:ascii="宋体" w:hAnsi="宋体" w:eastAsia="宋体" w:cs="宋体"/>
                <w:b/>
                <w:color w:val="000000"/>
                <w:sz w:val="24"/>
                <w:szCs w:val="24"/>
                <w:highlight w:val="none"/>
              </w:rPr>
              <w:t>注：最高报价是指不低于公告底价的最高报价。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068" w:type="dxa"/>
            <w:noWrap w:val="0"/>
            <w:vAlign w:val="top"/>
          </w:tcPr>
          <w:p>
            <w:pPr>
              <w:pStyle w:val="17"/>
              <w:spacing w:before="2" w:line="310" w:lineRule="atLeast"/>
              <w:ind w:right="95"/>
              <w:jc w:val="center"/>
              <w:rPr>
                <w:rFonts w:hint="eastAsia" w:ascii="宋体" w:hAnsi="宋体" w:eastAsia="宋体" w:cs="宋体"/>
                <w:b/>
                <w:color w:val="000000"/>
                <w:sz w:val="24"/>
                <w:szCs w:val="24"/>
                <w:highlight w:val="none"/>
              </w:rPr>
            </w:pPr>
            <w:r>
              <w:rPr>
                <w:rFonts w:hint="eastAsia" w:cs="宋体"/>
                <w:color w:val="000000"/>
                <w:sz w:val="24"/>
                <w:szCs w:val="24"/>
                <w:highlight w:val="none"/>
                <w:lang w:eastAsia="zh-CN"/>
              </w:rPr>
              <w:t>六</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投标方</w:t>
            </w:r>
            <w:r>
              <w:rPr>
                <w:rFonts w:hint="eastAsia" w:ascii="宋体" w:hAnsi="宋体" w:eastAsia="宋体" w:cs="宋体"/>
                <w:color w:val="000000"/>
                <w:sz w:val="24"/>
                <w:szCs w:val="24"/>
                <w:highlight w:val="none"/>
              </w:rPr>
              <w:t>参与方式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068" w:type="dxa"/>
            <w:noWrap w:val="0"/>
            <w:vAlign w:val="center"/>
          </w:tcPr>
          <w:p>
            <w:pPr>
              <w:pStyle w:val="17"/>
              <w:spacing w:before="2" w:line="310" w:lineRule="atLeast"/>
              <w:ind w:right="95"/>
              <w:jc w:val="left"/>
              <w:rPr>
                <w:rFonts w:hint="eastAsia" w:cs="宋体"/>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bidi="zh-CN"/>
              </w:rPr>
              <w:t>登录合肥文旅博览集团网站</w:t>
            </w:r>
            <w:r>
              <w:rPr>
                <w:rFonts w:hint="eastAsia" w:ascii="宋体" w:hAnsi="宋体"/>
                <w:bCs/>
                <w:color w:val="000000"/>
                <w:sz w:val="24"/>
                <w:szCs w:val="24"/>
                <w:highlight w:val="none"/>
              </w:rPr>
              <w:t>http://www.zwzcgl.com/index/lists/008002</w:t>
            </w:r>
            <w:r>
              <w:rPr>
                <w:rFonts w:hint="eastAsia" w:ascii="宋体" w:hAnsi="宋体" w:eastAsia="宋体" w:cs="宋体"/>
                <w:b w:val="0"/>
                <w:bCs w:val="0"/>
                <w:color w:val="000000"/>
                <w:sz w:val="24"/>
                <w:szCs w:val="24"/>
                <w:highlight w:val="none"/>
                <w:lang w:val="en-US" w:eastAsia="zh-CN" w:bidi="zh-CN"/>
              </w:rPr>
              <w:t>下载附件</w:t>
            </w:r>
            <w:r>
              <w:rPr>
                <w:rFonts w:hint="eastAsia" w:ascii="宋体" w:hAnsi="宋体" w:eastAsia="宋体" w:cs="宋体"/>
                <w:b/>
                <w:bCs/>
                <w:color w:val="000000"/>
                <w:sz w:val="24"/>
                <w:szCs w:val="24"/>
                <w:highlight w:val="none"/>
                <w:lang w:val="en-US" w:eastAsia="zh-CN" w:bidi="zh-CN"/>
              </w:rPr>
              <w:t>《招商报名信息表》</w:t>
            </w:r>
            <w:r>
              <w:rPr>
                <w:rFonts w:hint="eastAsia" w:ascii="宋体" w:hAnsi="宋体" w:eastAsia="宋体" w:cs="宋体"/>
                <w:b w:val="0"/>
                <w:bCs w:val="0"/>
                <w:color w:val="000000"/>
                <w:sz w:val="24"/>
                <w:szCs w:val="24"/>
                <w:highlight w:val="none"/>
                <w:lang w:val="en-US" w:eastAsia="zh-CN" w:bidi="zh-CN"/>
              </w:rPr>
              <w:t>完整填写信息，在公告期内（202</w:t>
            </w:r>
            <w:r>
              <w:rPr>
                <w:rFonts w:hint="eastAsia" w:cs="宋体"/>
                <w:b w:val="0"/>
                <w:bCs w:val="0"/>
                <w:color w:val="000000"/>
                <w:sz w:val="24"/>
                <w:szCs w:val="24"/>
                <w:highlight w:val="none"/>
                <w:lang w:val="en-US" w:eastAsia="zh-CN" w:bidi="zh-CN"/>
              </w:rPr>
              <w:t>5</w:t>
            </w:r>
            <w:r>
              <w:rPr>
                <w:rFonts w:hint="eastAsia" w:ascii="宋体" w:hAnsi="宋体" w:eastAsia="宋体" w:cs="宋体"/>
                <w:b w:val="0"/>
                <w:bCs w:val="0"/>
                <w:color w:val="000000"/>
                <w:sz w:val="24"/>
                <w:szCs w:val="24"/>
                <w:highlight w:val="none"/>
                <w:lang w:val="en-US" w:eastAsia="zh-CN" w:bidi="zh-CN"/>
              </w:rPr>
              <w:t>年</w:t>
            </w:r>
            <w:r>
              <w:rPr>
                <w:rFonts w:hint="eastAsia" w:cs="宋体"/>
                <w:b w:val="0"/>
                <w:bCs w:val="0"/>
                <w:color w:val="000000"/>
                <w:sz w:val="24"/>
                <w:szCs w:val="24"/>
                <w:highlight w:val="none"/>
                <w:lang w:val="en-US" w:eastAsia="zh-CN" w:bidi="zh-CN"/>
              </w:rPr>
              <w:t>6月18日17：00</w:t>
            </w:r>
            <w:r>
              <w:rPr>
                <w:rFonts w:hint="eastAsia" w:ascii="宋体" w:hAnsi="宋体" w:eastAsia="宋体" w:cs="宋体"/>
                <w:b w:val="0"/>
                <w:bCs w:val="0"/>
                <w:color w:val="000000"/>
                <w:sz w:val="24"/>
                <w:szCs w:val="24"/>
                <w:highlight w:val="none"/>
                <w:lang w:val="en-US" w:eastAsia="zh-CN" w:bidi="zh-CN"/>
              </w:rPr>
              <w:t>前）发送至邮箱</w:t>
            </w:r>
            <w:r>
              <w:rPr>
                <w:rFonts w:hint="eastAsia" w:ascii="宋体" w:hAnsi="宋体" w:eastAsia="宋体" w:cs="宋体"/>
                <w:b w:val="0"/>
                <w:bCs w:val="0"/>
                <w:color w:val="000000"/>
                <w:sz w:val="24"/>
                <w:szCs w:val="24"/>
                <w:highlight w:val="none"/>
                <w:u w:val="none"/>
                <w:lang w:val="en-US" w:eastAsia="zh-CN" w:bidi="zh-CN"/>
              </w:rPr>
              <w:t>：</w:t>
            </w:r>
            <w:r>
              <w:rPr>
                <w:rFonts w:hint="eastAsia" w:cs="宋体"/>
                <w:b w:val="0"/>
                <w:bCs w:val="0"/>
                <w:color w:val="000000"/>
                <w:sz w:val="24"/>
                <w:szCs w:val="24"/>
                <w:highlight w:val="none"/>
                <w:u w:val="single"/>
                <w:lang w:val="en-US" w:eastAsia="zh-CN" w:bidi="zh-CN"/>
              </w:rPr>
              <w:t>18756920218</w:t>
            </w:r>
            <w:r>
              <w:rPr>
                <w:rFonts w:hint="eastAsia" w:ascii="宋体" w:hAnsi="宋体" w:eastAsia="宋体" w:cs="宋体"/>
                <w:b w:val="0"/>
                <w:bCs w:val="0"/>
                <w:color w:val="000000"/>
                <w:sz w:val="24"/>
                <w:szCs w:val="24"/>
                <w:highlight w:val="none"/>
                <w:u w:val="single"/>
                <w:lang w:val="en-US" w:eastAsia="zh-CN" w:bidi="zh-CN"/>
              </w:rPr>
              <w:t>@</w:t>
            </w:r>
            <w:r>
              <w:rPr>
                <w:rFonts w:hint="eastAsia" w:cs="宋体"/>
                <w:b w:val="0"/>
                <w:bCs w:val="0"/>
                <w:color w:val="000000"/>
                <w:sz w:val="24"/>
                <w:szCs w:val="24"/>
                <w:highlight w:val="none"/>
                <w:u w:val="single"/>
                <w:lang w:val="en-US" w:eastAsia="zh-CN" w:bidi="zh-CN"/>
              </w:rPr>
              <w:t>163</w:t>
            </w:r>
            <w:r>
              <w:rPr>
                <w:rFonts w:hint="eastAsia" w:ascii="宋体" w:hAnsi="宋体" w:eastAsia="宋体" w:cs="宋体"/>
                <w:b w:val="0"/>
                <w:bCs w:val="0"/>
                <w:color w:val="000000"/>
                <w:sz w:val="24"/>
                <w:szCs w:val="24"/>
                <w:highlight w:val="none"/>
                <w:u w:val="single"/>
                <w:lang w:val="en-US" w:eastAsia="zh-CN" w:bidi="zh-CN"/>
              </w:rPr>
              <w:t>.com</w:t>
            </w:r>
          </w:p>
        </w:tc>
      </w:tr>
    </w:tbl>
    <w:tbl>
      <w:tblPr>
        <w:tblStyle w:val="16"/>
        <w:tblW w:w="100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8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2"/>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center"/>
              <w:textAlignment w:val="auto"/>
              <w:rPr>
                <w:highlight w:val="none"/>
              </w:rPr>
            </w:pPr>
            <w:r>
              <w:rPr>
                <w:rFonts w:hint="eastAsia"/>
                <w:spacing w:val="-2"/>
                <w:highlight w:val="none"/>
                <w:lang w:eastAsia="zh-CN"/>
              </w:rPr>
              <w:t>七</w:t>
            </w:r>
            <w:r>
              <w:rPr>
                <w:spacing w:val="-2"/>
                <w:highlight w:val="none"/>
              </w:rPr>
              <w:t>、</w:t>
            </w:r>
            <w:r>
              <w:rPr>
                <w:rFonts w:hint="eastAsia" w:cs="宋体"/>
                <w:color w:val="000000"/>
                <w:sz w:val="24"/>
                <w:szCs w:val="24"/>
                <w:highlight w:val="none"/>
                <w:lang w:val="en-US" w:eastAsia="zh-CN" w:bidi="zh-CN"/>
              </w:rPr>
              <w:t>投标方</w:t>
            </w:r>
            <w:r>
              <w:rPr>
                <w:rFonts w:hint="eastAsia" w:ascii="宋体" w:hAnsi="宋体" w:eastAsia="宋体" w:cs="宋体"/>
                <w:color w:val="000000"/>
                <w:sz w:val="24"/>
                <w:szCs w:val="24"/>
                <w:highlight w:val="none"/>
                <w:lang w:val="en-US" w:eastAsia="zh-CN" w:bidi="zh-CN"/>
              </w:rPr>
              <w:t>需提供的材料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42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center"/>
              <w:textAlignment w:val="auto"/>
              <w:rPr>
                <w:highlight w:val="none"/>
              </w:rPr>
            </w:pPr>
            <w:r>
              <w:rPr>
                <w:rFonts w:hint="eastAsia" w:ascii="宋体" w:hAnsi="宋体" w:eastAsia="宋体" w:cs="宋体"/>
                <w:color w:val="000000"/>
                <w:sz w:val="24"/>
                <w:szCs w:val="24"/>
                <w:highlight w:val="none"/>
                <w:lang w:eastAsia="zh-CN"/>
              </w:rPr>
              <w:t>报送材料</w:t>
            </w:r>
          </w:p>
        </w:tc>
        <w:tc>
          <w:tcPr>
            <w:tcW w:w="86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（一）</w:t>
            </w:r>
            <w:r>
              <w:rPr>
                <w:rFonts w:hint="eastAsia" w:ascii="宋体" w:hAnsi="宋体" w:cs="宋体"/>
                <w:b w:val="0"/>
                <w:bCs w:val="0"/>
                <w:color w:val="000000"/>
                <w:sz w:val="24"/>
                <w:szCs w:val="24"/>
                <w:lang w:val="en-US" w:eastAsia="zh-CN"/>
              </w:rPr>
              <w:t>意向合作方</w:t>
            </w:r>
            <w:r>
              <w:rPr>
                <w:rFonts w:hint="eastAsia" w:ascii="宋体" w:hAnsi="宋体" w:eastAsia="宋体" w:cs="宋体"/>
                <w:b w:val="0"/>
                <w:bCs w:val="0"/>
                <w:color w:val="000000"/>
                <w:sz w:val="24"/>
                <w:szCs w:val="24"/>
                <w:lang w:val="en-US" w:eastAsia="zh-CN"/>
              </w:rPr>
              <w:t>应提供的材料，包含但不限于以下内容：</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1.主体资格证明文件：</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（1）企业法人登记证书副本复印件或营业执照副本复印件；</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（2）法定代表人</w:t>
            </w:r>
            <w:r>
              <w:rPr>
                <w:rFonts w:hint="eastAsia" w:ascii="宋体" w:hAnsi="宋体" w:cs="宋体"/>
                <w:b w:val="0"/>
                <w:bCs w:val="0"/>
                <w:color w:val="000000"/>
                <w:sz w:val="24"/>
                <w:szCs w:val="24"/>
                <w:lang w:val="en-US" w:eastAsia="zh-CN"/>
              </w:rPr>
              <w:t>或委托代理人</w:t>
            </w:r>
            <w:r>
              <w:rPr>
                <w:rFonts w:hint="eastAsia" w:ascii="宋体" w:hAnsi="宋体" w:eastAsia="宋体" w:cs="宋体"/>
                <w:b w:val="0"/>
                <w:bCs w:val="0"/>
                <w:color w:val="000000"/>
                <w:sz w:val="24"/>
                <w:szCs w:val="24"/>
                <w:lang w:val="en-US" w:eastAsia="zh-CN"/>
              </w:rPr>
              <w:t>身份证复印件</w:t>
            </w:r>
            <w:r>
              <w:rPr>
                <w:rFonts w:hint="eastAsia" w:ascii="宋体" w:hAnsi="宋体" w:cs="宋体"/>
                <w:b w:val="0"/>
                <w:bCs w:val="0"/>
                <w:color w:val="000000"/>
                <w:sz w:val="24"/>
                <w:szCs w:val="24"/>
                <w:lang w:val="en-US" w:eastAsia="zh-CN"/>
              </w:rPr>
              <w:t>及授权委托书</w:t>
            </w:r>
            <w:r>
              <w:rPr>
                <w:rFonts w:hint="eastAsia" w:ascii="宋体" w:hAnsi="宋体" w:eastAsia="宋体" w:cs="宋体"/>
                <w:b w:val="0"/>
                <w:bCs w:val="0"/>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lang w:val="en-US" w:eastAsia="zh-CN"/>
              </w:rPr>
              <w:t>（3）</w:t>
            </w:r>
            <w:r>
              <w:rPr>
                <w:rFonts w:hint="eastAsia" w:ascii="宋体" w:hAnsi="宋体" w:cs="宋体"/>
                <w:b w:val="0"/>
                <w:bCs w:val="0"/>
                <w:color w:val="000000"/>
                <w:sz w:val="24"/>
                <w:szCs w:val="24"/>
                <w:lang w:val="en-US" w:eastAsia="zh-CN"/>
              </w:rPr>
              <w:t>合作方</w:t>
            </w:r>
            <w:r>
              <w:rPr>
                <w:rFonts w:hint="eastAsia" w:ascii="宋体" w:hAnsi="宋体" w:eastAsia="宋体" w:cs="宋体"/>
                <w:b w:val="0"/>
                <w:bCs w:val="0"/>
                <w:color w:val="000000"/>
                <w:sz w:val="24"/>
                <w:szCs w:val="24"/>
                <w:lang w:val="en-US" w:eastAsia="zh-CN"/>
              </w:rPr>
              <w:t>认为必要</w:t>
            </w:r>
            <w:r>
              <w:rPr>
                <w:rFonts w:hint="eastAsia" w:ascii="宋体" w:hAnsi="宋体" w:eastAsia="宋体" w:cs="宋体"/>
                <w:b w:val="0"/>
                <w:bCs w:val="0"/>
                <w:color w:val="000000"/>
                <w:sz w:val="24"/>
                <w:szCs w:val="24"/>
                <w:highlight w:val="none"/>
                <w:lang w:val="en-US" w:eastAsia="zh-CN"/>
              </w:rPr>
              <w:t>的其他证明资料</w:t>
            </w:r>
            <w:r>
              <w:rPr>
                <w:rFonts w:hint="eastAsia" w:ascii="宋体" w:hAnsi="宋体" w:cs="宋体"/>
                <w:b w:val="0"/>
                <w:bCs w:val="0"/>
                <w:color w:val="000000"/>
                <w:sz w:val="24"/>
                <w:szCs w:val="24"/>
                <w:highlight w:val="none"/>
                <w:lang w:val="en-US" w:eastAsia="zh-CN"/>
              </w:rPr>
              <w:t>，例如投标方信用承诺等</w:t>
            </w:r>
            <w:r>
              <w:rPr>
                <w:rFonts w:hint="eastAsia" w:ascii="宋体" w:hAnsi="宋体" w:eastAsia="宋体" w:cs="宋体"/>
                <w:b w:val="0"/>
                <w:bCs w:val="0"/>
                <w:color w:val="000000"/>
                <w:sz w:val="24"/>
                <w:szCs w:val="24"/>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2、业绩证明材料及各类设计方案或样品；</w:t>
            </w:r>
            <w:r>
              <w:rPr>
                <w:rFonts w:hint="eastAsia" w:ascii="宋体" w:hAnsi="宋体" w:eastAsia="宋体" w:cs="宋体"/>
                <w:b w:val="0"/>
                <w:bCs w:val="0"/>
                <w:color w:val="000000"/>
                <w:sz w:val="24"/>
                <w:szCs w:val="24"/>
                <w:highlight w:val="non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3.报价单（报价单须加盖单位公章）。</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textAlignment w:val="auto"/>
              <w:rPr>
                <w:rFonts w:hint="eastAsia" w:ascii="宋体" w:hAnsi="宋体" w:eastAsia="宋体" w:cs="宋体"/>
                <w:i w:val="0"/>
                <w:iCs w:val="0"/>
                <w:caps w:val="0"/>
                <w:color w:val="000000"/>
                <w:spacing w:val="0"/>
                <w:sz w:val="24"/>
                <w:szCs w:val="24"/>
                <w:highlight w:val="none"/>
                <w:shd w:val="clear" w:color="auto" w:fill="FFFFFF"/>
                <w:lang w:eastAsia="zh-CN"/>
              </w:rPr>
            </w:pPr>
            <w:r>
              <w:rPr>
                <w:rFonts w:hint="eastAsia" w:ascii="宋体" w:hAnsi="宋体" w:cs="宋体"/>
                <w:i w:val="0"/>
                <w:iCs w:val="0"/>
                <w:caps w:val="0"/>
                <w:color w:val="000000"/>
                <w:spacing w:val="0"/>
                <w:sz w:val="24"/>
                <w:szCs w:val="24"/>
                <w:highlight w:val="none"/>
                <w:shd w:val="clear" w:color="auto" w:fill="FFFFFF"/>
                <w:lang w:eastAsia="zh-CN"/>
              </w:rPr>
              <w:t>所有材料必须</w:t>
            </w:r>
            <w:r>
              <w:rPr>
                <w:rFonts w:hint="eastAsia" w:ascii="宋体" w:hAnsi="宋体" w:eastAsia="宋体" w:cs="宋体"/>
                <w:i w:val="0"/>
                <w:iCs w:val="0"/>
                <w:caps w:val="0"/>
                <w:color w:val="000000"/>
                <w:spacing w:val="0"/>
                <w:sz w:val="24"/>
                <w:szCs w:val="24"/>
                <w:highlight w:val="none"/>
                <w:shd w:val="clear" w:color="auto" w:fill="FFFFFF"/>
              </w:rPr>
              <w:t>密封包装</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包装上标注“</w:t>
            </w:r>
            <w:r>
              <w:rPr>
                <w:rFonts w:hint="eastAsia" w:ascii="宋体" w:hAnsi="宋体" w:eastAsia="宋体" w:cs="宋体"/>
                <w:color w:val="000000"/>
                <w:kern w:val="0"/>
                <w:sz w:val="24"/>
                <w:szCs w:val="24"/>
                <w:highlight w:val="none"/>
              </w:rPr>
              <w:t>合肥野生动物园东门停车场经营权转让项目</w:t>
            </w:r>
            <w:r>
              <w:rPr>
                <w:rFonts w:hint="eastAsia" w:ascii="宋体" w:hAnsi="宋体" w:eastAsia="宋体" w:cs="宋体"/>
                <w:i w:val="0"/>
                <w:iCs w:val="0"/>
                <w:caps w:val="0"/>
                <w:color w:val="000000"/>
                <w:spacing w:val="0"/>
                <w:sz w:val="24"/>
                <w:szCs w:val="24"/>
                <w:highlight w:val="none"/>
                <w:shd w:val="clear" w:color="auto" w:fill="FFFFFF"/>
              </w:rPr>
              <w:t>”字样并清楚标明</w:t>
            </w:r>
            <w:r>
              <w:rPr>
                <w:rFonts w:hint="eastAsia" w:ascii="宋体" w:hAnsi="宋体" w:eastAsia="宋体" w:cs="宋体"/>
                <w:i w:val="0"/>
                <w:iCs w:val="0"/>
                <w:caps w:val="0"/>
                <w:color w:val="000000"/>
                <w:spacing w:val="0"/>
                <w:sz w:val="24"/>
                <w:szCs w:val="24"/>
                <w:highlight w:val="none"/>
                <w:shd w:val="clear" w:color="auto" w:fill="FFFFFF"/>
                <w:lang w:val="en-US" w:eastAsia="zh-CN"/>
              </w:rPr>
              <w:t>意向合作</w:t>
            </w:r>
            <w:r>
              <w:rPr>
                <w:rFonts w:hint="eastAsia" w:ascii="宋体" w:hAnsi="宋体" w:eastAsia="宋体" w:cs="宋体"/>
                <w:i w:val="0"/>
                <w:iCs w:val="0"/>
                <w:caps w:val="0"/>
                <w:color w:val="000000"/>
                <w:spacing w:val="0"/>
                <w:sz w:val="24"/>
                <w:szCs w:val="24"/>
                <w:highlight w:val="none"/>
                <w:shd w:val="clear" w:color="auto" w:fill="FFFFFF"/>
              </w:rPr>
              <w:t>方的名称及联系方式，同时加盖单位公章</w:t>
            </w:r>
            <w:r>
              <w:rPr>
                <w:rFonts w:hint="eastAsia" w:ascii="宋体" w:hAnsi="宋体" w:eastAsia="宋体" w:cs="宋体"/>
                <w:i w:val="0"/>
                <w:iCs w:val="0"/>
                <w:caps w:val="0"/>
                <w:color w:val="000000"/>
                <w:spacing w:val="0"/>
                <w:sz w:val="24"/>
                <w:szCs w:val="24"/>
                <w:highlight w:val="none"/>
                <w:shd w:val="clear" w:color="auto" w:fill="FFFFFF"/>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textAlignment w:val="auto"/>
              <w:rPr>
                <w:rFonts w:hint="default"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4.</w:t>
            </w:r>
            <w:r>
              <w:rPr>
                <w:rFonts w:hint="eastAsia" w:ascii="宋体" w:hAnsi="宋体" w:eastAsia="宋体" w:cs="宋体"/>
                <w:i w:val="0"/>
                <w:iCs w:val="0"/>
                <w:caps w:val="0"/>
                <w:color w:val="000000"/>
                <w:spacing w:val="0"/>
                <w:sz w:val="24"/>
                <w:szCs w:val="24"/>
                <w:highlight w:val="none"/>
                <w:shd w:val="clear" w:color="auto" w:fill="FFFFFF"/>
                <w:lang w:val="en-US" w:eastAsia="zh-CN"/>
              </w:rPr>
              <w:t>报价材料的送达地点：合肥市</w:t>
            </w:r>
            <w:r>
              <w:rPr>
                <w:rFonts w:hint="eastAsia" w:ascii="宋体" w:hAnsi="宋体" w:cs="宋体"/>
                <w:i w:val="0"/>
                <w:iCs w:val="0"/>
                <w:caps w:val="0"/>
                <w:color w:val="000000"/>
                <w:spacing w:val="0"/>
                <w:sz w:val="24"/>
                <w:szCs w:val="24"/>
                <w:highlight w:val="none"/>
                <w:shd w:val="clear" w:color="auto" w:fill="FFFFFF"/>
                <w:lang w:val="en-US" w:eastAsia="zh-CN"/>
              </w:rPr>
              <w:t>高新区望江西路600号合肥野生动物园商业管理部，报送截止时间为：2025年6月19日下午14：30</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在本公告要求提交材料的截止时间之后送达或未封装的报价材料，</w:t>
            </w:r>
            <w:r>
              <w:rPr>
                <w:rFonts w:hint="eastAsia" w:cs="宋体"/>
                <w:i w:val="0"/>
                <w:iCs w:val="0"/>
                <w:caps w:val="0"/>
                <w:color w:val="000000"/>
                <w:spacing w:val="0"/>
                <w:sz w:val="24"/>
                <w:szCs w:val="24"/>
                <w:shd w:val="clear" w:color="auto" w:fill="FFFFFF"/>
                <w:lang w:val="en-US" w:eastAsia="zh-CN"/>
              </w:rPr>
              <w:t>合肥文旅博览集团野生动物园管理有限公司</w:t>
            </w:r>
            <w:r>
              <w:rPr>
                <w:rFonts w:hint="eastAsia" w:ascii="宋体" w:hAnsi="宋体" w:eastAsia="宋体" w:cs="宋体"/>
                <w:i w:val="0"/>
                <w:iCs w:val="0"/>
                <w:caps w:val="0"/>
                <w:color w:val="000000"/>
                <w:spacing w:val="0"/>
                <w:sz w:val="24"/>
                <w:szCs w:val="24"/>
                <w:shd w:val="clear" w:color="auto" w:fill="FFFFFF"/>
                <w:lang w:val="en-US" w:eastAsia="zh-CN"/>
              </w:rPr>
              <w:t>拒绝接收。</w:t>
            </w:r>
            <w:r>
              <w:rPr>
                <w:rFonts w:hint="eastAsia" w:ascii="宋体" w:hAnsi="宋体" w:eastAsia="宋体" w:cs="宋体"/>
                <w:color w:val="000000"/>
                <w:spacing w:val="-6"/>
                <w:sz w:val="24"/>
                <w:szCs w:val="24"/>
              </w:rPr>
              <w:t>联系人：</w:t>
            </w:r>
            <w:r>
              <w:rPr>
                <w:rFonts w:hint="eastAsia" w:cs="宋体"/>
                <w:color w:val="000000"/>
                <w:spacing w:val="-6"/>
                <w:sz w:val="24"/>
                <w:szCs w:val="24"/>
                <w:lang w:eastAsia="zh-CN"/>
              </w:rPr>
              <w:t>王</w:t>
            </w:r>
            <w:r>
              <w:rPr>
                <w:rFonts w:hint="eastAsia" w:ascii="宋体" w:hAnsi="宋体" w:eastAsia="宋体" w:cs="宋体"/>
                <w:color w:val="000000"/>
                <w:spacing w:val="-6"/>
                <w:sz w:val="24"/>
                <w:szCs w:val="24"/>
                <w:lang w:eastAsia="zh-CN"/>
              </w:rPr>
              <w:t>工</w:t>
            </w:r>
            <w:r>
              <w:rPr>
                <w:rFonts w:hint="eastAsia" w:ascii="宋体" w:hAnsi="宋体" w:eastAsia="宋体" w:cs="宋体"/>
                <w:color w:val="000000"/>
                <w:spacing w:val="-6"/>
                <w:sz w:val="24"/>
                <w:szCs w:val="24"/>
              </w:rPr>
              <w:t xml:space="preserve">，联系电话： </w:t>
            </w:r>
            <w:r>
              <w:rPr>
                <w:rFonts w:hint="eastAsia" w:ascii="宋体" w:hAnsi="宋体" w:eastAsia="宋体" w:cs="宋体"/>
                <w:color w:val="000000"/>
                <w:sz w:val="24"/>
                <w:szCs w:val="24"/>
              </w:rPr>
              <w:t>0551-</w:t>
            </w:r>
            <w:r>
              <w:rPr>
                <w:rFonts w:hint="eastAsia" w:cs="宋体"/>
                <w:color w:val="000000"/>
                <w:sz w:val="24"/>
                <w:szCs w:val="24"/>
                <w:lang w:val="en-US" w:eastAsia="zh-CN"/>
              </w:rPr>
              <w:t>65395655）。</w:t>
            </w:r>
          </w:p>
        </w:tc>
      </w:tr>
    </w:tbl>
    <w:tbl>
      <w:tblPr>
        <w:tblStyle w:val="11"/>
        <w:tblW w:w="100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5"/>
        <w:gridCol w:w="8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color w:val="000000"/>
                <w:sz w:val="24"/>
                <w:szCs w:val="24"/>
                <w:highlight w:val="none"/>
                <w:lang w:eastAsia="zh-CN"/>
              </w:rPr>
              <w:t>八</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招商</w:t>
            </w:r>
            <w:r>
              <w:rPr>
                <w:rFonts w:hint="eastAsia" w:ascii="宋体" w:hAnsi="宋体" w:eastAsia="宋体" w:cs="宋体"/>
                <w:color w:val="000000"/>
                <w:sz w:val="24"/>
                <w:szCs w:val="24"/>
                <w:highlight w:val="none"/>
              </w:rPr>
              <w:t>结束后相关程序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ascii="宋体" w:hAnsi="宋体" w:cs="宋体"/>
                <w:color w:val="000000"/>
                <w:sz w:val="24"/>
                <w:szCs w:val="24"/>
                <w:highlight w:val="none"/>
                <w:lang w:val="en-US" w:eastAsia="zh-CN" w:bidi="zh-CN"/>
              </w:rPr>
              <w:t>招商结果公告</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招商结束且无异常情况，合肥文旅博览集团野生动物园管理有限公司将在合肥文旅博览集团官网发布招商结果公告，公示期3个工作日。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ascii="宋体" w:hAnsi="宋体" w:eastAsia="宋体" w:cs="宋体"/>
                <w:color w:val="000000"/>
                <w:sz w:val="24"/>
                <w:szCs w:val="24"/>
                <w:highlight w:val="none"/>
                <w:lang w:val="en-US" w:eastAsia="zh-CN" w:bidi="zh-CN"/>
              </w:rPr>
              <w:t>签订合同</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中标</w:t>
            </w:r>
            <w:r>
              <w:rPr>
                <w:rFonts w:hint="eastAsia" w:ascii="宋体" w:hAnsi="宋体" w:cs="宋体"/>
                <w:i w:val="0"/>
                <w:iCs w:val="0"/>
                <w:caps w:val="0"/>
                <w:color w:val="000000"/>
                <w:spacing w:val="0"/>
                <w:sz w:val="24"/>
                <w:szCs w:val="24"/>
                <w:highlight w:val="none"/>
                <w:shd w:val="clear" w:color="auto" w:fill="FFFFFF"/>
                <w:lang w:val="en-US" w:eastAsia="zh-CN"/>
              </w:rPr>
              <w:t>合作方</w:t>
            </w:r>
            <w:r>
              <w:rPr>
                <w:rFonts w:hint="eastAsia" w:ascii="宋体" w:hAnsi="宋体" w:eastAsia="宋体" w:cs="宋体"/>
                <w:i w:val="0"/>
                <w:iCs w:val="0"/>
                <w:caps w:val="0"/>
                <w:color w:val="000000"/>
                <w:spacing w:val="0"/>
                <w:sz w:val="24"/>
                <w:szCs w:val="24"/>
                <w:highlight w:val="none"/>
                <w:shd w:val="clear" w:color="auto" w:fill="FFFFFF"/>
                <w:lang w:val="en-US" w:eastAsia="zh-CN"/>
              </w:rPr>
              <w:t>请于招商结果公告期结束日起 7 个工作日内前来我司签订</w:t>
            </w:r>
            <w:r>
              <w:rPr>
                <w:rFonts w:hint="eastAsia" w:ascii="宋体" w:hAnsi="宋体" w:cs="宋体"/>
                <w:i w:val="0"/>
                <w:iCs w:val="0"/>
                <w:caps w:val="0"/>
                <w:color w:val="000000"/>
                <w:spacing w:val="0"/>
                <w:sz w:val="24"/>
                <w:szCs w:val="24"/>
                <w:highlight w:val="none"/>
                <w:shd w:val="clear" w:color="auto" w:fill="FFFFFF"/>
                <w:lang w:val="en-US" w:eastAsia="zh-CN"/>
              </w:rPr>
              <w:t>经营权转让</w:t>
            </w:r>
            <w:r>
              <w:rPr>
                <w:rFonts w:hint="eastAsia" w:ascii="宋体" w:hAnsi="宋体" w:eastAsia="宋体" w:cs="宋体"/>
                <w:i w:val="0"/>
                <w:iCs w:val="0"/>
                <w:caps w:val="0"/>
                <w:color w:val="000000"/>
                <w:spacing w:val="0"/>
                <w:sz w:val="24"/>
                <w:szCs w:val="24"/>
                <w:highlight w:val="none"/>
                <w:shd w:val="clear" w:color="auto" w:fill="FFFFFF"/>
                <w:lang w:val="en-US" w:eastAsia="zh-CN"/>
              </w:rPr>
              <w:t>合同。公司地址：合肥市高新区望江西路600号合肥野生动物园。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2"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zh-CN"/>
              </w:rPr>
              <w:t>异议处理</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若对</w:t>
            </w:r>
            <w:r>
              <w:rPr>
                <w:rFonts w:hint="eastAsia" w:cs="宋体"/>
                <w:i w:val="0"/>
                <w:iCs w:val="0"/>
                <w:caps w:val="0"/>
                <w:color w:val="000000"/>
                <w:spacing w:val="0"/>
                <w:sz w:val="24"/>
                <w:szCs w:val="24"/>
                <w:highlight w:val="none"/>
                <w:shd w:val="clear" w:color="auto" w:fill="FFFFFF"/>
                <w:lang w:val="en-US" w:eastAsia="zh-CN" w:bidi="zh-CN"/>
              </w:rPr>
              <w:t>招商结果公告</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有异议，可自</w:t>
            </w:r>
            <w:r>
              <w:rPr>
                <w:rFonts w:hint="eastAsia" w:cs="宋体"/>
                <w:i w:val="0"/>
                <w:iCs w:val="0"/>
                <w:caps w:val="0"/>
                <w:color w:val="000000"/>
                <w:spacing w:val="0"/>
                <w:sz w:val="24"/>
                <w:szCs w:val="24"/>
                <w:highlight w:val="none"/>
                <w:shd w:val="clear" w:color="auto" w:fill="FFFFFF"/>
                <w:lang w:val="en-US" w:eastAsia="zh-CN" w:bidi="zh-CN"/>
              </w:rPr>
              <w:t>招商结果公告</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发布</w:t>
            </w:r>
            <w:r>
              <w:rPr>
                <w:rFonts w:hint="eastAsia" w:cs="宋体"/>
                <w:i w:val="0"/>
                <w:iCs w:val="0"/>
                <w:caps w:val="0"/>
                <w:color w:val="000000"/>
                <w:spacing w:val="0"/>
                <w:sz w:val="24"/>
                <w:szCs w:val="24"/>
                <w:highlight w:val="none"/>
                <w:shd w:val="clear" w:color="auto" w:fill="FFFFFF"/>
                <w:lang w:val="en-US" w:eastAsia="zh-CN" w:bidi="zh-CN"/>
              </w:rPr>
              <w:t>之日</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起</w:t>
            </w:r>
            <w:r>
              <w:rPr>
                <w:rFonts w:hint="eastAsia" w:cs="宋体"/>
                <w:i w:val="0"/>
                <w:iCs w:val="0"/>
                <w:caps w:val="0"/>
                <w:color w:val="000000"/>
                <w:spacing w:val="0"/>
                <w:sz w:val="24"/>
                <w:szCs w:val="24"/>
                <w:highlight w:val="none"/>
                <w:shd w:val="clear" w:color="auto" w:fill="FFFFFF"/>
                <w:lang w:val="en-US" w:eastAsia="zh-CN" w:bidi="zh-CN"/>
              </w:rPr>
              <w:t>3</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个工作日内，以书面形式向</w:t>
            </w:r>
            <w:r>
              <w:rPr>
                <w:rFonts w:hint="eastAsia" w:cs="宋体"/>
                <w:i w:val="0"/>
                <w:iCs w:val="0"/>
                <w:caps w:val="0"/>
                <w:color w:val="000000"/>
                <w:spacing w:val="0"/>
                <w:sz w:val="24"/>
                <w:szCs w:val="24"/>
                <w:highlight w:val="none"/>
                <w:shd w:val="clear" w:color="auto" w:fill="FFFFFF"/>
                <w:lang w:val="en-US" w:eastAsia="zh-CN" w:bidi="zh-CN"/>
              </w:rPr>
              <w:t>合肥文旅博览集团野生动物园管理有限公司</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提出异议，异议材料递交地址：合肥</w:t>
            </w:r>
            <w:r>
              <w:rPr>
                <w:rFonts w:hint="eastAsia" w:cs="宋体"/>
                <w:i w:val="0"/>
                <w:iCs w:val="0"/>
                <w:caps w:val="0"/>
                <w:color w:val="000000"/>
                <w:spacing w:val="0"/>
                <w:sz w:val="24"/>
                <w:szCs w:val="24"/>
                <w:highlight w:val="none"/>
                <w:shd w:val="clear" w:color="auto" w:fill="FFFFFF"/>
                <w:lang w:val="en-US" w:eastAsia="zh-CN" w:bidi="zh-CN"/>
              </w:rPr>
              <w:t>市高新区望江西路600号合肥野生动物园。</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联系电话：0551-</w:t>
            </w:r>
            <w:r>
              <w:rPr>
                <w:rFonts w:hint="eastAsia" w:cs="宋体"/>
                <w:i w:val="0"/>
                <w:iCs w:val="0"/>
                <w:caps w:val="0"/>
                <w:color w:val="000000"/>
                <w:spacing w:val="0"/>
                <w:sz w:val="24"/>
                <w:szCs w:val="24"/>
                <w:highlight w:val="none"/>
                <w:shd w:val="clear" w:color="auto" w:fill="FFFFFF"/>
                <w:lang w:val="en-US" w:eastAsia="zh-CN" w:bidi="zh-CN"/>
              </w:rPr>
              <w:t>65395655</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（一）异议应以书面形式实名提出，书面异议材料应当包括以内容：</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1.异议人的名称/姓名、地址、有效联系方式；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项目名称、项目编号、标的号（如有）；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被异议人名称/姓名；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具体的异议事项、基本事实及必要的证明材料；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明确的请求及主张；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提起异议的日期。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异议人为法人的，应当由法定代表人或其委托代理人（需有委托授权书）签字并加盖公章。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异议人需要修改、补充异议材料的，应当在异议期内提交修改或补充材料。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（二）有下列情形之一的，不予受理： </w:t>
            </w:r>
          </w:p>
          <w:p>
            <w:pPr>
              <w:pStyle w:val="17"/>
              <w:keepNext w:val="0"/>
              <w:keepLines w:val="0"/>
              <w:pageBreakBefore w:val="0"/>
              <w:widowControl w:val="0"/>
              <w:numPr>
                <w:ilvl w:val="0"/>
                <w:numId w:val="7"/>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提起异议的主体不是所异议项目</w:t>
            </w:r>
            <w:r>
              <w:rPr>
                <w:rFonts w:hint="eastAsia" w:cs="宋体"/>
                <w:i w:val="0"/>
                <w:iCs w:val="0"/>
                <w:caps w:val="0"/>
                <w:color w:val="000000"/>
                <w:spacing w:val="0"/>
                <w:sz w:val="24"/>
                <w:szCs w:val="24"/>
                <w:highlight w:val="none"/>
                <w:shd w:val="clear" w:color="auto" w:fill="FFFFFF"/>
                <w:lang w:val="en-US" w:eastAsia="zh-CN" w:bidi="zh-CN"/>
              </w:rPr>
              <w:t>合作方</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的</w:t>
            </w:r>
            <w:r>
              <w:rPr>
                <w:rFonts w:hint="eastAsia" w:cs="宋体"/>
                <w:i w:val="0"/>
                <w:iCs w:val="0"/>
                <w:caps w:val="0"/>
                <w:color w:val="000000"/>
                <w:spacing w:val="0"/>
                <w:sz w:val="24"/>
                <w:szCs w:val="24"/>
                <w:highlight w:val="none"/>
                <w:shd w:val="clear" w:color="auto" w:fill="FFFFFF"/>
                <w:lang w:val="en-US" w:eastAsia="zh-CN" w:bidi="zh-CN"/>
              </w:rPr>
              <w:t>，或者未通过资格审查的合作方</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 </w:t>
            </w:r>
          </w:p>
          <w:p>
            <w:pPr>
              <w:pStyle w:val="17"/>
              <w:keepNext w:val="0"/>
              <w:keepLines w:val="0"/>
              <w:pageBreakBefore w:val="0"/>
              <w:widowControl w:val="0"/>
              <w:numPr>
                <w:ilvl w:val="0"/>
                <w:numId w:val="7"/>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异议材料不完整的； </w:t>
            </w:r>
          </w:p>
          <w:p>
            <w:pPr>
              <w:pStyle w:val="17"/>
              <w:keepNext w:val="0"/>
              <w:keepLines w:val="0"/>
              <w:pageBreakBefore w:val="0"/>
              <w:widowControl w:val="0"/>
              <w:numPr>
                <w:ilvl w:val="0"/>
                <w:numId w:val="7"/>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异议事项含有主观猜测等内容且未提供有效线索、难以查证的。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center"/>
              <w:textAlignment w:val="auto"/>
              <w:rPr>
                <w:rFonts w:hint="eastAsia" w:ascii="宋体" w:hAnsi="宋体" w:eastAsia="宋体" w:cs="宋体"/>
                <w:color w:val="000000"/>
                <w:spacing w:val="-3"/>
                <w:sz w:val="24"/>
                <w:szCs w:val="24"/>
                <w:highlight w:val="none"/>
                <w:lang w:eastAsia="zh-CN"/>
              </w:rPr>
            </w:pPr>
            <w:r>
              <w:rPr>
                <w:rFonts w:hint="eastAsia" w:cs="宋体"/>
                <w:color w:val="000000"/>
                <w:spacing w:val="-3"/>
                <w:sz w:val="24"/>
                <w:szCs w:val="24"/>
                <w:highlight w:val="none"/>
                <w:lang w:eastAsia="zh-CN"/>
              </w:rPr>
              <w:t>九</w:t>
            </w:r>
            <w:r>
              <w:rPr>
                <w:rFonts w:hint="eastAsia" w:ascii="宋体" w:hAnsi="宋体" w:eastAsia="宋体" w:cs="宋体"/>
                <w:color w:val="000000"/>
                <w:spacing w:val="-3"/>
                <w:sz w:val="24"/>
                <w:szCs w:val="24"/>
                <w:highlight w:val="none"/>
                <w:lang w:eastAsia="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3"/>
                <w:sz w:val="24"/>
                <w:szCs w:val="24"/>
                <w:highlight w:val="none"/>
              </w:rPr>
            </w:pPr>
            <w:r>
              <w:rPr>
                <w:rFonts w:hint="eastAsia" w:ascii="宋体" w:hAnsi="宋体" w:eastAsia="宋体" w:cs="宋体"/>
                <w:color w:val="000000"/>
                <w:sz w:val="24"/>
                <w:szCs w:val="24"/>
                <w:highlight w:val="none"/>
              </w:rPr>
              <w:t>现场</w:t>
            </w:r>
            <w:r>
              <w:rPr>
                <w:rFonts w:hint="eastAsia" w:cs="宋体"/>
                <w:color w:val="000000"/>
                <w:sz w:val="24"/>
                <w:szCs w:val="24"/>
                <w:highlight w:val="none"/>
                <w:lang w:eastAsia="zh-CN"/>
              </w:rPr>
              <w:t>实勘</w:t>
            </w:r>
            <w:r>
              <w:rPr>
                <w:rFonts w:hint="eastAsia" w:ascii="宋体" w:hAnsi="宋体" w:eastAsia="宋体" w:cs="宋体"/>
                <w:color w:val="000000"/>
                <w:sz w:val="24"/>
                <w:szCs w:val="24"/>
                <w:highlight w:val="none"/>
              </w:rPr>
              <w:t xml:space="preserve"> </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3"/>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联系人：王工  电话：0551-</w:t>
            </w:r>
            <w:r>
              <w:rPr>
                <w:rFonts w:hint="eastAsia" w:cs="宋体"/>
                <w:i w:val="0"/>
                <w:iCs w:val="0"/>
                <w:caps w:val="0"/>
                <w:color w:val="000000"/>
                <w:spacing w:val="0"/>
                <w:sz w:val="24"/>
                <w:szCs w:val="24"/>
                <w:highlight w:val="none"/>
                <w:shd w:val="clear" w:color="auto" w:fill="FFFFFF"/>
                <w:lang w:val="en-US" w:eastAsia="zh-CN" w:bidi="zh-CN"/>
              </w:rPr>
              <w:t>65395655</w:t>
            </w:r>
            <w:r>
              <w:rPr>
                <w:rFonts w:hint="eastAsia" w:ascii="宋体" w:hAnsi="宋体" w:eastAsia="宋体" w:cs="宋体"/>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3"/>
                <w:sz w:val="24"/>
                <w:szCs w:val="24"/>
                <w:highlight w:val="none"/>
              </w:rPr>
              <w:t>本项目合作方如需咨询，务必首先认真阅读本项目公告，并针对具体条款进行咨询。本公告为本项目唯一法定文书，一切解释以本公告为准。商家需自行评估参与本次招商的预期风险及收益，参与合肥文旅博览集团野生动物园管理有限公司招商视作认可合肥文旅博览集团野生动物园管理有限公司招商相关要求及规定，本招商公告解释权归合肥文旅博览集团野生动物园管理有限公司所有。</w:t>
            </w:r>
          </w:p>
        </w:tc>
      </w:tr>
    </w:tbl>
    <w:p>
      <w:pPr>
        <w:pStyle w:val="6"/>
        <w:snapToGrid w:val="0"/>
        <w:spacing w:line="360" w:lineRule="auto"/>
        <w:jc w:val="left"/>
        <w:rPr>
          <w:rFonts w:hint="eastAsia" w:ascii="宋体" w:hAnsi="宋体" w:eastAsia="宋体" w:cs="宋体"/>
          <w:color w:val="000000"/>
          <w:sz w:val="28"/>
          <w:szCs w:val="28"/>
          <w:highlight w:val="none"/>
        </w:rPr>
      </w:pPr>
      <w:r>
        <w:rPr>
          <w:rFonts w:hint="eastAsia" w:ascii="Arial" w:hAnsi="Arial" w:eastAsia="宋体" w:cs="Arial"/>
          <w:sz w:val="21"/>
          <w:szCs w:val="21"/>
          <w:highlight w:val="none"/>
          <w:lang w:eastAsia="zh-CN"/>
        </w:rPr>
        <w:br w:type="page"/>
      </w:r>
    </w:p>
    <w:p>
      <w:pPr>
        <w:pStyle w:val="2"/>
        <w:jc w:val="both"/>
        <w:rPr>
          <w:rFonts w:hint="eastAsia" w:ascii="方正小标宋简体" w:hAnsi="方正小标宋简体" w:eastAsia="方正小标宋简体" w:cs="方正小标宋简体"/>
          <w:b w:val="0"/>
          <w:bCs w:val="0"/>
          <w:sz w:val="32"/>
          <w:szCs w:val="32"/>
          <w:highlight w:val="none"/>
          <w:lang w:val="en-US" w:eastAsia="zh-CN"/>
        </w:rPr>
      </w:pPr>
      <w:r>
        <w:rPr>
          <w:rFonts w:hint="eastAsia" w:ascii="方正小标宋简体" w:hAnsi="方正小标宋简体" w:eastAsia="方正小标宋简体" w:cs="方正小标宋简体"/>
          <w:b w:val="0"/>
          <w:bCs w:val="0"/>
          <w:sz w:val="32"/>
          <w:szCs w:val="32"/>
          <w:highlight w:val="none"/>
          <w:lang w:eastAsia="zh-CN"/>
        </w:rPr>
        <w:t>附件一：</w:t>
      </w:r>
      <w:r>
        <w:rPr>
          <w:rFonts w:hint="eastAsia" w:ascii="方正小标宋简体" w:hAnsi="方正小标宋简体" w:eastAsia="方正小标宋简体" w:cs="方正小标宋简体"/>
          <w:b w:val="0"/>
          <w:bCs w:val="0"/>
          <w:sz w:val="32"/>
          <w:szCs w:val="32"/>
          <w:highlight w:val="none"/>
          <w:lang w:val="en-US" w:eastAsia="zh-CN"/>
        </w:rPr>
        <w:t xml:space="preserve">  </w:t>
      </w:r>
    </w:p>
    <w:p>
      <w:pPr>
        <w:pStyle w:val="2"/>
        <w:jc w:val="center"/>
        <w:rPr>
          <w:rFonts w:hint="eastAsia" w:ascii="方正小标宋简体" w:hAnsi="方正小标宋简体" w:eastAsia="方正小标宋简体" w:cs="方正小标宋简体"/>
          <w:b w:val="0"/>
          <w:bCs w:val="0"/>
          <w:sz w:val="32"/>
          <w:szCs w:val="32"/>
          <w:highlight w:val="none"/>
          <w:lang w:eastAsia="zh-CN"/>
        </w:rPr>
      </w:pPr>
      <w:r>
        <w:rPr>
          <w:rFonts w:hint="eastAsia" w:ascii="方正小标宋简体" w:hAnsi="方正小标宋简体" w:eastAsia="方正小标宋简体" w:cs="方正小标宋简体"/>
          <w:b w:val="0"/>
          <w:bCs w:val="0"/>
          <w:sz w:val="32"/>
          <w:szCs w:val="32"/>
          <w:highlight w:val="none"/>
          <w:lang w:eastAsia="zh-CN"/>
        </w:rPr>
        <w:t>授权书</w:t>
      </w:r>
    </w:p>
    <w:p>
      <w:pPr>
        <w:pStyle w:val="6"/>
        <w:snapToGrid w:val="0"/>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本授权书声明</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公司授权</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授权代表姓名、职务，手机号码）代表本公司参加合肥文旅博览集团野生动物园管理有限公司</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u w:val="single"/>
          <w:lang w:val="en-US" w:eastAsia="zh-CN"/>
        </w:rPr>
        <w:t xml:space="preserve">  </w:t>
      </w:r>
      <w:r>
        <w:rPr>
          <w:rFonts w:hint="eastAsia" w:ascii="宋体" w:hAnsi="宋体" w:eastAsia="宋体" w:cs="宋体"/>
          <w:color w:val="000000"/>
          <w:sz w:val="24"/>
          <w:szCs w:val="28"/>
          <w:highlight w:val="none"/>
          <w:u w:val="none"/>
          <w:lang w:eastAsia="zh-CN"/>
        </w:rPr>
        <w:t>项目</w:t>
      </w:r>
      <w:r>
        <w:rPr>
          <w:rFonts w:hint="eastAsia" w:ascii="宋体" w:hAnsi="宋体" w:eastAsia="宋体" w:cs="宋体"/>
          <w:bCs/>
          <w:color w:val="000000"/>
          <w:sz w:val="24"/>
          <w:szCs w:val="28"/>
          <w:highlight w:val="none"/>
        </w:rPr>
        <w:t>招</w:t>
      </w:r>
      <w:r>
        <w:rPr>
          <w:rFonts w:hint="eastAsia" w:ascii="宋体" w:hAnsi="宋体" w:eastAsia="宋体" w:cs="宋体"/>
          <w:bCs/>
          <w:color w:val="000000"/>
          <w:sz w:val="24"/>
          <w:szCs w:val="28"/>
          <w:highlight w:val="none"/>
          <w:lang w:eastAsia="zh-CN"/>
        </w:rPr>
        <w:t>商</w:t>
      </w:r>
      <w:r>
        <w:rPr>
          <w:rFonts w:hint="eastAsia" w:ascii="宋体" w:hAnsi="宋体" w:eastAsia="宋体" w:cs="宋体"/>
          <w:color w:val="000000"/>
          <w:sz w:val="24"/>
          <w:szCs w:val="28"/>
          <w:highlight w:val="none"/>
        </w:rPr>
        <w:t>，全权代表本公司处理</w:t>
      </w:r>
      <w:r>
        <w:rPr>
          <w:rFonts w:hint="eastAsia" w:ascii="宋体" w:hAnsi="宋体" w:eastAsia="宋体" w:cs="宋体"/>
          <w:color w:val="000000"/>
          <w:sz w:val="24"/>
          <w:szCs w:val="28"/>
          <w:highlight w:val="none"/>
          <w:lang w:eastAsia="zh-CN"/>
        </w:rPr>
        <w:t>招商</w:t>
      </w:r>
      <w:r>
        <w:rPr>
          <w:rFonts w:hint="eastAsia" w:ascii="宋体" w:hAnsi="宋体" w:eastAsia="宋体" w:cs="宋体"/>
          <w:color w:val="000000"/>
          <w:sz w:val="24"/>
          <w:szCs w:val="28"/>
          <w:highlight w:val="none"/>
        </w:rPr>
        <w:t>过程的一切事宜，包括但不限于：投标、参与开标、谈判、签约等。</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授权代表在</w:t>
      </w:r>
      <w:r>
        <w:rPr>
          <w:rFonts w:hint="eastAsia" w:ascii="宋体" w:hAnsi="宋体" w:eastAsia="宋体" w:cs="宋体"/>
          <w:color w:val="000000"/>
          <w:sz w:val="24"/>
          <w:szCs w:val="28"/>
          <w:highlight w:val="none"/>
          <w:lang w:eastAsia="zh-CN"/>
        </w:rPr>
        <w:t>招商</w:t>
      </w:r>
      <w:r>
        <w:rPr>
          <w:rFonts w:hint="eastAsia" w:ascii="宋体" w:hAnsi="宋体" w:eastAsia="宋体" w:cs="宋体"/>
          <w:color w:val="000000"/>
          <w:sz w:val="24"/>
          <w:szCs w:val="28"/>
          <w:highlight w:val="none"/>
        </w:rPr>
        <w:t>过程中所签署的一切文件和处理与之有关的一切事务，本公司均予以认可并对此承担责任。</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授权代表无转委托权。特此授权。</w:t>
      </w:r>
    </w:p>
    <w:p>
      <w:pPr>
        <w:pStyle w:val="6"/>
        <w:snapToGrid w:val="0"/>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本授权书自出具之日起生效。</w:t>
      </w:r>
    </w:p>
    <w:p>
      <w:pPr>
        <w:spacing w:line="360" w:lineRule="auto"/>
        <w:rPr>
          <w:rFonts w:hint="eastAsia" w:ascii="宋体" w:hAnsi="宋体" w:eastAsia="宋体" w:cs="宋体"/>
          <w:color w:val="000000"/>
          <w:sz w:val="24"/>
          <w:szCs w:val="28"/>
          <w:highlight w:val="none"/>
        </w:rPr>
      </w:pPr>
    </w:p>
    <w:p>
      <w:pPr>
        <w:spacing w:line="360" w:lineRule="auto"/>
        <w:ind w:firstLine="645"/>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mc:AlternateContent>
          <mc:Choice Requires="wpg">
            <w:drawing>
              <wp:anchor distT="0" distB="0" distL="114300" distR="114300" simplePos="0" relativeHeight="251659264" behindDoc="0" locked="0" layoutInCell="1" allowOverlap="1">
                <wp:simplePos x="0" y="0"/>
                <wp:positionH relativeFrom="column">
                  <wp:posOffset>94615</wp:posOffset>
                </wp:positionH>
                <wp:positionV relativeFrom="paragraph">
                  <wp:posOffset>274955</wp:posOffset>
                </wp:positionV>
                <wp:extent cx="5997575" cy="1764665"/>
                <wp:effectExtent l="5080" t="4445" r="17145" b="21590"/>
                <wp:wrapNone/>
                <wp:docPr id="1" name="组合 1"/>
                <wp:cNvGraphicFramePr/>
                <a:graphic xmlns:a="http://schemas.openxmlformats.org/drawingml/2006/main">
                  <a:graphicData uri="http://schemas.microsoft.com/office/word/2010/wordprocessingGroup">
                    <wpg:wgp>
                      <wpg:cNvGrpSpPr/>
                      <wpg:grpSpPr>
                        <a:xfrm>
                          <a:off x="0" y="0"/>
                          <a:ext cx="5997575" cy="1764665"/>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rFonts w:hint="eastAsia" w:eastAsia="宋体"/>
                                  <w:color w:val="FF0000"/>
                                  <w:szCs w:val="21"/>
                                  <w:lang w:eastAsia="zh-CN"/>
                                </w:rPr>
                              </w:pPr>
                              <w:r>
                                <w:rPr>
                                  <w:rFonts w:hint="eastAsia" w:eastAsia="宋体"/>
                                  <w:color w:val="FF0000"/>
                                  <w:lang w:eastAsia="zh-CN"/>
                                </w:rPr>
                                <w:t>复印件</w:t>
                              </w:r>
                            </w:p>
                            <w:p/>
                          </w:txbxContent>
                        </wps:txbx>
                        <wps:bodyPr rot="0" vert="horz" wrap="square" lIns="91440" tIns="45720" rIns="91440" bIns="45720" anchor="t" anchorCtr="0" upright="1">
                          <a:noAutofit/>
                        </wps:bodyPr>
                      </wps:wsp>
                      <wps:wsp>
                        <wps:cNvPr id="4"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rFonts w:hint="eastAsia" w:eastAsia="宋体"/>
                                  <w:color w:val="FF0000"/>
                                  <w:szCs w:val="21"/>
                                  <w:lang w:eastAsia="zh-CN"/>
                                </w:rPr>
                              </w:pPr>
                              <w:r>
                                <w:rPr>
                                  <w:rFonts w:hint="eastAsia" w:eastAsia="宋体"/>
                                  <w:color w:val="FF0000"/>
                                  <w:lang w:eastAsia="zh-CN"/>
                                </w:rPr>
                                <w:t>复印件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45pt;margin-top:21.65pt;height:138.95pt;width:472.25pt;z-index:251659264;mso-width-relative:page;mso-height-relative:page;" coordorigin="3270,5789" coordsize="6079,1525" o:gfxdata="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ANBiZF2QAAAAkBAAAPAAAAAAAAAAEAIAAAACIA&#10;AABkcnMvZG93bnJldi54bWxQSwECFAAUAAAACACHTuJAcePJyOwCAADJCAAADgAAAAAAAAABACAA&#10;AAAoAQAAZHJzL2Uyb0RvYy54bWxQSwUGAAAAAAYABgBZAQAAhgY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rFonts w:hint="eastAsia" w:eastAsia="宋体"/>
                            <w:color w:val="FF0000"/>
                            <w:szCs w:val="21"/>
                            <w:lang w:eastAsia="zh-CN"/>
                          </w:rPr>
                        </w:pPr>
                        <w:r>
                          <w:rPr>
                            <w:rFonts w:hint="eastAsia" w:eastAsia="宋体"/>
                            <w:color w:val="FF0000"/>
                            <w:lang w:eastAsia="zh-CN"/>
                          </w:rPr>
                          <w:t>复印件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rFonts w:hint="eastAsia" w:eastAsia="宋体"/>
                            <w:color w:val="FF0000"/>
                            <w:szCs w:val="21"/>
                            <w:lang w:eastAsia="zh-CN"/>
                          </w:rPr>
                        </w:pPr>
                        <w:r>
                          <w:rPr>
                            <w:rFonts w:hint="eastAsia" w:eastAsia="宋体"/>
                            <w:color w:val="FF0000"/>
                            <w:lang w:eastAsia="zh-CN"/>
                          </w:rPr>
                          <w:t>复印件</w:t>
                        </w:r>
                      </w:p>
                    </w:txbxContent>
                  </v:textbox>
                </v:roundrect>
              </v:group>
            </w:pict>
          </mc:Fallback>
        </mc:AlternateContent>
      </w:r>
      <w:r>
        <w:rPr>
          <w:rFonts w:hint="eastAsia" w:ascii="宋体" w:hAnsi="宋体" w:eastAsia="宋体" w:cs="宋体"/>
          <w:color w:val="000000"/>
          <w:sz w:val="24"/>
          <w:szCs w:val="28"/>
          <w:highlight w:val="none"/>
        </w:rPr>
        <w:t>特此声明。</w:t>
      </w:r>
    </w:p>
    <w:p>
      <w:pPr>
        <w:pStyle w:val="3"/>
        <w:rPr>
          <w:rFonts w:hint="eastAsia" w:ascii="宋体" w:hAnsi="宋体" w:eastAsia="宋体" w:cs="宋体"/>
          <w:color w:val="000000"/>
          <w:sz w:val="24"/>
          <w:szCs w:val="28"/>
          <w:highlight w:val="none"/>
        </w:rPr>
      </w:pPr>
    </w:p>
    <w:p>
      <w:pPr>
        <w:rPr>
          <w:rFonts w:hint="eastAsia" w:ascii="宋体" w:hAnsi="宋体" w:eastAsia="宋体" w:cs="宋体"/>
          <w:color w:val="000000"/>
          <w:sz w:val="24"/>
          <w:szCs w:val="28"/>
          <w:highlight w:val="none"/>
        </w:rPr>
      </w:pPr>
    </w:p>
    <w:p>
      <w:pPr>
        <w:pStyle w:val="3"/>
        <w:rPr>
          <w:rFonts w:hint="eastAsia" w:ascii="宋体" w:hAnsi="宋体" w:eastAsia="宋体" w:cs="宋体"/>
          <w:highlight w:val="none"/>
        </w:rPr>
      </w:pPr>
    </w:p>
    <w:p>
      <w:pPr>
        <w:pStyle w:val="3"/>
        <w:rPr>
          <w:rFonts w:hint="eastAsia" w:ascii="宋体" w:hAnsi="宋体" w:eastAsia="宋体" w:cs="宋体"/>
          <w:color w:val="000000"/>
          <w:sz w:val="24"/>
          <w:szCs w:val="28"/>
          <w:highlight w:val="none"/>
        </w:rPr>
      </w:pPr>
    </w:p>
    <w:p>
      <w:pPr>
        <w:rPr>
          <w:rFonts w:hint="eastAsia" w:ascii="宋体" w:hAnsi="宋体" w:eastAsia="宋体" w:cs="宋体"/>
          <w:highlight w:val="none"/>
        </w:rPr>
      </w:pPr>
    </w:p>
    <w:p>
      <w:pPr>
        <w:spacing w:line="360" w:lineRule="auto"/>
        <w:rPr>
          <w:rFonts w:hint="eastAsia" w:ascii="宋体" w:hAnsi="宋体" w:eastAsia="宋体" w:cs="宋体"/>
          <w:color w:val="000000"/>
          <w:sz w:val="24"/>
          <w:szCs w:val="28"/>
          <w:highlight w:val="none"/>
        </w:rPr>
      </w:pPr>
    </w:p>
    <w:p>
      <w:pPr>
        <w:spacing w:line="360" w:lineRule="auto"/>
        <w:rPr>
          <w:rFonts w:hint="eastAsia" w:ascii="宋体" w:hAnsi="宋体" w:eastAsia="宋体" w:cs="宋体"/>
          <w:color w:val="000000"/>
          <w:sz w:val="24"/>
          <w:szCs w:val="28"/>
          <w:highlight w:val="none"/>
        </w:rPr>
      </w:pPr>
    </w:p>
    <w:p>
      <w:pPr>
        <w:spacing w:line="360" w:lineRule="auto"/>
        <w:rPr>
          <w:rFonts w:hint="eastAsia" w:ascii="宋体" w:hAnsi="宋体" w:eastAsia="宋体" w:cs="宋体"/>
          <w:color w:val="000000"/>
          <w:sz w:val="24"/>
          <w:szCs w:val="28"/>
          <w:highlight w:val="none"/>
        </w:rPr>
      </w:pPr>
    </w:p>
    <w:p>
      <w:pPr>
        <w:spacing w:line="360" w:lineRule="auto"/>
        <w:rPr>
          <w:rFonts w:hint="eastAsia"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lang w:eastAsia="zh-CN"/>
        </w:rPr>
        <w:t>合作方</w:t>
      </w:r>
      <w:r>
        <w:rPr>
          <w:rFonts w:hint="eastAsia" w:ascii="宋体" w:hAnsi="宋体" w:eastAsia="宋体" w:cs="宋体"/>
          <w:b/>
          <w:bCs/>
          <w:color w:val="000000"/>
          <w:sz w:val="24"/>
          <w:szCs w:val="28"/>
          <w:highlight w:val="none"/>
        </w:rPr>
        <w:t>(公章)：</w:t>
      </w:r>
    </w:p>
    <w:p>
      <w:pPr>
        <w:spacing w:line="360" w:lineRule="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日        期： </w:t>
      </w:r>
    </w:p>
    <w:p>
      <w:pPr>
        <w:rPr>
          <w:rFonts w:hint="eastAsia" w:ascii="宋体" w:hAnsi="宋体" w:eastAsia="宋体" w:cs="宋体"/>
          <w:color w:val="000000"/>
          <w:sz w:val="28"/>
          <w:szCs w:val="28"/>
          <w:highlight w:val="none"/>
        </w:rPr>
      </w:pPr>
    </w:p>
    <w:p>
      <w:pPr>
        <w:pStyle w:val="6"/>
        <w:snapToGrid w:val="0"/>
        <w:spacing w:line="360" w:lineRule="auto"/>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w:t>
      </w:r>
    </w:p>
    <w:p>
      <w:pPr>
        <w:pStyle w:val="6"/>
        <w:snapToGrid w:val="0"/>
        <w:spacing w:line="360" w:lineRule="auto"/>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1.本项目只允许有唯一的</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授权代表，投标文件中提供授权代表身份证</w:t>
      </w:r>
      <w:r>
        <w:rPr>
          <w:rFonts w:hint="eastAsia" w:hAnsi="宋体" w:eastAsia="宋体" w:cs="宋体"/>
          <w:color w:val="000000"/>
          <w:sz w:val="24"/>
          <w:highlight w:val="none"/>
          <w:lang w:eastAsia="zh-CN"/>
        </w:rPr>
        <w:t>复印件</w:t>
      </w:r>
      <w:r>
        <w:rPr>
          <w:rFonts w:hint="eastAsia" w:ascii="宋体" w:hAnsi="宋体" w:eastAsia="宋体" w:cs="宋体"/>
          <w:color w:val="000000"/>
          <w:sz w:val="24"/>
          <w:szCs w:val="28"/>
          <w:highlight w:val="none"/>
        </w:rPr>
        <w:t>。</w:t>
      </w:r>
    </w:p>
    <w:p>
      <w:pPr>
        <w:pStyle w:val="6"/>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4"/>
          <w:szCs w:val="28"/>
          <w:highlight w:val="none"/>
        </w:rPr>
        <w:t>2.法定代表人参加投标的无需此件，</w:t>
      </w:r>
      <w:r>
        <w:rPr>
          <w:rFonts w:hint="eastAsia" w:ascii="宋体" w:hAnsi="宋体" w:eastAsia="宋体" w:cs="宋体"/>
          <w:color w:val="000000"/>
          <w:sz w:val="24"/>
          <w:highlight w:val="none"/>
        </w:rPr>
        <w:t>但投标文件中须提供身份证</w:t>
      </w:r>
      <w:r>
        <w:rPr>
          <w:rFonts w:hint="eastAsia" w:hAnsi="宋体" w:eastAsia="宋体" w:cs="宋体"/>
          <w:color w:val="000000"/>
          <w:sz w:val="24"/>
          <w:highlight w:val="none"/>
          <w:lang w:eastAsia="zh-CN"/>
        </w:rPr>
        <w:t>复印件</w:t>
      </w:r>
      <w:r>
        <w:rPr>
          <w:rFonts w:hint="eastAsia" w:ascii="宋体" w:hAnsi="宋体" w:eastAsia="宋体" w:cs="宋体"/>
          <w:color w:val="000000"/>
          <w:sz w:val="24"/>
          <w:highlight w:val="none"/>
        </w:rPr>
        <w:t>。</w:t>
      </w:r>
    </w:p>
    <w:p>
      <w:pPr>
        <w:pStyle w:val="2"/>
        <w:jc w:val="left"/>
        <w:rPr>
          <w:rFonts w:hint="eastAsia" w:ascii="宋体" w:hAnsi="宋体" w:eastAsia="宋体" w:cs="宋体"/>
          <w:color w:val="000000"/>
          <w:sz w:val="28"/>
          <w:szCs w:val="28"/>
          <w:highlight w:val="none"/>
        </w:rPr>
      </w:pPr>
      <w:r>
        <w:rPr>
          <w:rFonts w:hint="eastAsia" w:hAnsi="宋体" w:cs="宋体"/>
          <w:color w:val="000000"/>
          <w:sz w:val="28"/>
          <w:szCs w:val="28"/>
          <w:highlight w:val="none"/>
        </w:rPr>
        <w:br w:type="page"/>
      </w:r>
      <w:r>
        <w:rPr>
          <w:rFonts w:hint="eastAsia" w:ascii="宋体" w:hAnsi="宋体" w:eastAsia="宋体" w:cs="宋体"/>
          <w:color w:val="000000"/>
          <w:sz w:val="32"/>
          <w:szCs w:val="32"/>
          <w:highlight w:val="none"/>
          <w:lang w:eastAsia="zh-CN"/>
        </w:rPr>
        <w:t>附件</w:t>
      </w:r>
      <w:r>
        <w:rPr>
          <w:rFonts w:hint="eastAsia" w:hAnsi="宋体" w:eastAsia="宋体" w:cs="宋体"/>
          <w:color w:val="000000"/>
          <w:sz w:val="32"/>
          <w:szCs w:val="32"/>
          <w:highlight w:val="none"/>
          <w:lang w:eastAsia="zh-CN"/>
        </w:rPr>
        <w:t>二</w:t>
      </w:r>
      <w:r>
        <w:rPr>
          <w:rFonts w:hint="eastAsia" w:ascii="宋体" w:hAnsi="宋体" w:eastAsia="宋体" w:cs="宋体"/>
          <w:color w:val="000000"/>
          <w:sz w:val="32"/>
          <w:szCs w:val="32"/>
          <w:highlight w:val="none"/>
          <w:lang w:val="en-US" w:eastAsia="zh-CN"/>
        </w:rPr>
        <w:t>：</w:t>
      </w:r>
      <w:r>
        <w:rPr>
          <w:rFonts w:hint="eastAsia" w:ascii="宋体" w:hAnsi="宋体" w:eastAsia="宋体" w:cs="宋体"/>
          <w:color w:val="000000"/>
          <w:sz w:val="28"/>
          <w:szCs w:val="28"/>
          <w:highlight w:val="none"/>
          <w:lang w:val="en-US" w:eastAsia="zh-CN"/>
        </w:rPr>
        <w:t xml:space="preserve">                   </w:t>
      </w:r>
      <w:r>
        <w:rPr>
          <w:rFonts w:hint="eastAsia" w:hAnsi="宋体" w:eastAsia="宋体" w:cs="宋体"/>
          <w:color w:val="000000"/>
          <w:sz w:val="28"/>
          <w:szCs w:val="28"/>
          <w:highlight w:val="none"/>
          <w:lang w:eastAsia="zh-CN"/>
        </w:rPr>
        <w:t>合作方</w:t>
      </w:r>
      <w:r>
        <w:rPr>
          <w:rFonts w:hint="eastAsia" w:ascii="宋体" w:hAnsi="宋体" w:eastAsia="宋体" w:cs="宋体"/>
          <w:color w:val="000000"/>
          <w:sz w:val="28"/>
          <w:szCs w:val="28"/>
          <w:highlight w:val="none"/>
        </w:rPr>
        <w:t>信用承诺</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我公司申明，我公司无以下不良信用记录情形：</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1.公司被人民法院列入失信被执行人；</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2.公司、公司法定代表人被人民检察院列入行贿犯罪档案；</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3.公司被工商行政管理部门列入企业经营异常名录；</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4.公司被税务部门列入重大税收违法案件当事人名单的；</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参加本次投标活动前三年内，在服务活动中没有重大违法及安全事故记录。</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hint="eastAsia" w:ascii="宋体" w:hAnsi="宋体" w:eastAsia="宋体" w:cs="宋体"/>
          <w:b/>
          <w:color w:val="000000"/>
          <w:sz w:val="24"/>
          <w:szCs w:val="24"/>
          <w:highlight w:val="none"/>
        </w:rPr>
      </w:pPr>
    </w:p>
    <w:p>
      <w:pPr>
        <w:spacing w:line="360" w:lineRule="auto"/>
        <w:ind w:firstLine="63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合作方</w:t>
      </w:r>
      <w:r>
        <w:rPr>
          <w:rFonts w:hint="eastAsia" w:ascii="宋体" w:hAnsi="宋体" w:eastAsia="宋体" w:cs="宋体"/>
          <w:b/>
          <w:color w:val="000000"/>
          <w:sz w:val="24"/>
          <w:szCs w:val="24"/>
          <w:highlight w:val="none"/>
        </w:rPr>
        <w:t>（公章）：</w:t>
      </w:r>
    </w:p>
    <w:p>
      <w:pPr>
        <w:rPr>
          <w:rFonts w:hint="default" w:ascii="Arial" w:hAnsi="Arial" w:eastAsia="Arial" w:cs="Arial"/>
          <w:sz w:val="21"/>
          <w:szCs w:val="21"/>
          <w:highlight w:val="none"/>
          <w:lang w:val="en-US" w:eastAsia="zh-CN"/>
        </w:rPr>
      </w:pPr>
      <w:r>
        <w:rPr>
          <w:rFonts w:hint="default" w:ascii="Arial" w:hAnsi="Arial" w:eastAsia="Arial" w:cs="Arial"/>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outlineLvl w:val="9"/>
        <w:rPr>
          <w:rFonts w:hint="eastAsia" w:ascii="宋体" w:hAnsi="宋体" w:eastAsia="宋体" w:cs="宋体"/>
          <w:color w:val="000000"/>
          <w:sz w:val="32"/>
          <w:szCs w:val="32"/>
          <w:highlight w:val="none"/>
          <w:lang w:val="en-US" w:eastAsia="zh-CN"/>
        </w:rPr>
      </w:pPr>
      <w:r>
        <w:rPr>
          <w:rFonts w:hint="eastAsia" w:ascii="宋体" w:hAnsi="宋体" w:eastAsia="宋体" w:cs="宋体"/>
          <w:b/>
          <w:bCs/>
          <w:color w:val="000000"/>
          <w:kern w:val="2"/>
          <w:sz w:val="32"/>
          <w:szCs w:val="32"/>
          <w:highlight w:val="none"/>
          <w:lang w:val="en-US" w:eastAsia="zh-CN" w:bidi="ar-SA"/>
        </w:rPr>
        <w:t xml:space="preserve">附件三： </w:t>
      </w:r>
      <w:r>
        <w:rPr>
          <w:rFonts w:hint="eastAsia" w:ascii="宋体" w:hAnsi="宋体" w:eastAsia="宋体" w:cs="宋体"/>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center"/>
        <w:textAlignment w:val="auto"/>
        <w:outlineLvl w:val="9"/>
        <w:rPr>
          <w:rFonts w:hint="eastAsia" w:ascii="黑体" w:hAnsi="黑体" w:eastAsia="黑体"/>
          <w:sz w:val="36"/>
          <w:szCs w:val="36"/>
          <w:highlight w:val="none"/>
        </w:rPr>
      </w:pPr>
      <w:r>
        <w:rPr>
          <w:rFonts w:hint="eastAsia" w:ascii="黑体" w:hAnsi="黑体" w:eastAsia="黑体"/>
          <w:sz w:val="36"/>
          <w:szCs w:val="36"/>
          <w:highlight w:val="none"/>
        </w:rPr>
        <w:t>信用查询截图</w:t>
      </w:r>
    </w:p>
    <w:p>
      <w:pPr>
        <w:rPr>
          <w:rFonts w:hint="eastAsia"/>
          <w:highlight w:val="none"/>
        </w:rPr>
      </w:pPr>
      <w:r>
        <w:rPr>
          <w:rFonts w:hint="eastAsia"/>
          <w:highlight w:val="none"/>
        </w:rPr>
        <w:t>1</w:t>
      </w:r>
      <w:r>
        <w:rPr>
          <w:highlight w:val="none"/>
        </w:rPr>
        <w:t>.</w:t>
      </w:r>
      <w:r>
        <w:rPr>
          <w:rFonts w:hint="eastAsia"/>
          <w:highlight w:val="none"/>
        </w:rPr>
        <w:t xml:space="preserve"> 国家企业信用信息公示系统</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p>
      <w:pPr>
        <w:rPr>
          <w:rFonts w:hint="eastAsia"/>
          <w:highlight w:val="none"/>
        </w:rPr>
      </w:pPr>
    </w:p>
    <w:p>
      <w:pPr>
        <w:rPr>
          <w:highlight w:val="none"/>
        </w:rPr>
      </w:pPr>
    </w:p>
    <w:p>
      <w:pPr>
        <w:rPr>
          <w:highlight w:val="none"/>
        </w:rPr>
      </w:pPr>
    </w:p>
    <w:p>
      <w:pPr>
        <w:rPr>
          <w:highlight w:val="none"/>
        </w:rPr>
      </w:pPr>
    </w:p>
    <w:p>
      <w:pPr>
        <w:rPr>
          <w:rFonts w:hint="eastAsia"/>
          <w:highlight w:val="none"/>
        </w:rPr>
      </w:pPr>
      <w:r>
        <w:rPr>
          <w:rFonts w:hint="eastAsia"/>
          <w:highlight w:val="none"/>
        </w:rPr>
        <w:t>2</w:t>
      </w:r>
      <w:r>
        <w:rPr>
          <w:highlight w:val="none"/>
        </w:rPr>
        <w:t>.</w:t>
      </w:r>
      <w:r>
        <w:rPr>
          <w:rFonts w:hint="eastAsia"/>
          <w:highlight w:val="none"/>
        </w:rPr>
        <w:t xml:space="preserve"> 信用中国</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keepNext/>
        <w:keepLines/>
        <w:spacing w:before="260" w:after="260" w:line="416" w:lineRule="auto"/>
        <w:ind w:firstLine="420" w:firstLineChars="200"/>
        <w:jc w:val="both"/>
        <w:outlineLvl w:val="2"/>
        <w:rPr>
          <w:rFonts w:hint="eastAsia" w:ascii="宋体" w:hAnsi="宋体" w:eastAsia="宋体" w:cs="宋体"/>
          <w:b/>
          <w:bCs/>
          <w:color w:val="000000"/>
          <w:sz w:val="28"/>
          <w:szCs w:val="28"/>
          <w:highlight w:val="none"/>
        </w:rPr>
      </w:pPr>
      <w:r>
        <w:rPr>
          <w:rFonts w:hint="default" w:ascii="Arial" w:hAnsi="Arial" w:eastAsia="Arial" w:cs="Arial"/>
          <w:sz w:val="21"/>
          <w:szCs w:val="21"/>
          <w:highlight w:val="none"/>
          <w:lang w:val="en-US" w:eastAsia="zh-CN"/>
        </w:rPr>
        <w:br w:type="page"/>
      </w:r>
      <w:r>
        <w:rPr>
          <w:rFonts w:hint="eastAsia" w:ascii="宋体" w:hAnsi="宋体" w:eastAsia="宋体" w:cs="宋体"/>
          <w:b/>
          <w:bCs/>
          <w:sz w:val="32"/>
          <w:szCs w:val="32"/>
          <w:highlight w:val="none"/>
          <w:lang w:val="en-US" w:eastAsia="zh-CN"/>
        </w:rPr>
        <w:t xml:space="preserve">附件四： </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color w:val="000000"/>
          <w:sz w:val="28"/>
          <w:szCs w:val="28"/>
          <w:highlight w:val="none"/>
          <w:lang w:eastAsia="zh-CN"/>
        </w:rPr>
        <w:t>报价</w:t>
      </w:r>
      <w:r>
        <w:rPr>
          <w:rFonts w:hint="eastAsia" w:ascii="宋体" w:hAnsi="宋体" w:eastAsia="宋体" w:cs="宋体"/>
          <w:b/>
          <w:bCs/>
          <w:color w:val="000000"/>
          <w:sz w:val="28"/>
          <w:szCs w:val="28"/>
          <w:highlight w:val="none"/>
        </w:rPr>
        <w:t>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ind w:firstLine="482" w:firstLineChars="200"/>
              <w:jc w:val="cente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项 目 名 称</w:t>
            </w:r>
          </w:p>
        </w:tc>
        <w:tc>
          <w:tcPr>
            <w:tcW w:w="6876" w:type="dxa"/>
            <w:tcBorders>
              <w:top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eastAsia="宋体" w:cs="宋体"/>
                <w:bCs/>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noWrap w:val="0"/>
            <w:vAlign w:val="center"/>
          </w:tcPr>
          <w:p>
            <w:pPr>
              <w:spacing w:line="360" w:lineRule="exact"/>
              <w:ind w:firstLine="482" w:firstLineChars="200"/>
              <w:jc w:val="cente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lang w:eastAsia="zh-CN"/>
              </w:rPr>
              <w:t>合作方</w:t>
            </w:r>
            <w:r>
              <w:rPr>
                <w:rFonts w:hint="eastAsia" w:ascii="宋体" w:hAnsi="宋体" w:eastAsia="宋体" w:cs="宋体"/>
                <w:b/>
                <w:color w:val="000000"/>
                <w:sz w:val="24"/>
                <w:szCs w:val="22"/>
                <w:highlight w:val="none"/>
              </w:rPr>
              <w:t>全称</w:t>
            </w:r>
          </w:p>
        </w:tc>
        <w:tc>
          <w:tcPr>
            <w:tcW w:w="6876" w:type="dxa"/>
            <w:tcBorders>
              <w:top w:val="nil"/>
            </w:tcBorders>
            <w:noWrap w:val="0"/>
            <w:vAlign w:val="center"/>
          </w:tcPr>
          <w:p>
            <w:pPr>
              <w:spacing w:line="360" w:lineRule="auto"/>
              <w:ind w:firstLine="480" w:firstLineChars="200"/>
              <w:rPr>
                <w:rFonts w:hint="eastAsia" w:ascii="宋体" w:hAnsi="宋体" w:eastAsia="宋体" w:cs="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noWrap w:val="0"/>
            <w:vAlign w:val="center"/>
          </w:tcPr>
          <w:p>
            <w:pPr>
              <w:spacing w:line="360" w:lineRule="exact"/>
              <w:ind w:firstLine="482" w:firstLineChars="200"/>
              <w:jc w:val="center"/>
              <w:rPr>
                <w:rFonts w:hint="eastAsia" w:ascii="宋体" w:hAnsi="宋体" w:eastAsia="宋体" w:cs="宋体"/>
                <w:b/>
                <w:color w:val="000000"/>
                <w:sz w:val="24"/>
                <w:szCs w:val="22"/>
                <w:highlight w:val="none"/>
                <w:lang w:eastAsia="zh-CN"/>
              </w:rPr>
            </w:pPr>
            <w:r>
              <w:rPr>
                <w:rFonts w:hint="eastAsia" w:ascii="宋体" w:hAnsi="宋体" w:eastAsia="宋体" w:cs="宋体"/>
                <w:b/>
                <w:color w:val="000000"/>
                <w:sz w:val="24"/>
                <w:szCs w:val="22"/>
                <w:highlight w:val="none"/>
                <w:lang w:eastAsia="zh-CN"/>
              </w:rPr>
              <w:t>保底</w:t>
            </w:r>
            <w:r>
              <w:rPr>
                <w:rFonts w:hint="eastAsia" w:ascii="宋体" w:hAnsi="宋体" w:eastAsia="宋体" w:cs="宋体"/>
                <w:b/>
                <w:color w:val="000000"/>
                <w:sz w:val="24"/>
                <w:szCs w:val="22"/>
                <w:highlight w:val="none"/>
                <w:lang w:val="en-US" w:eastAsia="zh-CN"/>
              </w:rPr>
              <w:t>报</w:t>
            </w:r>
            <w:r>
              <w:rPr>
                <w:rFonts w:hint="eastAsia" w:ascii="宋体" w:hAnsi="宋体" w:eastAsia="宋体" w:cs="宋体"/>
                <w:b/>
                <w:color w:val="000000"/>
                <w:sz w:val="24"/>
                <w:szCs w:val="22"/>
                <w:highlight w:val="none"/>
                <w:lang w:eastAsia="zh-CN"/>
              </w:rPr>
              <w:t>价</w:t>
            </w:r>
          </w:p>
        </w:tc>
        <w:tc>
          <w:tcPr>
            <w:tcW w:w="6876" w:type="dxa"/>
            <w:tcBorders>
              <w:top w:val="nil"/>
            </w:tcBorders>
            <w:noWrap w:val="0"/>
            <w:vAlign w:val="center"/>
          </w:tcPr>
          <w:p>
            <w:pPr>
              <w:spacing w:line="360" w:lineRule="auto"/>
              <w:ind w:right="-670" w:firstLine="480" w:firstLineChars="200"/>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u w:val="single"/>
              </w:rPr>
              <w:t xml:space="preserve">            </w:t>
            </w:r>
            <w:r>
              <w:rPr>
                <w:rFonts w:hint="eastAsia" w:ascii="宋体" w:hAnsi="宋体" w:eastAsia="宋体" w:cs="宋体"/>
                <w:color w:val="000000"/>
                <w:sz w:val="24"/>
                <w:szCs w:val="22"/>
                <w:highlight w:val="none"/>
                <w:u w:val="none"/>
              </w:rPr>
              <w:t xml:space="preserve"> </w:t>
            </w:r>
            <w:r>
              <w:rPr>
                <w:rFonts w:hint="eastAsia" w:ascii="宋体" w:hAnsi="宋体" w:eastAsia="宋体" w:cs="宋体"/>
                <w:color w:val="000000"/>
                <w:sz w:val="24"/>
                <w:szCs w:val="22"/>
                <w:highlight w:val="none"/>
                <w:u w:val="none"/>
                <w:lang w:val="en-US" w:eastAsia="zh-CN"/>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2471" w:type="dxa"/>
            <w:tcBorders>
              <w:top w:val="nil"/>
              <w:bottom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ascii="宋体" w:hAnsi="宋体" w:eastAsia="宋体" w:cs="Times New Roman"/>
                <w:color w:val="000000"/>
                <w:spacing w:val="3"/>
                <w:kern w:val="2"/>
                <w:sz w:val="24"/>
                <w:szCs w:val="24"/>
                <w:highlight w:val="none"/>
                <w:lang w:val="en-US" w:eastAsia="zh-CN" w:bidi="ar-SA"/>
              </w:rPr>
            </w:pPr>
            <w:r>
              <w:rPr>
                <w:rFonts w:hint="eastAsia" w:ascii="宋体" w:hAnsi="宋体" w:eastAsia="宋体" w:cs="宋体"/>
                <w:b/>
                <w:color w:val="000000"/>
                <w:sz w:val="24"/>
                <w:szCs w:val="22"/>
                <w:highlight w:val="none"/>
                <w:lang w:val="en-US" w:eastAsia="zh-CN"/>
              </w:rPr>
              <w:t>分成比例</w:t>
            </w:r>
          </w:p>
        </w:tc>
        <w:tc>
          <w:tcPr>
            <w:tcW w:w="6876" w:type="dxa"/>
            <w:tcBorders>
              <w:top w:val="nil"/>
              <w:bottom w:val="nil"/>
            </w:tcBorders>
            <w:noWrap w:val="0"/>
            <w:vAlign w:val="center"/>
          </w:tcPr>
          <w:p>
            <w:pPr>
              <w:spacing w:line="360" w:lineRule="auto"/>
              <w:ind w:firstLine="480" w:firstLineChars="200"/>
              <w:jc w:val="left"/>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含税销售额的</w:t>
            </w:r>
            <w:r>
              <w:rPr>
                <w:rFonts w:hint="eastAsia" w:ascii="宋体" w:hAnsi="宋体" w:eastAsia="宋体" w:cs="宋体"/>
                <w:color w:val="000000"/>
                <w:sz w:val="24"/>
                <w:szCs w:val="22"/>
                <w:highlight w:val="none"/>
                <w:u w:val="single"/>
                <w:lang w:val="en-US" w:eastAsia="zh-CN"/>
              </w:rPr>
              <w:t xml:space="preserve">      </w:t>
            </w:r>
            <w:r>
              <w:rPr>
                <w:rFonts w:hint="eastAsia" w:ascii="宋体" w:hAnsi="宋体" w:eastAsia="宋体" w:cs="宋体"/>
                <w:color w:val="000000"/>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1" w:type="dxa"/>
            <w:tcBorders>
              <w:top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jc w:val="both"/>
              <w:textAlignment w:val="auto"/>
              <w:rPr>
                <w:rFonts w:hint="default" w:ascii="宋体" w:hAnsi="宋体" w:eastAsia="宋体" w:cs="Times New Roman"/>
                <w:color w:val="000000"/>
                <w:spacing w:val="3"/>
                <w:kern w:val="2"/>
                <w:sz w:val="24"/>
                <w:szCs w:val="24"/>
                <w:highlight w:val="none"/>
                <w:lang w:val="en-US" w:eastAsia="zh-CN" w:bidi="ar-SA"/>
              </w:rPr>
            </w:pPr>
          </w:p>
        </w:tc>
        <w:tc>
          <w:tcPr>
            <w:tcW w:w="6876" w:type="dxa"/>
            <w:tcBorders>
              <w:top w:val="nil"/>
            </w:tcBorders>
            <w:noWrap w:val="0"/>
            <w:vAlign w:val="center"/>
          </w:tcPr>
          <w:p>
            <w:pPr>
              <w:spacing w:line="360" w:lineRule="auto"/>
              <w:jc w:val="left"/>
              <w:rPr>
                <w:rFonts w:hint="eastAsia" w:ascii="宋体" w:hAnsi="宋体" w:eastAsia="宋体" w:cs="宋体"/>
                <w:color w:val="000000"/>
                <w:sz w:val="24"/>
                <w:szCs w:val="22"/>
                <w:highlight w:val="none"/>
                <w:lang w:val="en-US" w:eastAsia="zh-CN"/>
              </w:rPr>
            </w:pPr>
          </w:p>
        </w:tc>
      </w:tr>
    </w:tbl>
    <w:p>
      <w:pPr>
        <w:spacing w:before="100" w:beforeAutospacing="1" w:after="100" w:afterAutospacing="1" w:line="360" w:lineRule="auto"/>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lang w:eastAsia="zh-CN"/>
        </w:rPr>
        <w:t>合作方</w:t>
      </w:r>
      <w:r>
        <w:rPr>
          <w:rFonts w:hint="eastAsia" w:ascii="宋体" w:hAnsi="宋体" w:eastAsia="宋体" w:cs="宋体"/>
          <w:b/>
          <w:color w:val="000000"/>
          <w:sz w:val="24"/>
          <w:szCs w:val="22"/>
          <w:highlight w:val="none"/>
        </w:rPr>
        <w:t xml:space="preserve">(公章)：                                  </w:t>
      </w:r>
    </w:p>
    <w:p>
      <w:pP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br w:type="page"/>
      </w:r>
    </w:p>
    <w:p>
      <w:pPr>
        <w:spacing w:before="100" w:beforeAutospacing="1" w:after="100" w:afterAutospacing="1" w:line="360" w:lineRule="auto"/>
        <w:ind w:firstLine="643" w:firstLineChars="200"/>
        <w:rPr>
          <w:rFonts w:hint="eastAsia" w:ascii="宋体" w:hAnsi="宋体" w:eastAsia="宋体" w:cs="宋体"/>
          <w:b/>
          <w:color w:val="000000"/>
          <w:sz w:val="24"/>
          <w:szCs w:val="22"/>
          <w:highlight w:val="none"/>
        </w:rPr>
      </w:pPr>
      <w:r>
        <w:rPr>
          <w:rFonts w:hint="eastAsia" w:ascii="宋体" w:hAnsi="宋体" w:eastAsia="宋体" w:cs="宋体"/>
          <w:b/>
          <w:bCs/>
          <w:sz w:val="32"/>
          <w:szCs w:val="32"/>
          <w:highlight w:val="none"/>
          <w:lang w:val="en-US" w:eastAsia="zh-CN"/>
        </w:rPr>
        <w:t>附件五：</w:t>
      </w:r>
      <w:r>
        <w:rPr>
          <w:rFonts w:hint="eastAsia" w:ascii="宋体" w:hAnsi="宋体" w:eastAsia="宋体" w:cs="宋体"/>
          <w:b/>
          <w:color w:val="000000"/>
          <w:sz w:val="32"/>
          <w:szCs w:val="28"/>
          <w:highlight w:val="none"/>
        </w:rPr>
        <w:t xml:space="preserve">   </w:t>
      </w:r>
      <w:r>
        <w:rPr>
          <w:rFonts w:hint="eastAsia" w:ascii="宋体" w:hAnsi="宋体" w:eastAsia="宋体" w:cs="宋体"/>
          <w:b/>
          <w:color w:val="000000"/>
          <w:sz w:val="24"/>
          <w:szCs w:val="22"/>
          <w:highlight w:val="none"/>
        </w:rPr>
        <w:t xml:space="preserve">   </w:t>
      </w:r>
    </w:p>
    <w:p>
      <w:pPr>
        <w:keepNext/>
        <w:keepLines/>
        <w:spacing w:before="260" w:after="260" w:line="416" w:lineRule="auto"/>
        <w:ind w:firstLine="562" w:firstLineChars="200"/>
        <w:jc w:val="center"/>
        <w:outlineLvl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其他相关证明材料</w:t>
      </w:r>
    </w:p>
    <w:p>
      <w:pPr>
        <w:rPr>
          <w:highlight w:val="none"/>
          <w:lang w:val="en-US" w:eastAsia="zh-CN"/>
        </w:rPr>
      </w:pPr>
    </w:p>
    <w:p>
      <w:pPr>
        <w:rPr>
          <w:highlight w:val="none"/>
          <w:lang w:val="en-US" w:eastAsia="zh-CN"/>
        </w:rPr>
      </w:pPr>
      <w:r>
        <w:rPr>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tLeast"/>
        <w:jc w:val="cente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合肥野生动物园</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东门停车场</w:t>
      </w: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经营权转让</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项目</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480" w:lineRule="atLeast"/>
        <w:jc w:val="cente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合肥文旅博览集团野生动物园管理有限公司</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为加快新能源汽车推广与应用，更好的为人民群众的绿色出行服务，甲乙双方根据《中华人民共和国民法典》规定，在协商一致的基础上，就甲、乙双方在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合肥野生动物园</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东门停车场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经营权转让项目</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事项</w:t>
      </w:r>
      <w:r>
        <w:rPr>
          <w:rFonts w:hint="eastAsia" w:ascii="仿宋_GB2312" w:hAnsi="仿宋_GB2312" w:eastAsia="仿宋_GB2312" w:cs="仿宋_GB2312"/>
          <w:color w:val="000000" w:themeColor="text1"/>
          <w:sz w:val="24"/>
          <w:szCs w:val="24"/>
          <w:highlight w:val="none"/>
          <w14:textFill>
            <w14:solidFill>
              <w14:schemeClr w14:val="tx1"/>
            </w14:solidFill>
          </w14:textFill>
        </w:rPr>
        <w:t>达成本合同。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sz w:val="24"/>
          <w:szCs w:val="24"/>
          <w:highlight w:val="none"/>
          <w14:textFill>
            <w14:solidFill>
              <w14:schemeClr w14:val="tx1"/>
            </w14:solidFill>
          </w14:textFill>
        </w:rPr>
        <w:t>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将东门停车场经营权转让给乙方，由乙方全权负责东门停车场的运营，</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建设电动汽车充电设施，提供充电服务。双方本着平等自愿、诚实守信的原则，经友好协商，达成合作共识，订立如下条款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第一条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基本合作内容</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1、项目名称：合肥野生动物园东门停车场经营权转让。</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2、服务内容：</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乙方需自行建设不低于40个新能源汽车快充停车位并安装充电设施，并对道闸、监控等配套设施进行改造。乙方负责充电设施的投资、建设，同时充电站箱变旁边配备3组25公斤二氧化碳灭火器，每两个充电桩之间配置一台消防器材，内部放置2瓶水基灭火器，每个站配备20个灭火毯等消防器材。充电站周围设置防撞护栏，车位配备防撞梁（柱）、车档器。箱变周围设置防撞护栏，与充电站进行隔离，进一步确保安全。项目建成后，面向社会公众开放，为所有适用车辆提供充电服务。自充电系统运营之日起，乙方向充电设施使用者收取充电电费和充电服务费。</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乙方负责东门停车场日常运营及管理。合作方需设立充电站专门管理人员负责停车场的日常运营，以确保提供优质的服务。管理人员每两日进行充电站安全巡查1次，现场配指示牌及24小时应急电话，一旦发生特殊情况，一天24小时内都有专业人员至现场处理。停车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实行“门前三包”</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管理人员每天</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做好清扫和全日保洁工作，确保无卫生死角，无乱堆乱放乱挂，无乱张贴小广告或“牛皮癣”，</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干净整洁，停车有序。管理用房及其它附属</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设施或设备需统一规范，美观大方，摆放有序。如因卫生问题致使甲方请人清扫处理，所需运费及清洁费用，在乙方的履约保证金中扣除。</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（3）乙方负责停车场及充电设施养护、维修及管理，充电桩的</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正常工作率要达到9</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%以上，</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同时乙方承担东门停车场运营相关所有费用及安全责任。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（4）乙方提供24小时有偿停车服务。做到停车收费和充电服务收费</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明码标价，不得擅自提价或违规收费，并按规定提供正规票据（发票）给</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消费者</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节假日及春游、秋游期间，停车场中的新能源车辆充电车位要对燃油车开放，停车遵循“先到先得”的原则。恶劣天气期间，乙方免费开放停车场供甲方职工使用（具体以甲方提供的车牌为准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（5）按照甲方的通知要求，无条件做好上级布置的临时性、阶段性（含检查、突击整治、重大节假日及活动等）的园区（内外）接待工作。</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第二条  合同期限</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合同期限自2025年**月*日-2031年*月*日*（其中：   年  月  日-    年  月  日共计 20 天为项目装修期，若装修提前完成，可进行试营业，试营业的收益可计入首次合同年收益，试营业的收益分成按合同收益分成进行）。合同到期后甲方分成达到保底价且乙方通过甲方综合测评合格后，可续签合同，续签年限4年。</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第三条  </w:t>
      </w: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合同金额与支付</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1、合作模式：经营权转让。</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甲方按照停车场总营收（包括停车费、充电服务费营收款及洗车费等收入）（含税）的</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%收取收益分成。营收款项由乙方直接收取，按合同年对分成款</w:t>
      </w:r>
      <w:r>
        <w:rPr>
          <w:rFonts w:hint="eastAsia" w:ascii="仿宋_GB2312" w:hAnsi="仿宋_GB2312" w:eastAsia="仿宋_GB2312" w:cs="仿宋_GB2312"/>
          <w:color w:val="auto"/>
          <w:sz w:val="24"/>
          <w:szCs w:val="24"/>
          <w:highlight w:val="none"/>
        </w:rPr>
        <w:t>结算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每个合同</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rPr>
        <w:t>结束后</w:t>
      </w:r>
      <w:r>
        <w:rPr>
          <w:rFonts w:hint="eastAsia" w:ascii="仿宋_GB2312" w:hAnsi="仿宋_GB2312" w:eastAsia="仿宋_GB2312" w:cs="仿宋_GB2312"/>
          <w:color w:val="auto"/>
          <w:sz w:val="24"/>
          <w:szCs w:val="24"/>
          <w:highlight w:val="none"/>
          <w:lang w:val="en-US" w:eastAsia="zh-CN"/>
        </w:rPr>
        <w:t>7日</w:t>
      </w:r>
      <w:r>
        <w:rPr>
          <w:rFonts w:hint="eastAsia" w:ascii="仿宋_GB2312" w:hAnsi="仿宋_GB2312" w:eastAsia="仿宋_GB2312" w:cs="仿宋_GB2312"/>
          <w:color w:val="auto"/>
          <w:sz w:val="24"/>
          <w:szCs w:val="24"/>
          <w:highlight w:val="none"/>
        </w:rPr>
        <w:t>内甲乙双方进行对账并形成确认</w:t>
      </w:r>
      <w:r>
        <w:rPr>
          <w:rFonts w:hint="eastAsia" w:ascii="仿宋_GB2312" w:hAnsi="仿宋_GB2312" w:eastAsia="仿宋_GB2312" w:cs="仿宋_GB2312"/>
          <w:color w:val="auto"/>
          <w:sz w:val="24"/>
          <w:szCs w:val="24"/>
          <w:highlight w:val="none"/>
          <w:lang w:val="en-US" w:eastAsia="zh-CN"/>
        </w:rPr>
        <w:t>单经双方确认后，甲方须提供增值税专用发票，</w:t>
      </w:r>
      <w:r>
        <w:rPr>
          <w:rFonts w:hint="default" w:ascii="仿宋_GB2312" w:hAnsi="仿宋_GB2312" w:eastAsia="仿宋_GB2312" w:cs="仿宋_GB2312"/>
          <w:color w:val="auto"/>
          <w:sz w:val="24"/>
          <w:szCs w:val="24"/>
          <w:highlight w:val="none"/>
          <w:lang w:val="en-US" w:eastAsia="zh-CN"/>
        </w:rPr>
        <w:t>收银手续费由乙方承担</w:t>
      </w:r>
      <w:r>
        <w:rPr>
          <w:rFonts w:hint="eastAsia" w:ascii="仿宋_GB2312" w:hAnsi="仿宋_GB2312" w:eastAsia="仿宋_GB2312" w:cs="仿宋_GB2312"/>
          <w:color w:val="auto"/>
          <w:sz w:val="24"/>
          <w:szCs w:val="24"/>
          <w:highlight w:val="none"/>
          <w:lang w:val="en-US" w:eastAsia="zh-CN"/>
        </w:rPr>
        <w:t>。甲方分成金额</w:t>
      </w:r>
      <w:r>
        <w:rPr>
          <w:rFonts w:hint="default"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保底报价时，甲方不再分成，营业款由乙方收取；甲方分成金额&gt;保底报价时，甲方按比例进行分成，超过保底报价的分成部分乙方应在双方形成确认单后10个工作日内转入甲方指定账户。乙方应向甲方开放商家版管理后台（包括停车营收后台、充电运营监管平台及自助洗车平台）查看权限，以方便甲方监督查看营收数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2、合同金额与支付</w:t>
      </w:r>
      <w:r>
        <w:rPr>
          <w:rFonts w:hint="eastAsia" w:ascii="仿宋_GB2312" w:hAnsi="仿宋_GB2312" w:eastAsia="仿宋_GB2312" w:cs="仿宋_GB2312"/>
          <w:b/>
          <w:bCs/>
          <w:color w:val="000000" w:themeColor="text1"/>
          <w:sz w:val="24"/>
          <w:szCs w:val="24"/>
          <w:highlight w:val="none"/>
          <w:u w:val="single" w:color="FFFFFF" w:themeColor="background1"/>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本</w:t>
      </w:r>
      <w:r>
        <w:rPr>
          <w:rFonts w:hint="eastAsia" w:ascii="仿宋_GB2312" w:hAnsi="仿宋_GB2312" w:eastAsia="仿宋_GB2312" w:cs="仿宋_GB2312"/>
          <w:color w:val="auto"/>
          <w:sz w:val="24"/>
          <w:szCs w:val="24"/>
          <w:highlight w:val="none"/>
          <w:lang w:val="en-US" w:eastAsia="zh-CN"/>
        </w:rPr>
        <w:t>项目保底价：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元 （人民币：（¥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元）。乙方在合同签订后10个工作日内将当年保底报价转到甲方账户，以后每年保底报价在上一个合同年结束后10个工作日内转入。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3、履约保证金：</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人民币：贰万元整</w:t>
      </w:r>
      <w:r>
        <w:rPr>
          <w:rFonts w:hint="eastAsia" w:ascii="仿宋_GB2312" w:hAnsi="仿宋_GB2312" w:eastAsia="仿宋_GB2312" w:cs="仿宋_GB2312"/>
          <w:color w:val="000000" w:themeColor="text1"/>
          <w:sz w:val="24"/>
          <w:szCs w:val="24"/>
          <w:highlight w:val="none"/>
          <w:u w:val="single" w:color="auto"/>
          <w:lang w:val="en-US" w:eastAsia="zh-CN"/>
          <w14:textFill>
            <w14:solidFill>
              <w14:schemeClr w14:val="tx1"/>
            </w14:solidFill>
          </w14:textFill>
        </w:rPr>
        <w:t>（¥20000元）</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乙方应在签订合同前（</w:t>
      </w:r>
      <w:r>
        <w:rPr>
          <w:rFonts w:hint="eastAsia" w:ascii="仿宋_GB2312" w:hAnsi="仿宋_GB2312" w:eastAsia="仿宋_GB2312" w:cs="仿宋_GB2312"/>
          <w:color w:val="000000" w:themeColor="text1"/>
          <w:sz w:val="24"/>
          <w:szCs w:val="24"/>
          <w:highlight w:val="none"/>
          <w:u w:val="single" w:color="FFFFFF" w:themeColor="background1"/>
          <w:lang w:val="en-US" w:eastAsia="en-US"/>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招商结果</w:t>
      </w:r>
      <w:r>
        <w:rPr>
          <w:rFonts w:hint="eastAsia" w:ascii="仿宋_GB2312" w:hAnsi="仿宋_GB2312" w:eastAsia="仿宋_GB2312" w:cs="仿宋_GB2312"/>
          <w:color w:val="000000" w:themeColor="text1"/>
          <w:sz w:val="24"/>
          <w:szCs w:val="24"/>
          <w:highlight w:val="none"/>
          <w:u w:val="single" w:color="FFFFFF" w:themeColor="background1"/>
          <w:lang w:val="en-US" w:eastAsia="en-US"/>
          <w14:textFill>
            <w14:solidFill>
              <w14:schemeClr w14:val="tx1"/>
            </w14:solidFill>
          </w14:textFill>
        </w:rPr>
        <w:t>确认书》出具之日起</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u w:val="single" w:color="FFFFFF" w:themeColor="background1"/>
          <w:lang w:val="en-US" w:eastAsia="en-US"/>
          <w14:textFill>
            <w14:solidFill>
              <w14:schemeClr w14:val="tx1"/>
            </w14:solidFill>
          </w14:textFill>
        </w:rPr>
        <w:t>日内</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将履约保证金交付给甲方，如乙方合同有效期内无违约行为，合同终止后，结清所有费用、办清一切移交手续后30个工作日内将履约保证金不计息地退回给乙方；如乙方发生违约行为，则违约金将直接从履约保证金中扣除。</w:t>
      </w:r>
    </w:p>
    <w:p>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jc w:val="both"/>
        <w:textAlignment w:val="auto"/>
        <w:rPr>
          <w:rFonts w:ascii="宋体" w:hAnsi="宋体" w:cs="宋体"/>
          <w:color w:val="000000"/>
          <w:szCs w:val="24"/>
          <w:highlight w:val="none"/>
          <w:u w:val="singl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其它费用缴纳：</w:t>
      </w:r>
      <w:r>
        <w:rPr>
          <w:rFonts w:hint="eastAsia" w:ascii="仿宋_GB2312" w:hAnsi="仿宋_GB2312" w:eastAsia="仿宋_GB2312" w:cs="仿宋_GB2312"/>
          <w:color w:val="auto"/>
          <w:sz w:val="24"/>
          <w:szCs w:val="24"/>
          <w:highlight w:val="none"/>
          <w:lang w:val="en-US" w:eastAsia="zh-CN"/>
        </w:rPr>
        <w:t>停车场的电力接入由乙方向供电企业单独申请报装增容，并承担由此产生的费用；停车场运营产生的电费由乙方与供电企业单独结算，充电电费按当地供电部门核定电费标准执行，充电服务费根据本市政策调整执行，甲方予以认可</w:t>
      </w:r>
      <w:r>
        <w:rPr>
          <w:rFonts w:hint="eastAsia" w:ascii="宋体" w:hAnsi="宋体" w:eastAsia="宋体" w:cs="宋体"/>
          <w:color w:val="000000"/>
          <w:szCs w:val="24"/>
          <w:highlight w:val="none"/>
          <w:lang w:eastAsia="zh-CN"/>
        </w:rPr>
        <w:t>；</w:t>
      </w:r>
      <w:r>
        <w:rPr>
          <w:rFonts w:hint="eastAsia" w:ascii="仿宋_GB2312" w:hAnsi="仿宋_GB2312" w:eastAsia="仿宋_GB2312" w:cs="仿宋_GB2312"/>
          <w:color w:val="auto"/>
          <w:sz w:val="24"/>
          <w:szCs w:val="24"/>
          <w:highlight w:val="none"/>
          <w:lang w:val="en-US" w:eastAsia="zh-CN"/>
        </w:rPr>
        <w:t>合同</w:t>
      </w:r>
      <w:r>
        <w:rPr>
          <w:rFonts w:hint="eastAsia" w:ascii="仿宋_GB2312" w:hAnsi="仿宋_GB2312" w:eastAsia="仿宋_GB2312" w:cs="仿宋_GB2312"/>
          <w:color w:val="auto"/>
          <w:sz w:val="24"/>
          <w:szCs w:val="24"/>
          <w:highlight w:val="none"/>
        </w:rPr>
        <w:t>期间发生的</w:t>
      </w:r>
      <w:r>
        <w:rPr>
          <w:rFonts w:hint="eastAsia" w:ascii="仿宋_GB2312" w:hAnsi="仿宋_GB2312" w:eastAsia="仿宋_GB2312" w:cs="仿宋_GB2312"/>
          <w:color w:val="auto"/>
          <w:sz w:val="24"/>
          <w:szCs w:val="24"/>
          <w:highlight w:val="none"/>
          <w:lang w:val="en-US" w:eastAsia="zh-CN"/>
        </w:rPr>
        <w:t>其它费用如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电、网络等公共设施和公共能源费用由乙方缴纳。</w:t>
      </w:r>
      <w:r>
        <w:rPr>
          <w:rFonts w:hint="eastAsia" w:ascii="仿宋_GB2312" w:hAnsi="仿宋_GB2312" w:eastAsia="仿宋_GB2312" w:cs="仿宋_GB2312"/>
          <w:color w:val="auto"/>
          <w:sz w:val="24"/>
          <w:szCs w:val="24"/>
          <w:highlight w:val="none"/>
          <w:lang w:val="en-US" w:eastAsia="zh-CN"/>
        </w:rPr>
        <w:t>如有拖欠，从乙方的履约保证金中扣除。乙方需在7个工作日内将扣除的履约保证金补齐（自扣除当日起算）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22" w:firstLineChars="200"/>
        <w:textAlignment w:val="auto"/>
        <w:rPr>
          <w:rFonts w:hint="eastAsia" w:ascii="仿宋_GB2312" w:hAnsi="仿宋_GB2312" w:eastAsia="仿宋_GB2312" w:cs="仿宋_GB2312"/>
          <w:b/>
          <w:bCs/>
          <w:color w:val="auto"/>
          <w:sz w:val="24"/>
          <w:szCs w:val="24"/>
          <w:highlight w:val="none"/>
        </w:rPr>
      </w:pPr>
      <w:r>
        <w:rPr>
          <w:rFonts w:hint="eastAsia" w:ascii="宋体" w:hAnsi="宋体" w:eastAsia="宋体" w:cs="宋体"/>
          <w:b/>
          <w:color w:val="000000"/>
          <w:szCs w:val="24"/>
          <w:highlight w:val="none"/>
          <w:lang w:val="en-US" w:eastAsia="zh-CN"/>
        </w:rPr>
        <w:t xml:space="preserve">第四条   </w:t>
      </w:r>
      <w:r>
        <w:rPr>
          <w:rFonts w:hint="eastAsia" w:ascii="仿宋_GB2312" w:hAnsi="仿宋_GB2312" w:eastAsia="仿宋_GB2312" w:cs="仿宋_GB2312"/>
          <w:b/>
          <w:bCs/>
          <w:color w:val="auto"/>
          <w:sz w:val="24"/>
          <w:szCs w:val="24"/>
          <w:highlight w:val="none"/>
        </w:rPr>
        <w:t>甲方权利义务</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甲方有权维护国家合法权益以及自身合理权益不受侵害。</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甲方可随时按本合同规定检查乙方的服务规范和质量</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对不符合合同约定条款的行为，甲方可要求乙方限期整改</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2、停车场</w:t>
      </w:r>
      <w:r>
        <w:rPr>
          <w:rFonts w:hint="eastAsia" w:ascii="仿宋_GB2312" w:hAnsi="仿宋_GB2312" w:eastAsia="仿宋_GB2312" w:cs="仿宋_GB2312"/>
          <w:color w:val="000000" w:themeColor="text1"/>
          <w:sz w:val="24"/>
          <w:szCs w:val="24"/>
          <w:highlight w:val="none"/>
          <w14:textFill>
            <w14:solidFill>
              <w14:schemeClr w14:val="tx1"/>
            </w14:solidFill>
          </w14:textFill>
        </w:rPr>
        <w:t>的日常经营和管理工作由乙方负责，乙方的经营活动，必须遵守国家法律、法规，并接受有关职能部门的检查、监督，甲方对乙方进行运营管理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在不干涉乙方正常经营活动的前提下有权对乙方进行监督</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和了解</w:t>
      </w:r>
      <w:r>
        <w:rPr>
          <w:rFonts w:hint="eastAsia" w:ascii="仿宋_GB2312" w:hAnsi="仿宋_GB2312" w:eastAsia="仿宋_GB2312" w:cs="仿宋_GB2312"/>
          <w:color w:val="000000" w:themeColor="text1"/>
          <w:sz w:val="24"/>
          <w:szCs w:val="24"/>
          <w:highlight w:val="none"/>
          <w14:textFill>
            <w14:solidFill>
              <w14:schemeClr w14:val="tx1"/>
            </w14:solidFill>
          </w14:textFill>
        </w:rPr>
        <w:t>，对于乙方可能发生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24"/>
          <w:szCs w:val="24"/>
          <w:highlight w:val="none"/>
          <w14:textFill>
            <w14:solidFill>
              <w14:schemeClr w14:val="tx1"/>
            </w14:solidFill>
          </w14:textFill>
        </w:rPr>
        <w:t>已经发生的损害双方合作基础、甲方权益、公共利益以及违法违规行为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甲方有权</w:t>
      </w:r>
      <w:r>
        <w:rPr>
          <w:rFonts w:hint="eastAsia" w:ascii="仿宋_GB2312" w:hAnsi="仿宋_GB2312" w:eastAsia="仿宋_GB2312" w:cs="仿宋_GB2312"/>
          <w:color w:val="000000" w:themeColor="text1"/>
          <w:sz w:val="24"/>
          <w:szCs w:val="24"/>
          <w:highlight w:val="none"/>
          <w14:textFill>
            <w14:solidFill>
              <w14:schemeClr w14:val="tx1"/>
            </w14:solidFill>
          </w14:textFill>
        </w:rPr>
        <w:t>进行制止和要求纠正。</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所有</w:t>
      </w:r>
      <w:r>
        <w:rPr>
          <w:rFonts w:hint="eastAsia" w:ascii="仿宋_GB2312" w:hAnsi="仿宋_GB2312" w:eastAsia="仿宋_GB2312" w:cs="仿宋_GB2312"/>
          <w:color w:val="000000" w:themeColor="text1"/>
          <w:sz w:val="24"/>
          <w:szCs w:val="24"/>
          <w:highlight w:val="none"/>
          <w14:textFill>
            <w14:solidFill>
              <w14:schemeClr w14:val="tx1"/>
            </w14:solidFill>
          </w14:textFill>
        </w:rPr>
        <w:t>营收款项统一进入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乙方账户，乙方应向甲方开放商家版管理后台（包括停车营收后台、充电运营监管平台及自助洗车平台</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查看权限，以方便甲方监督查看营收数据。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配合乙方在约定场地内进行的工程施工和相应的配套设施建设，提供相应支持与协调。</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、充电设施建成使用后，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甲方承诺不随意</w:t>
      </w:r>
      <w:r>
        <w:rPr>
          <w:rFonts w:hint="eastAsia" w:ascii="仿宋_GB2312" w:hAnsi="仿宋_GB2312" w:eastAsia="仿宋_GB2312" w:cs="仿宋_GB2312"/>
          <w:color w:val="000000" w:themeColor="text1"/>
          <w:sz w:val="24"/>
          <w:szCs w:val="24"/>
          <w:highlight w:val="none"/>
          <w14:textFill>
            <w14:solidFill>
              <w14:schemeClr w14:val="tx1"/>
            </w14:solidFill>
          </w14:textFill>
        </w:rPr>
        <w:t>对设备进行拆装、移位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（如遇甲方园区改造或停车场维修等情况，甲方给乙方发函，乙方配合甲方调整位置或暂时关闭充电设备）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，合作期间场地如遇政府部门要求拆迁（如生态红线内违规建设等原因）不受上述条款约束</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default" w:ascii="仿宋_GB2312" w:hAnsi="仿宋_GB2312" w:eastAsia="仿宋_GB2312" w:cs="仿宋_GB2312"/>
          <w:b w:val="0"/>
          <w:bCs w:val="0"/>
          <w:i w:val="0"/>
          <w:iCs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、本项目实际管理方发生变更时，保证将充电设施纳入移交清单，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甲方配合协调</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乙方和继任方继续履行合同剩余期限。</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baseline"/>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第五条 乙方的权利与义务</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default"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lang w:val="en-US" w:eastAsia="zh-CN"/>
        </w:rPr>
        <w:t>应按项目服务要求聘用人员、开展人员培训，以确保为消费者提供优质的服务。</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须合法经营，自负盈亏，乙方应自行承担因履行合同所产生的债权债务等一切经济责任；自觉遵守各项管理规定（包括但不限于治安、交通、消防、税务、劳动法律法规等），及时办理此项目的一切合法经营手续及按时缴纳各项税款及按规定应要缴纳的各种费用（包括但不限于工商、税务、交运、物价、保险、安全相关证照），乙方因违反相关规定而导致的行政和经济责任，或违法经营而受到处罚，均由乙方自行承担相应责任。由此而给甲方造成损失的，甲方有权向乙方追偿。</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、乙方应当承担</w:t>
      </w:r>
      <w:r>
        <w:rPr>
          <w:rFonts w:hint="eastAsia" w:ascii="仿宋_GB2312" w:hAnsi="仿宋_GB2312" w:eastAsia="仿宋_GB2312" w:cs="仿宋_GB2312"/>
          <w:color w:val="auto"/>
          <w:sz w:val="24"/>
          <w:szCs w:val="24"/>
          <w:highlight w:val="none"/>
          <w:lang w:val="en-US" w:eastAsia="zh-CN"/>
        </w:rPr>
        <w:t>停车场运营时</w:t>
      </w:r>
      <w:r>
        <w:rPr>
          <w:rFonts w:hint="eastAsia" w:ascii="仿宋_GB2312" w:hAnsi="仿宋_GB2312" w:eastAsia="仿宋_GB2312" w:cs="仿宋_GB2312"/>
          <w:color w:val="auto"/>
          <w:sz w:val="24"/>
          <w:szCs w:val="24"/>
          <w:highlight w:val="none"/>
        </w:rPr>
        <w:t>（包括但不限于消费</w:t>
      </w:r>
      <w:r>
        <w:rPr>
          <w:rFonts w:hint="eastAsia" w:ascii="仿宋_GB2312" w:hAnsi="仿宋_GB2312" w:eastAsia="仿宋_GB2312" w:cs="仿宋_GB2312"/>
          <w:color w:val="auto"/>
          <w:sz w:val="24"/>
          <w:szCs w:val="24"/>
          <w:highlight w:val="none"/>
          <w:lang w:val="en-US" w:eastAsia="zh-CN"/>
        </w:rPr>
        <w:t>者</w:t>
      </w:r>
      <w:r>
        <w:rPr>
          <w:rFonts w:hint="eastAsia" w:ascii="仿宋_GB2312" w:hAnsi="仿宋_GB2312" w:eastAsia="仿宋_GB2312" w:cs="仿宋_GB2312"/>
          <w:color w:val="auto"/>
          <w:sz w:val="24"/>
          <w:szCs w:val="24"/>
          <w:highlight w:val="none"/>
        </w:rPr>
        <w:t>、客户、</w:t>
      </w:r>
      <w:r>
        <w:rPr>
          <w:rFonts w:hint="eastAsia" w:ascii="仿宋_GB2312" w:hAnsi="仿宋_GB2312" w:eastAsia="仿宋_GB2312" w:cs="仿宋_GB2312"/>
          <w:color w:val="auto"/>
          <w:sz w:val="24"/>
          <w:szCs w:val="24"/>
          <w:highlight w:val="none"/>
          <w:lang w:val="en-US" w:eastAsia="zh-CN"/>
        </w:rPr>
        <w:t>司机及工作人员</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一切</w:t>
      </w:r>
      <w:r>
        <w:rPr>
          <w:rFonts w:hint="eastAsia" w:ascii="仿宋_GB2312" w:hAnsi="仿宋_GB2312" w:eastAsia="仿宋_GB2312" w:cs="仿宋_GB2312"/>
          <w:color w:val="auto"/>
          <w:sz w:val="24"/>
          <w:szCs w:val="24"/>
          <w:highlight w:val="none"/>
        </w:rPr>
        <w:t>安全保障义务，并自行承担相应法律责任</w:t>
      </w:r>
      <w:r>
        <w:rPr>
          <w:rFonts w:hint="eastAsia" w:ascii="仿宋_GB2312" w:hAnsi="仿宋_GB2312" w:eastAsia="仿宋_GB2312" w:cs="仿宋_GB2312"/>
          <w:color w:val="auto"/>
          <w:sz w:val="24"/>
          <w:szCs w:val="24"/>
          <w:highlight w:val="none"/>
          <w:lang w:eastAsia="zh-CN"/>
        </w:rPr>
        <w:t>，</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由此而给甲方造成损失的，甲方有权向乙方追偿</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4、合同</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间</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，乙方不得擅自转让、转包及抵押项目</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不得更改</w:t>
      </w:r>
      <w:r>
        <w:rPr>
          <w:rFonts w:hint="eastAsia" w:ascii="仿宋_GB2312" w:hAnsi="仿宋_GB2312" w:eastAsia="仿宋_GB2312" w:cs="仿宋_GB2312"/>
          <w:b w:val="0"/>
          <w:bCs w:val="0"/>
          <w:i w:val="0"/>
          <w:iCs w:val="0"/>
          <w:caps w:val="0"/>
          <w:color w:val="000000" w:themeColor="text1"/>
          <w:spacing w:val="0"/>
          <w:sz w:val="24"/>
          <w:szCs w:val="24"/>
          <w:highlight w:val="none"/>
          <w:lang w:eastAsia="zh-CN"/>
          <w14:textFill>
            <w14:solidFill>
              <w14:schemeClr w14:val="tx1"/>
            </w14:solidFill>
          </w14:textFill>
        </w:rPr>
        <w:t>经营权转让</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项目的经营范围</w:t>
      </w:r>
      <w:r>
        <w:rPr>
          <w:rFonts w:hint="eastAsia" w:ascii="仿宋_GB2312" w:hAnsi="仿宋_GB2312" w:eastAsia="仿宋_GB2312" w:cs="仿宋_GB2312"/>
          <w:b w:val="0"/>
          <w:bCs w:val="0"/>
          <w:i w:val="0"/>
          <w:iCs w:val="0"/>
          <w:caps w:val="0"/>
          <w:color w:val="000000" w:themeColor="text1"/>
          <w:spacing w:val="0"/>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24"/>
          <w:szCs w:val="24"/>
          <w:highlight w:val="none"/>
          <w:lang w:val="en-US" w:eastAsia="zh-CN"/>
          <w14:textFill>
            <w14:solidFill>
              <w14:schemeClr w14:val="tx1"/>
            </w14:solidFill>
          </w14:textFill>
        </w:rPr>
        <w:t>除有偿停车、新能源车辆充电及自助洗车外，停车场内不允许有其它经营业态。</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、乙方经营过程对外发生的债权债务，以及与消费者或者客户间发生的争议和纠纷，以及遭受的行政处罚、行政强制措施等，均由乙方自行负责解决，因此给甲方造成损失的，乙方应当负责赔偿。</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项目运营过程中</w:t>
      </w:r>
      <w:r>
        <w:rPr>
          <w:rFonts w:hint="eastAsia" w:ascii="仿宋_GB2312" w:hAnsi="仿宋_GB2312" w:eastAsia="仿宋_GB2312" w:cs="仿宋_GB2312"/>
          <w:color w:val="000000" w:themeColor="text1"/>
          <w:sz w:val="24"/>
          <w:szCs w:val="24"/>
          <w:highlight w:val="none"/>
          <w14:textFill>
            <w14:solidFill>
              <w14:schemeClr w14:val="tx1"/>
            </w14:solidFill>
          </w14:textFill>
        </w:rPr>
        <w:t>所提供的服务，应负责起售后或善后工作。乙方负责消费者发票的开具及售后，因乙方未及时开具发票导致客户投诉的由乙方负责解决。</w:t>
      </w:r>
      <w:r>
        <w:rPr>
          <w:rFonts w:hint="eastAsia" w:ascii="仿宋_GB2312" w:hAnsi="仿宋_GB2312" w:eastAsia="仿宋_GB2312" w:cs="仿宋_GB2312"/>
          <w:color w:val="auto"/>
          <w:kern w:val="2"/>
          <w:sz w:val="24"/>
          <w:szCs w:val="24"/>
          <w:highlight w:val="none"/>
          <w:lang w:val="en-US" w:eastAsia="zh-CN" w:bidi="ar-SA"/>
        </w:rPr>
        <w:t>乙方每季度有效投诉（包括但不限于12345投诉，内容例如乙方提供的设备或服务存在质量问题且被相关管理部门确认等）不得超过1起，超过的每起有效投诉乙方需支付500元违约金，造成舆情的，不论原因每起舆情乙方需支付违约金3000元（以收到政府相关部门舆情提示单为准），所有违约金应在乙方收到投诉并确认后10个工作日内缴纳至甲方指定账户。</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、乙方应做好</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停车场</w:t>
      </w:r>
      <w:r>
        <w:rPr>
          <w:rFonts w:hint="eastAsia" w:ascii="仿宋_GB2312" w:hAnsi="仿宋_GB2312" w:eastAsia="仿宋_GB2312" w:cs="仿宋_GB2312"/>
          <w:color w:val="000000" w:themeColor="text1"/>
          <w:sz w:val="24"/>
          <w:szCs w:val="24"/>
          <w:highlight w:val="none"/>
          <w14:textFill>
            <w14:solidFill>
              <w14:schemeClr w14:val="tx1"/>
            </w14:solidFill>
          </w14:textFill>
        </w:rPr>
        <w:t>的消防、安全和环境秩序工作。</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FF"/>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、乙方应在充电设施周边设置使用说明和安全标示牌。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在公共部位张贴、悬挂或展示任何广告、宣传标语、招牌、符号、装饰、灯饰、标志，均应当得到甲方确认，具体的张贴、悬挂和展示工作由乙方负责实施，并由乙方对实施后果和安全性负责。</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4"/>
          <w:szCs w:val="24"/>
          <w:highlight w:val="none"/>
          <w14:textFill>
            <w14:solidFill>
              <w14:schemeClr w14:val="tx1"/>
            </w14:solidFill>
          </w14:textFill>
        </w:rPr>
        <w:t>乙方在经营过程中使用的所有商标、专利、著作权等知识产权，应确保不侵犯任何第三方权益。因乙方侵犯第三方知识产权而引起的任何纠纷或损失，均由乙方自行承担，与甲方无关。如因此给甲方造成损失的，乙方应予以全额赔偿。</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乙方不得利用“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合肥野生动物园</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合野</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”等容易让人误解的词汇和标志开展活动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10、乙方应</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依法支付项目运营人员的劳动报酬和相关待遇，为人员缴纳保险费并办理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相关</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保险手续，为人员出具解除或者终止劳动合同的证明等。项目运营人员发生工伤及劳动纠纷时，由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负责全面处理并承担全部责任。 </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乙方应严格按照应标文件中设计方案进行停车场的改造，如因甲方要求进一步优化的除外，最终以甲乙双方最终确认为准。如效果图不符合或区别较大不符合甲方要求，乙方应无条件重新施工，施工结束经甲方验收合格后方可营业。</w:t>
      </w:r>
      <w:r>
        <w:rPr>
          <w:rFonts w:hint="eastAsia" w:ascii="仿宋_GB2312" w:hAnsi="仿宋_GB2312" w:eastAsia="仿宋_GB2312" w:cs="仿宋_GB2312"/>
          <w:color w:val="auto"/>
          <w:sz w:val="24"/>
          <w:szCs w:val="24"/>
          <w:highlight w:val="none"/>
        </w:rPr>
        <w:t>乙方应当对其</w:t>
      </w:r>
      <w:r>
        <w:rPr>
          <w:rFonts w:hint="eastAsia" w:ascii="仿宋_GB2312" w:hAnsi="仿宋_GB2312" w:eastAsia="仿宋_GB2312" w:cs="仿宋_GB2312"/>
          <w:color w:val="auto"/>
          <w:sz w:val="24"/>
          <w:szCs w:val="24"/>
          <w:highlight w:val="none"/>
          <w:lang w:val="en-US" w:eastAsia="zh-CN"/>
        </w:rPr>
        <w:t>施工</w:t>
      </w:r>
      <w:r>
        <w:rPr>
          <w:rFonts w:hint="eastAsia" w:ascii="仿宋_GB2312" w:hAnsi="仿宋_GB2312" w:eastAsia="仿宋_GB2312" w:cs="仿宋_GB2312"/>
          <w:color w:val="auto"/>
          <w:sz w:val="24"/>
          <w:szCs w:val="24"/>
          <w:highlight w:val="none"/>
        </w:rPr>
        <w:t>行为的合法性、安全性、可靠性、有效性负责，甲方的同意行为不视为对乙方上述义务的减轻或者豁免。</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12、乙方负责停车场及充电设施的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维修维护，由此产生的审批、申请、验收等相关费用及流程所需各项费用全部均由乙方自行承担。乙方将投建充电设施纳入整体充电设施网络体系中，由乙方根据其业务需要统一进行运营管理、维护和处置。</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13、合作期满后或因不可抗力原因，双方无法继续履行合同，充电设施由乙方无条件收回，甲方应予配合。</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14、未经甲方允许，乙方不得在经营区域内搭乱建，不得破坏周边绿化</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、如乙方因经营需要对安全、消防、水、电、通讯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充电设备</w:t>
      </w:r>
      <w:r>
        <w:rPr>
          <w:rFonts w:hint="eastAsia" w:ascii="仿宋_GB2312" w:hAnsi="仿宋_GB2312" w:eastAsia="仿宋_GB2312" w:cs="仿宋_GB2312"/>
          <w:color w:val="auto"/>
          <w:sz w:val="24"/>
          <w:szCs w:val="24"/>
          <w:highlight w:val="none"/>
        </w:rPr>
        <w:t>等基础设施、设备进行改造或升级的，须事先征得甲方的同意方可进行，改造升级的施工由乙方负责，所需各项费用均由乙方承担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因乙方的装修改造行为使甲方陷入与第三方纠纷或者使甲方被第三方索赔，或者使甲方遭受行政处罚的，甲方有权向乙方追偿所遭受的全部损失。</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、乙方自行办理经营、设计、装修涉及的规划、环保、卫生、水、电、气、通讯、消防改造验收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费用调整</w:t>
      </w:r>
      <w:r>
        <w:rPr>
          <w:rFonts w:hint="eastAsia" w:ascii="仿宋_GB2312" w:hAnsi="仿宋_GB2312" w:eastAsia="仿宋_GB2312" w:cs="仿宋_GB2312"/>
          <w:color w:val="auto"/>
          <w:sz w:val="24"/>
          <w:szCs w:val="24"/>
          <w:highlight w:val="none"/>
        </w:rPr>
        <w:t>等国家规定的相关报批手续，所产生的相关费用由乙方承担。甲方应及时提供办理资质文件所需的资料</w:t>
      </w:r>
      <w:r>
        <w:rPr>
          <w:rFonts w:hint="eastAsia" w:ascii="仿宋_GB2312" w:hAnsi="仿宋_GB2312" w:eastAsia="仿宋_GB2312" w:cs="仿宋_GB2312"/>
          <w:color w:val="auto"/>
          <w:sz w:val="24"/>
          <w:szCs w:val="24"/>
          <w:highlight w:val="none"/>
          <w:lang w:val="en-US" w:eastAsia="zh-CN"/>
        </w:rPr>
        <w:t>并协助乙方完成相关手续</w:t>
      </w:r>
      <w:r>
        <w:rPr>
          <w:rFonts w:hint="eastAsia" w:ascii="仿宋_GB2312" w:hAnsi="仿宋_GB2312" w:eastAsia="仿宋_GB2312" w:cs="仿宋_GB2312"/>
          <w:color w:val="auto"/>
          <w:sz w:val="24"/>
          <w:szCs w:val="24"/>
          <w:highlight w:val="none"/>
        </w:rPr>
        <w:t>，乙方装修改造工程必须符合相关法律法规，依法需要报建的，乙方还应当自行办理规定的报建手续。</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17、</w:t>
      </w:r>
      <w:r>
        <w:rPr>
          <w:rFonts w:hint="default" w:ascii="仿宋_GB2312" w:hAnsi="仿宋_GB2312" w:eastAsia="仿宋_GB2312" w:cs="仿宋_GB2312"/>
          <w:color w:val="auto"/>
          <w:sz w:val="24"/>
          <w:szCs w:val="24"/>
          <w:highlight w:val="none"/>
          <w:lang w:val="en-US" w:eastAsia="zh-CN"/>
        </w:rPr>
        <w:t>合同期满或终止或经双方协商同意合同提前解除时，乙方不得对项目相关建(构)筑物</w:t>
      </w:r>
      <w:r>
        <w:rPr>
          <w:rFonts w:hint="eastAsia" w:ascii="仿宋_GB2312" w:hAnsi="仿宋_GB2312" w:eastAsia="仿宋_GB2312" w:cs="仿宋_GB2312"/>
          <w:color w:val="auto"/>
          <w:sz w:val="24"/>
          <w:szCs w:val="24"/>
          <w:highlight w:val="none"/>
          <w:lang w:val="en-US" w:eastAsia="zh-CN"/>
        </w:rPr>
        <w:t>如管理用房、监控、收银系统等</w:t>
      </w:r>
      <w:r>
        <w:rPr>
          <w:rFonts w:hint="default" w:ascii="仿宋_GB2312" w:hAnsi="仿宋_GB2312" w:eastAsia="仿宋_GB2312" w:cs="仿宋_GB2312"/>
          <w:color w:val="auto"/>
          <w:sz w:val="24"/>
          <w:szCs w:val="24"/>
          <w:highlight w:val="none"/>
          <w:lang w:val="en-US" w:eastAsia="zh-CN"/>
        </w:rPr>
        <w:t>设施进行擅自拆除，</w:t>
      </w:r>
      <w:r>
        <w:rPr>
          <w:rFonts w:hint="eastAsia" w:ascii="仿宋_GB2312" w:hAnsi="仿宋_GB2312" w:eastAsia="仿宋_GB2312" w:cs="仿宋_GB2312"/>
          <w:color w:val="auto"/>
          <w:sz w:val="24"/>
          <w:szCs w:val="24"/>
          <w:highlight w:val="none"/>
        </w:rPr>
        <w:t>在合作期限结束后无偿地移交给甲方。</w:t>
      </w:r>
      <w:r>
        <w:rPr>
          <w:rFonts w:hint="default" w:ascii="仿宋_GB2312" w:hAnsi="仿宋_GB2312" w:eastAsia="仿宋_GB2312" w:cs="仿宋_GB2312"/>
          <w:color w:val="auto"/>
          <w:sz w:val="24"/>
          <w:szCs w:val="24"/>
          <w:highlight w:val="none"/>
          <w:lang w:val="en-US" w:eastAsia="zh-CN"/>
        </w:rPr>
        <w:t>乙方需在</w:t>
      </w:r>
      <w:r>
        <w:rPr>
          <w:rFonts w:hint="eastAsia" w:ascii="仿宋_GB2312" w:hAnsi="仿宋_GB2312" w:eastAsia="仿宋_GB2312" w:cs="仿宋_GB2312"/>
          <w:color w:val="auto"/>
          <w:sz w:val="24"/>
          <w:szCs w:val="24"/>
          <w:highlight w:val="none"/>
          <w:lang w:val="en-US" w:eastAsia="zh-CN"/>
        </w:rPr>
        <w:t>10日</w:t>
      </w:r>
      <w:r>
        <w:rPr>
          <w:rFonts w:hint="default" w:ascii="仿宋_GB2312" w:hAnsi="仿宋_GB2312" w:eastAsia="仿宋_GB2312" w:cs="仿宋_GB2312"/>
          <w:color w:val="auto"/>
          <w:sz w:val="24"/>
          <w:szCs w:val="24"/>
          <w:highlight w:val="none"/>
          <w:lang w:val="en-US" w:eastAsia="zh-CN"/>
        </w:rPr>
        <w:t>内</w:t>
      </w:r>
      <w:r>
        <w:rPr>
          <w:rFonts w:hint="eastAsia" w:ascii="仿宋_GB2312" w:hAnsi="仿宋_GB2312" w:eastAsia="仿宋_GB2312" w:cs="仿宋_GB2312"/>
          <w:color w:val="auto"/>
          <w:sz w:val="24"/>
          <w:szCs w:val="24"/>
          <w:highlight w:val="none"/>
          <w:lang w:val="en-US" w:eastAsia="zh-CN"/>
        </w:rPr>
        <w:t>根据甲方安排</w:t>
      </w:r>
      <w:r>
        <w:rPr>
          <w:rFonts w:hint="default" w:ascii="仿宋_GB2312" w:hAnsi="仿宋_GB2312" w:eastAsia="仿宋_GB2312" w:cs="仿宋_GB2312"/>
          <w:color w:val="auto"/>
          <w:sz w:val="24"/>
          <w:szCs w:val="24"/>
          <w:highlight w:val="none"/>
          <w:lang w:val="en-US" w:eastAsia="zh-CN"/>
        </w:rPr>
        <w:t>清理物品，</w:t>
      </w:r>
      <w:r>
        <w:rPr>
          <w:rFonts w:hint="eastAsia" w:ascii="仿宋_GB2312" w:hAnsi="仿宋_GB2312" w:eastAsia="仿宋_GB2312" w:cs="仿宋_GB2312"/>
          <w:color w:val="auto"/>
          <w:sz w:val="24"/>
          <w:szCs w:val="24"/>
          <w:highlight w:val="none"/>
          <w:lang w:val="en-US" w:eastAsia="zh-CN"/>
        </w:rPr>
        <w:t>拆除充电设备</w:t>
      </w:r>
      <w:r>
        <w:rPr>
          <w:rFonts w:hint="default" w:ascii="仿宋_GB2312" w:hAnsi="仿宋_GB2312" w:eastAsia="仿宋_GB2312" w:cs="仿宋_GB2312"/>
          <w:color w:val="auto"/>
          <w:sz w:val="24"/>
          <w:szCs w:val="24"/>
          <w:highlight w:val="none"/>
          <w:lang w:val="en-US" w:eastAsia="zh-CN"/>
        </w:rPr>
        <w:t>并撤出场地，否则视为物品原权利人放弃一切权利，由甲方自行处置；关于项目其他相关事宜，乙方应按照甲方的要求妥善做好承包项目的移交工作。</w:t>
      </w:r>
      <w:r>
        <w:rPr>
          <w:rFonts w:hint="eastAsia" w:ascii="仿宋_GB2312" w:hAnsi="仿宋_GB2312" w:eastAsia="仿宋_GB2312" w:cs="仿宋_GB2312"/>
          <w:color w:val="auto"/>
          <w:sz w:val="24"/>
          <w:szCs w:val="24"/>
          <w:highlight w:val="none"/>
        </w:rPr>
        <w:t>乙方逾期未</w:t>
      </w:r>
      <w:r>
        <w:rPr>
          <w:rFonts w:hint="eastAsia" w:ascii="仿宋_GB2312" w:hAnsi="仿宋_GB2312" w:eastAsia="仿宋_GB2312" w:cs="仿宋_GB2312"/>
          <w:color w:val="auto"/>
          <w:sz w:val="24"/>
          <w:szCs w:val="24"/>
          <w:highlight w:val="none"/>
          <w:lang w:val="en-US" w:eastAsia="zh-CN"/>
        </w:rPr>
        <w:t>按甲方要求清空场地</w:t>
      </w:r>
      <w:r>
        <w:rPr>
          <w:rFonts w:hint="eastAsia" w:ascii="仿宋_GB2312" w:hAnsi="仿宋_GB2312" w:eastAsia="仿宋_GB2312" w:cs="仿宋_GB2312"/>
          <w:color w:val="auto"/>
          <w:sz w:val="24"/>
          <w:szCs w:val="24"/>
          <w:highlight w:val="none"/>
        </w:rPr>
        <w:t>交还给甲方的，每逾期一日，乙方应当</w:t>
      </w:r>
      <w:r>
        <w:rPr>
          <w:rFonts w:hint="eastAsia" w:ascii="仿宋_GB2312" w:hAnsi="仿宋_GB2312" w:eastAsia="仿宋_GB2312" w:cs="仿宋_GB2312"/>
          <w:color w:val="auto"/>
          <w:sz w:val="24"/>
          <w:szCs w:val="24"/>
          <w:highlight w:val="none"/>
          <w:lang w:val="en-US" w:eastAsia="zh-CN"/>
        </w:rPr>
        <w:t>按</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500</w:t>
      </w:r>
      <w:r>
        <w:rPr>
          <w:rFonts w:hint="eastAsia" w:ascii="仿宋_GB2312" w:hAnsi="仿宋_GB2312" w:eastAsia="仿宋_GB2312" w:cs="仿宋_GB2312"/>
          <w:color w:val="auto"/>
          <w:sz w:val="24"/>
          <w:szCs w:val="24"/>
          <w:highlight w:val="none"/>
        </w:rPr>
        <w:t>元/日向甲方支付违约金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违约金将从履约保证金中扣除</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18、因乙方原因导致本合同提前解除的，扣除履约保证金，履约保证金不足以弥补甲方损失的，乙方应当继续赔偿甲方损失。</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第六条  其他约定</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1、双方对合作过程中知</w:t>
      </w:r>
      <w:r>
        <w:rPr>
          <w:rFonts w:hint="eastAsia" w:ascii="仿宋_GB2312" w:hAnsi="仿宋_GB2312" w:eastAsia="仿宋_GB2312" w:cs="仿宋_GB2312"/>
          <w:color w:val="000000" w:themeColor="text1"/>
          <w:sz w:val="24"/>
          <w:szCs w:val="24"/>
          <w:highlight w:val="none"/>
          <w14:textFill>
            <w14:solidFill>
              <w14:schemeClr w14:val="tx1"/>
            </w14:solidFill>
          </w14:textFill>
        </w:rPr>
        <w:t>晓的商业信息、技术资料，以及签署的协议和往来文件进行保密，未经对方同意，不得向任何第三方透露，法律另有规定的除外。</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2、如在高低压报装过程中无法满足供电公司要求，导致此项目没能完成报装接电的，本项目取消或调整建设数量，双方均不承担责任。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3、合同期内，甲方享有乙方所有营收款的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作为收益。其中，充电服务费以充电运营监管平台实际收取服务费为准(除去乙方赠予的优惠券折扣券)，经双方确认后，乙方给予甲方充电服务费分成收入核算。根据前述约定，按照收益分成和保底租金取其高进行年度结算，甲方须提供增值税专用发票，乙方应配合给予甲方查看此项目所有后台数据的权利。</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4、东门停车场现有收费标准为小型车每连续停放24小时内收费5元，大型车每连续停放24小时内收费10元.如后期停车场收费标准进行调整，原有收费标准的停车收益甲方仍按</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%分成，多出的停车收益部分甲方按50%分成。</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宋体" w:hAnsi="宋体" w:eastAsia="宋体" w:cs="宋体"/>
          <w:snapToGrid w:val="0"/>
          <w:color w:val="000000"/>
          <w:kern w:val="0"/>
          <w:sz w:val="24"/>
          <w:szCs w:val="24"/>
          <w:highlight w:val="yellow"/>
          <w:lang w:val="en-US" w:eastAsia="zh-CN" w:bidi="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合同期满或终止时，乙方应在10日内拆除充电设施，并自行运走充电桩及电站等设备，恢复场地原状，并结清水、电等相关费用。道闸、监控、收银系统等设备需留给甲方。经招商方验收合格后，退还合作方履约保证金。如乙方未在约定期限内拆除充电设施及恢复场地原状，视为乙方遗弃场地内的所有充电设施及相关设备，甲方有权自行处理，所产生的费用由乙方承担。</w:t>
      </w:r>
    </w:p>
    <w:p>
      <w:pPr>
        <w:keepNext w:val="0"/>
        <w:keepLines w:val="0"/>
        <w:pageBreakBefore w:val="0"/>
        <w:widowControl w:val="0"/>
        <w:kinsoku/>
        <w:wordWrap/>
        <w:overflowPunct/>
        <w:topLinePunct w:val="0"/>
        <w:autoSpaceDE/>
        <w:autoSpaceDN/>
        <w:bidi w:val="0"/>
        <w:adjustRightInd/>
        <w:snapToGrid/>
        <w:spacing w:line="480" w:lineRule="atLeas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第七条  账户信息</w:t>
      </w:r>
    </w:p>
    <w:p>
      <w:pPr>
        <w:keepNext w:val="0"/>
        <w:keepLines w:val="0"/>
        <w:pageBreakBefore w:val="0"/>
        <w:widowControl w:val="0"/>
        <w:kinsoku/>
        <w:wordWrap/>
        <w:overflowPunct/>
        <w:topLinePunct w:val="0"/>
        <w:autoSpaceDE/>
        <w:autoSpaceDN/>
        <w:bidi w:val="0"/>
        <w:adjustRightInd/>
        <w:snapToGrid/>
        <w:spacing w:line="480" w:lineRule="atLeas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甲方收款账户及开票信息:</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公司名称：合肥文旅博览集团野生动物园管理有限公司</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纳税人识别号：91340100MAD15H6X3E</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地址：合肥市高新区望江西路600号</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电话：0551-65395530</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工行合肥包河支行</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开户银行账号：1302010509200496628</w:t>
      </w:r>
    </w:p>
    <w:p>
      <w:pPr>
        <w:keepNext w:val="0"/>
        <w:keepLines w:val="0"/>
        <w:pageBreakBefore w:val="0"/>
        <w:widowControl w:val="0"/>
        <w:kinsoku/>
        <w:wordWrap/>
        <w:overflowPunct/>
        <w:topLinePunct w:val="0"/>
        <w:autoSpaceDE/>
        <w:autoSpaceDN/>
        <w:bidi w:val="0"/>
        <w:adjustRightInd/>
        <w:snapToGrid/>
        <w:spacing w:line="480" w:lineRule="atLeast"/>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2、乙方收款账户及开票信息：</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公司名称：</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地址：</w:t>
      </w:r>
      <w:bookmarkStart w:id="0" w:name="_GoBack"/>
      <w:bookmarkEnd w:id="0"/>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电话：</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
    <w:p>
      <w:pPr>
        <w:numPr>
          <w:ilvl w:val="0"/>
          <w:numId w:val="8"/>
        </w:numPr>
        <w:snapToGrid w:val="0"/>
        <w:spacing w:line="360" w:lineRule="auto"/>
        <w:ind w:firstLine="420" w:firstLineChars="200"/>
        <w:jc w:val="both"/>
        <w:rPr>
          <w:rFonts w:hint="eastAsia" w:ascii="宋体" w:hAnsi="宋体" w:cs="宋体"/>
          <w:b/>
          <w:color w:val="000000"/>
          <w:szCs w:val="24"/>
          <w:highlight w:val="none"/>
        </w:rPr>
      </w:pPr>
      <w:r>
        <w:rPr>
          <w:rFonts w:hint="eastAsia" w:ascii="宋体" w:hAnsi="宋体" w:cs="宋体"/>
          <w:b/>
          <w:color w:val="000000"/>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合同期间，乙方服务不能达到本协议约定的，甲方有权要求乙方进行限期整改，乙方须在甲方通知的期限内采取有效措施完成整改，若未及时整改或拒不整改，甲方对乙方下发停业整顿通知，整顿经甲方验收合格，可恢复项目运营。</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因乙方原因致停车场停止运营（停业整顿或无法提供服务等）期间，为满足公众对服务的需求，甲方有权暂时接管或委托第三方接管该服务项目，乙方须在接到甲方通知后当日把该停车场交予甲方（或第三方）管理，由甲方（或第三方）管理期间的所有营收费用，乙方应于接管结束后7个工作日内转入甲方账户，作为甲方（或第三方）项目代管费。</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乙方安排的停车场管理人员达不到要求的，甲方在向乙方负责人反馈后，按照甲方要求进行整改和培训，该工作人员经整改（或拒不整改）仍达不到要求的，甲方有权要求乙方更换该工作人员（在接到通知后应立即停止该工作人员上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乙方经营期间有下列情况之一者，甲方有权要求乙方停业整顿，整顿经甲方验收合格，可恢复项目运营，否则甲方有权解除合同，收回项目经营场所及乙方出资维修或建设的设施等财产，没收履约保证金，甲方不承担任何责任，并有权依法追究因乙方违约对甲方造成的损失。</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在合同约定项目正式运营时间没有按招商文件要求配置相关设备的；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在合同约定项目正式运营时间未完成项目的相关合法经营手续办理或取得相关证照；</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未经甲方允许</w:t>
      </w:r>
      <w:r>
        <w:rPr>
          <w:rFonts w:hint="eastAsia" w:ascii="仿宋_GB2312" w:hAnsi="仿宋_GB2312" w:eastAsia="仿宋_GB2312" w:cs="仿宋_GB2312"/>
          <w:color w:val="auto"/>
          <w:sz w:val="24"/>
          <w:szCs w:val="24"/>
          <w:highlight w:val="none"/>
          <w:lang w:val="en-US" w:eastAsia="zh-CN"/>
        </w:rPr>
        <w:t>擅自扩大经营面积，私自搭建经营设施；侵占租赁场所之外的地方、严重污染环境或影响卫生，对景区造成严重负面影响；停车场垃圾成堆，污水横流；</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未经甲方书面同意，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在合同期内，</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乙方擅自将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全部或部分予以转让或变相转让、转借他人或调换使用，或交与第三方承包经营、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14:textFill>
            <w14:solidFill>
              <w14:schemeClr w14:val="tx1"/>
            </w14:solidFill>
          </w14:textFill>
        </w:rPr>
        <w:t>或联合经营的；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超出经营范围，从事合同约定以外的经营项目；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(6)乙方未按要求向甲方开放商家版管理后台（包括停车营收后台、充电运营监管平台和自助洗车后台）查看权限；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因违法违章行为被相关政府职能部门处以停业整顿、吊销许可证或营业执照等行政处罚的；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(8)发生危及公共利益、公众安全，发生较大安全生产事故；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14:textFill>
            <w14:solidFill>
              <w14:schemeClr w14:val="tx1"/>
            </w14:solidFill>
          </w14:textFill>
        </w:rPr>
        <w:t>因乙方行为，甲方陷入与第三方纠纷或者使甲方被第三方索赔，或者使甲方遭受行政处罚，或者其他违约行为使甲方遭受重大损失的；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(10)法律、法规、风景名胜区条例及城市公园管理制度禁止的其他行为；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（11）因乙方原因导致甲方一年内收到有效投诉（包括但不限于12345投诉）超过5次，或因乙方原因一年内引起超过2次舆情的。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(12)乙方违反合同其它条款行为。</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未按照合同约定（合同签订后5个工作日内）</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交付</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项目场地</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达</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日</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乙方有权解除合同且不承担违约责任</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、有下列情形之一的，甲乙双方均有权单方面解除本合同，且互不承担违约责任：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场地</w:t>
      </w:r>
      <w:r>
        <w:rPr>
          <w:rFonts w:hint="eastAsia" w:ascii="仿宋_GB2312" w:hAnsi="仿宋_GB2312" w:eastAsia="仿宋_GB2312" w:cs="仿宋_GB2312"/>
          <w:color w:val="000000" w:themeColor="text1"/>
          <w:sz w:val="24"/>
          <w:szCs w:val="24"/>
          <w:highlight w:val="none"/>
          <w14:textFill>
            <w14:solidFill>
              <w14:schemeClr w14:val="tx1"/>
            </w14:solidFill>
          </w14:textFill>
        </w:rPr>
        <w:t>因政府部门要求拆迁（如生态红线内违规建设等原因）</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城市建设需要被依法动迁或因甲方改造提升需要进行拆迁的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导致项目无法正常运营的。</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场地</w:t>
      </w:r>
      <w:r>
        <w:rPr>
          <w:rFonts w:hint="eastAsia" w:ascii="仿宋_GB2312" w:hAnsi="仿宋_GB2312" w:eastAsia="仿宋_GB2312" w:cs="仿宋_GB2312"/>
          <w:color w:val="000000" w:themeColor="text1"/>
          <w:sz w:val="24"/>
          <w:szCs w:val="24"/>
          <w:highlight w:val="none"/>
          <w14:textFill>
            <w14:solidFill>
              <w14:schemeClr w14:val="tx1"/>
            </w14:solidFill>
          </w14:textFill>
        </w:rPr>
        <w:t>因社会公共利益的需要被依法征用的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（3）因不可抗力导致本合同无法履行的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7、合同期间，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不得以任何理由要求减免底价及分成款。</w:t>
      </w:r>
      <w:r>
        <w:rPr>
          <w:rFonts w:hint="eastAsia" w:ascii="仿宋_GB2312" w:hAnsi="仿宋_GB2312" w:eastAsia="仿宋_GB2312" w:cs="仿宋_GB2312"/>
          <w:color w:val="auto"/>
          <w:sz w:val="24"/>
          <w:szCs w:val="24"/>
          <w:highlight w:val="none"/>
          <w:lang w:val="en-US" w:eastAsia="zh-CN"/>
        </w:rPr>
        <w:t>如遇政府征用、城市建设和景区发展等其他不可抗力因素需要收回项目经营场地时，甲方应提前通知乙方，乙方应无条件服从，互不承担对方损失，合同自然终止，底价及分成款按照实际合作时间计算，不足整月的按实际天数计算，多退少补。</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8.合同期间，双方必须严格履行合同，在执行过程中，如遇未尽事宜（含政府有关部门的政策、收费管理调整等），双方可协商解决，并签署书面补充合同。</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9.合同期间，除本合同约定外，任何一方不得无故终止本合同，否则视为违约，违约方需按本合同规定的全年保底价总费用的30%向对方支付违约金。</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第九条  合同生效 </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1、本合同自甲、乙双方签字盖章之日生效。</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2、本合同一式陆份，甲乙双方各执叁份，经甲乙双方法定代表人或经授权的委托代理人签字盖章后生效。具有同等法律效力。</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3、本合同的附件与本合同具有同等法律效力。</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sz w:val="24"/>
          <w:szCs w:val="24"/>
          <w:highlight w:val="none"/>
          <w:lang w:val="en-US" w:eastAsia="zh-CN"/>
        </w:rPr>
        <w:t xml:space="preserve">第十条  </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争议解决</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甲、乙双方任何一方违反本合同约定的，违约方应当赔偿因此给守约方造成的损失，该等损失包括守约方遭受的直接损失，以及守约方为实现权利支出的合理费用（包括但不限于律师费、诉讼费、保全费、担保费、审计费、评估费、鉴定费、公告费、公证费等）。</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甲、乙双方在履行本合同过程中发生争议，应友好协商解决。协商不能解决的，可依法向</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所在地有管辖权的人民法院提起诉讼。</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合肥文旅博览集团野生动物园管理有限公司</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sz w:val="24"/>
          <w:szCs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atLeast"/>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sz w:val="24"/>
          <w:szCs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月   日</w:t>
      </w:r>
    </w:p>
    <w:p>
      <w:pPr>
        <w:rPr>
          <w:highlight w:val="none"/>
          <w:lang w:val="en-US" w:eastAsia="zh-CN"/>
        </w:rPr>
      </w:pPr>
    </w:p>
    <w:sectPr>
      <w:footerReference r:id="rId3" w:type="default"/>
      <w:pgSz w:w="11906" w:h="16838"/>
      <w:pgMar w:top="1117" w:right="969" w:bottom="1361"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CBB54"/>
    <w:multiLevelType w:val="singleLevel"/>
    <w:tmpl w:val="BC1CBB54"/>
    <w:lvl w:ilvl="0" w:tentative="0">
      <w:start w:val="8"/>
      <w:numFmt w:val="chineseCounting"/>
      <w:suff w:val="space"/>
      <w:lvlText w:val="第%1条"/>
      <w:lvlJc w:val="left"/>
      <w:rPr>
        <w:rFonts w:hint="eastAsia"/>
      </w:rPr>
    </w:lvl>
  </w:abstractNum>
  <w:abstractNum w:abstractNumId="1">
    <w:nsid w:val="FA59D4A5"/>
    <w:multiLevelType w:val="singleLevel"/>
    <w:tmpl w:val="FA59D4A5"/>
    <w:lvl w:ilvl="0" w:tentative="0">
      <w:start w:val="1"/>
      <w:numFmt w:val="decimal"/>
      <w:suff w:val="nothing"/>
      <w:lvlText w:val="(%1)"/>
      <w:lvlJc w:val="left"/>
      <w:pPr>
        <w:ind w:left="0" w:leftChars="0" w:firstLine="0" w:firstLineChars="0"/>
      </w:pPr>
      <w:rPr>
        <w:rFonts w:hint="default"/>
      </w:rPr>
    </w:lvl>
  </w:abstractNum>
  <w:abstractNum w:abstractNumId="2">
    <w:nsid w:val="01447396"/>
    <w:multiLevelType w:val="singleLevel"/>
    <w:tmpl w:val="01447396"/>
    <w:lvl w:ilvl="0" w:tentative="0">
      <w:start w:val="1"/>
      <w:numFmt w:val="decimal"/>
      <w:lvlText w:val="%1."/>
      <w:lvlJc w:val="left"/>
      <w:pPr>
        <w:tabs>
          <w:tab w:val="left" w:pos="312"/>
        </w:tabs>
      </w:pPr>
    </w:lvl>
  </w:abstractNum>
  <w:abstractNum w:abstractNumId="3">
    <w:nsid w:val="21DA2B05"/>
    <w:multiLevelType w:val="singleLevel"/>
    <w:tmpl w:val="21DA2B05"/>
    <w:lvl w:ilvl="0" w:tentative="0">
      <w:start w:val="1"/>
      <w:numFmt w:val="decimal"/>
      <w:suff w:val="nothing"/>
      <w:lvlText w:val="%1、"/>
      <w:lvlJc w:val="left"/>
      <w:pPr>
        <w:ind w:left="101" w:firstLine="0"/>
      </w:pPr>
    </w:lvl>
  </w:abstractNum>
  <w:abstractNum w:abstractNumId="4">
    <w:nsid w:val="25B654F3"/>
    <w:multiLevelType w:val="multilevel"/>
    <w:tmpl w:val="25B654F3"/>
    <w:lvl w:ilvl="0" w:tentative="0">
      <w:start w:val="2"/>
      <w:numFmt w:val="decimal"/>
      <w:lvlText w:val="%1."/>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47" w:hanging="213"/>
      </w:pPr>
      <w:rPr>
        <w:rFonts w:hint="default"/>
        <w:lang w:val="zh-CN" w:eastAsia="zh-CN" w:bidi="zh-CN"/>
      </w:rPr>
    </w:lvl>
    <w:lvl w:ilvl="2" w:tentative="0">
      <w:start w:val="0"/>
      <w:numFmt w:val="bullet"/>
      <w:lvlText w:val="•"/>
      <w:lvlJc w:val="left"/>
      <w:pPr>
        <w:ind w:left="1775" w:hanging="213"/>
      </w:pPr>
      <w:rPr>
        <w:rFonts w:hint="default"/>
        <w:lang w:val="zh-CN" w:eastAsia="zh-CN" w:bidi="zh-CN"/>
      </w:rPr>
    </w:lvl>
    <w:lvl w:ilvl="3" w:tentative="0">
      <w:start w:val="0"/>
      <w:numFmt w:val="bullet"/>
      <w:lvlText w:val="•"/>
      <w:lvlJc w:val="left"/>
      <w:pPr>
        <w:ind w:left="2502" w:hanging="213"/>
      </w:pPr>
      <w:rPr>
        <w:rFonts w:hint="default"/>
        <w:lang w:val="zh-CN" w:eastAsia="zh-CN" w:bidi="zh-CN"/>
      </w:rPr>
    </w:lvl>
    <w:lvl w:ilvl="4" w:tentative="0">
      <w:start w:val="0"/>
      <w:numFmt w:val="bullet"/>
      <w:lvlText w:val="•"/>
      <w:lvlJc w:val="left"/>
      <w:pPr>
        <w:ind w:left="3230" w:hanging="213"/>
      </w:pPr>
      <w:rPr>
        <w:rFonts w:hint="default"/>
        <w:lang w:val="zh-CN" w:eastAsia="zh-CN" w:bidi="zh-CN"/>
      </w:rPr>
    </w:lvl>
    <w:lvl w:ilvl="5" w:tentative="0">
      <w:start w:val="0"/>
      <w:numFmt w:val="bullet"/>
      <w:lvlText w:val="•"/>
      <w:lvlJc w:val="left"/>
      <w:pPr>
        <w:ind w:left="3957" w:hanging="213"/>
      </w:pPr>
      <w:rPr>
        <w:rFonts w:hint="default"/>
        <w:lang w:val="zh-CN" w:eastAsia="zh-CN" w:bidi="zh-CN"/>
      </w:rPr>
    </w:lvl>
    <w:lvl w:ilvl="6" w:tentative="0">
      <w:start w:val="0"/>
      <w:numFmt w:val="bullet"/>
      <w:lvlText w:val="•"/>
      <w:lvlJc w:val="left"/>
      <w:pPr>
        <w:ind w:left="4685" w:hanging="213"/>
      </w:pPr>
      <w:rPr>
        <w:rFonts w:hint="default"/>
        <w:lang w:val="zh-CN" w:eastAsia="zh-CN" w:bidi="zh-CN"/>
      </w:rPr>
    </w:lvl>
    <w:lvl w:ilvl="7" w:tentative="0">
      <w:start w:val="0"/>
      <w:numFmt w:val="bullet"/>
      <w:lvlText w:val="•"/>
      <w:lvlJc w:val="left"/>
      <w:pPr>
        <w:ind w:left="5412" w:hanging="213"/>
      </w:pPr>
      <w:rPr>
        <w:rFonts w:hint="default"/>
        <w:lang w:val="zh-CN" w:eastAsia="zh-CN" w:bidi="zh-CN"/>
      </w:rPr>
    </w:lvl>
    <w:lvl w:ilvl="8" w:tentative="0">
      <w:start w:val="0"/>
      <w:numFmt w:val="bullet"/>
      <w:lvlText w:val="•"/>
      <w:lvlJc w:val="left"/>
      <w:pPr>
        <w:ind w:left="6140" w:hanging="213"/>
      </w:pPr>
      <w:rPr>
        <w:rFonts w:hint="default"/>
        <w:lang w:val="zh-CN" w:eastAsia="zh-CN" w:bidi="zh-CN"/>
      </w:rPr>
    </w:lvl>
  </w:abstractNum>
  <w:abstractNum w:abstractNumId="5">
    <w:nsid w:val="32F9C572"/>
    <w:multiLevelType w:val="singleLevel"/>
    <w:tmpl w:val="32F9C572"/>
    <w:lvl w:ilvl="0" w:tentative="0">
      <w:start w:val="1"/>
      <w:numFmt w:val="decimal"/>
      <w:lvlText w:val="%1."/>
      <w:lvlJc w:val="left"/>
      <w:pPr>
        <w:tabs>
          <w:tab w:val="left" w:pos="312"/>
        </w:tabs>
      </w:pPr>
      <w:rPr>
        <w:rFonts w:hint="default"/>
      </w:rPr>
    </w:lvl>
  </w:abstractNum>
  <w:abstractNum w:abstractNumId="6">
    <w:nsid w:val="3D898E1D"/>
    <w:multiLevelType w:val="singleLevel"/>
    <w:tmpl w:val="3D898E1D"/>
    <w:lvl w:ilvl="0" w:tentative="0">
      <w:start w:val="2"/>
      <w:numFmt w:val="chineseCounting"/>
      <w:suff w:val="nothing"/>
      <w:lvlText w:val="%1、"/>
      <w:lvlJc w:val="left"/>
      <w:rPr>
        <w:rFonts w:hint="eastAsia"/>
      </w:rPr>
    </w:lvl>
  </w:abstractNum>
  <w:abstractNum w:abstractNumId="7">
    <w:nsid w:val="5CC91B84"/>
    <w:multiLevelType w:val="singleLevel"/>
    <w:tmpl w:val="5CC91B84"/>
    <w:lvl w:ilvl="0" w:tentative="0">
      <w:start w:val="1"/>
      <w:numFmt w:val="decimal"/>
      <w:lvlText w:val="%1."/>
      <w:lvlJc w:val="left"/>
      <w:pPr>
        <w:tabs>
          <w:tab w:val="left" w:pos="312"/>
        </w:tabs>
      </w:pPr>
    </w:lvl>
  </w:abstractNum>
  <w:abstractNum w:abstractNumId="8">
    <w:nsid w:val="72183CF9"/>
    <w:multiLevelType w:val="multilevel"/>
    <w:tmpl w:val="72183CF9"/>
    <w:lvl w:ilvl="0" w:tentative="0">
      <w:start w:val="1"/>
      <w:numFmt w:val="decimal"/>
      <w:lvlText w:val="%1."/>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47" w:hanging="213"/>
      </w:pPr>
      <w:rPr>
        <w:rFonts w:hint="default"/>
        <w:lang w:val="zh-CN" w:eastAsia="zh-CN" w:bidi="zh-CN"/>
      </w:rPr>
    </w:lvl>
    <w:lvl w:ilvl="2" w:tentative="0">
      <w:start w:val="0"/>
      <w:numFmt w:val="bullet"/>
      <w:lvlText w:val="•"/>
      <w:lvlJc w:val="left"/>
      <w:pPr>
        <w:ind w:left="1775" w:hanging="213"/>
      </w:pPr>
      <w:rPr>
        <w:rFonts w:hint="default"/>
        <w:lang w:val="zh-CN" w:eastAsia="zh-CN" w:bidi="zh-CN"/>
      </w:rPr>
    </w:lvl>
    <w:lvl w:ilvl="3" w:tentative="0">
      <w:start w:val="0"/>
      <w:numFmt w:val="bullet"/>
      <w:lvlText w:val="•"/>
      <w:lvlJc w:val="left"/>
      <w:pPr>
        <w:ind w:left="2502" w:hanging="213"/>
      </w:pPr>
      <w:rPr>
        <w:rFonts w:hint="default"/>
        <w:lang w:val="zh-CN" w:eastAsia="zh-CN" w:bidi="zh-CN"/>
      </w:rPr>
    </w:lvl>
    <w:lvl w:ilvl="4" w:tentative="0">
      <w:start w:val="0"/>
      <w:numFmt w:val="bullet"/>
      <w:lvlText w:val="•"/>
      <w:lvlJc w:val="left"/>
      <w:pPr>
        <w:ind w:left="3230" w:hanging="213"/>
      </w:pPr>
      <w:rPr>
        <w:rFonts w:hint="default"/>
        <w:lang w:val="zh-CN" w:eastAsia="zh-CN" w:bidi="zh-CN"/>
      </w:rPr>
    </w:lvl>
    <w:lvl w:ilvl="5" w:tentative="0">
      <w:start w:val="0"/>
      <w:numFmt w:val="bullet"/>
      <w:lvlText w:val="•"/>
      <w:lvlJc w:val="left"/>
      <w:pPr>
        <w:ind w:left="3957" w:hanging="213"/>
      </w:pPr>
      <w:rPr>
        <w:rFonts w:hint="default"/>
        <w:lang w:val="zh-CN" w:eastAsia="zh-CN" w:bidi="zh-CN"/>
      </w:rPr>
    </w:lvl>
    <w:lvl w:ilvl="6" w:tentative="0">
      <w:start w:val="0"/>
      <w:numFmt w:val="bullet"/>
      <w:lvlText w:val="•"/>
      <w:lvlJc w:val="left"/>
      <w:pPr>
        <w:ind w:left="4685" w:hanging="213"/>
      </w:pPr>
      <w:rPr>
        <w:rFonts w:hint="default"/>
        <w:lang w:val="zh-CN" w:eastAsia="zh-CN" w:bidi="zh-CN"/>
      </w:rPr>
    </w:lvl>
    <w:lvl w:ilvl="7" w:tentative="0">
      <w:start w:val="0"/>
      <w:numFmt w:val="bullet"/>
      <w:lvlText w:val="•"/>
      <w:lvlJc w:val="left"/>
      <w:pPr>
        <w:ind w:left="5412" w:hanging="213"/>
      </w:pPr>
      <w:rPr>
        <w:rFonts w:hint="default"/>
        <w:lang w:val="zh-CN" w:eastAsia="zh-CN" w:bidi="zh-CN"/>
      </w:rPr>
    </w:lvl>
    <w:lvl w:ilvl="8" w:tentative="0">
      <w:start w:val="0"/>
      <w:numFmt w:val="bullet"/>
      <w:lvlText w:val="•"/>
      <w:lvlJc w:val="left"/>
      <w:pPr>
        <w:ind w:left="6140" w:hanging="213"/>
      </w:pPr>
      <w:rPr>
        <w:rFonts w:hint="default"/>
        <w:lang w:val="zh-CN" w:eastAsia="zh-CN" w:bidi="zh-CN"/>
      </w:r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czOWFiOWZjZDIzYmZiZTk2ODNkNWQ3NWVjNjgifQ=="/>
  </w:docVars>
  <w:rsids>
    <w:rsidRoot w:val="00172A27"/>
    <w:rsid w:val="003070B8"/>
    <w:rsid w:val="003E22BB"/>
    <w:rsid w:val="00583768"/>
    <w:rsid w:val="00A83AD0"/>
    <w:rsid w:val="00BB34BE"/>
    <w:rsid w:val="00D9637F"/>
    <w:rsid w:val="0145429C"/>
    <w:rsid w:val="014756EF"/>
    <w:rsid w:val="0162532A"/>
    <w:rsid w:val="01777BD9"/>
    <w:rsid w:val="018379C7"/>
    <w:rsid w:val="01CE3A0A"/>
    <w:rsid w:val="01EC37B9"/>
    <w:rsid w:val="01FB40D3"/>
    <w:rsid w:val="020243FF"/>
    <w:rsid w:val="02041E86"/>
    <w:rsid w:val="021202B7"/>
    <w:rsid w:val="023757A2"/>
    <w:rsid w:val="023D0258"/>
    <w:rsid w:val="024E4B4B"/>
    <w:rsid w:val="02A756F0"/>
    <w:rsid w:val="02F93376"/>
    <w:rsid w:val="036363D4"/>
    <w:rsid w:val="03686280"/>
    <w:rsid w:val="04071D1A"/>
    <w:rsid w:val="04115E30"/>
    <w:rsid w:val="0429493F"/>
    <w:rsid w:val="044B4B70"/>
    <w:rsid w:val="049F168E"/>
    <w:rsid w:val="04AE418F"/>
    <w:rsid w:val="04D113E9"/>
    <w:rsid w:val="04D56E5D"/>
    <w:rsid w:val="04E377A0"/>
    <w:rsid w:val="04EC6201"/>
    <w:rsid w:val="04ED2C07"/>
    <w:rsid w:val="05105B0A"/>
    <w:rsid w:val="05193EFF"/>
    <w:rsid w:val="051941EC"/>
    <w:rsid w:val="05411EB8"/>
    <w:rsid w:val="05495775"/>
    <w:rsid w:val="056211A0"/>
    <w:rsid w:val="058D598A"/>
    <w:rsid w:val="0609790A"/>
    <w:rsid w:val="06252E2F"/>
    <w:rsid w:val="062C26CD"/>
    <w:rsid w:val="066E6456"/>
    <w:rsid w:val="06E049CD"/>
    <w:rsid w:val="06EF6388"/>
    <w:rsid w:val="06FF08C7"/>
    <w:rsid w:val="072645F8"/>
    <w:rsid w:val="074D53D1"/>
    <w:rsid w:val="076C770A"/>
    <w:rsid w:val="078354CD"/>
    <w:rsid w:val="07B91B8B"/>
    <w:rsid w:val="07E5385B"/>
    <w:rsid w:val="07FE030A"/>
    <w:rsid w:val="081C4DA3"/>
    <w:rsid w:val="081D4246"/>
    <w:rsid w:val="084A2A34"/>
    <w:rsid w:val="085B1B32"/>
    <w:rsid w:val="08796D60"/>
    <w:rsid w:val="088C017B"/>
    <w:rsid w:val="08A94889"/>
    <w:rsid w:val="08DA4864"/>
    <w:rsid w:val="094840A2"/>
    <w:rsid w:val="095D38E2"/>
    <w:rsid w:val="099A1C66"/>
    <w:rsid w:val="09AB5FE4"/>
    <w:rsid w:val="09BB6AB2"/>
    <w:rsid w:val="09D65411"/>
    <w:rsid w:val="09E65669"/>
    <w:rsid w:val="0A2375CD"/>
    <w:rsid w:val="0A2769E5"/>
    <w:rsid w:val="0A320E90"/>
    <w:rsid w:val="0ACA6D38"/>
    <w:rsid w:val="0ADD6A6D"/>
    <w:rsid w:val="0AE826D1"/>
    <w:rsid w:val="0B095AB3"/>
    <w:rsid w:val="0B106E41"/>
    <w:rsid w:val="0B24469B"/>
    <w:rsid w:val="0B4E7969"/>
    <w:rsid w:val="0B567CE2"/>
    <w:rsid w:val="0B70168E"/>
    <w:rsid w:val="0B83422A"/>
    <w:rsid w:val="0BA75BE9"/>
    <w:rsid w:val="0C0B1EF8"/>
    <w:rsid w:val="0C147336"/>
    <w:rsid w:val="0C564D28"/>
    <w:rsid w:val="0C684EB8"/>
    <w:rsid w:val="0C803B53"/>
    <w:rsid w:val="0C811298"/>
    <w:rsid w:val="0C8C425D"/>
    <w:rsid w:val="0CD93263"/>
    <w:rsid w:val="0CEA2865"/>
    <w:rsid w:val="0CFF74B3"/>
    <w:rsid w:val="0D1042C9"/>
    <w:rsid w:val="0D2941EA"/>
    <w:rsid w:val="0D553231"/>
    <w:rsid w:val="0D887163"/>
    <w:rsid w:val="0DA1742E"/>
    <w:rsid w:val="0DB1255B"/>
    <w:rsid w:val="0DEE638B"/>
    <w:rsid w:val="0E222ECF"/>
    <w:rsid w:val="0E3A5F93"/>
    <w:rsid w:val="0E3C619F"/>
    <w:rsid w:val="0E44129D"/>
    <w:rsid w:val="0E4B47DC"/>
    <w:rsid w:val="0E7D7A4F"/>
    <w:rsid w:val="0E981627"/>
    <w:rsid w:val="0E9B1C39"/>
    <w:rsid w:val="0EDD3767"/>
    <w:rsid w:val="0EE64222"/>
    <w:rsid w:val="0EE859DF"/>
    <w:rsid w:val="0F0C3DA4"/>
    <w:rsid w:val="0F0D5446"/>
    <w:rsid w:val="0F227143"/>
    <w:rsid w:val="0F6C3380"/>
    <w:rsid w:val="0F7756E1"/>
    <w:rsid w:val="0FB277A7"/>
    <w:rsid w:val="0FB34FC2"/>
    <w:rsid w:val="0FFD67FA"/>
    <w:rsid w:val="1010172C"/>
    <w:rsid w:val="101370AE"/>
    <w:rsid w:val="105F788D"/>
    <w:rsid w:val="10684B5B"/>
    <w:rsid w:val="108C6F6A"/>
    <w:rsid w:val="10AA5642"/>
    <w:rsid w:val="10DA3A7B"/>
    <w:rsid w:val="11292746"/>
    <w:rsid w:val="117341AC"/>
    <w:rsid w:val="11812847"/>
    <w:rsid w:val="11D074A7"/>
    <w:rsid w:val="11DF488B"/>
    <w:rsid w:val="11F1104F"/>
    <w:rsid w:val="12104EB8"/>
    <w:rsid w:val="121618CE"/>
    <w:rsid w:val="123A1380"/>
    <w:rsid w:val="12485112"/>
    <w:rsid w:val="127A4E6B"/>
    <w:rsid w:val="127E0235"/>
    <w:rsid w:val="12941C29"/>
    <w:rsid w:val="12DC585B"/>
    <w:rsid w:val="12EF558E"/>
    <w:rsid w:val="12FE04D5"/>
    <w:rsid w:val="130354DD"/>
    <w:rsid w:val="13447D51"/>
    <w:rsid w:val="1350413D"/>
    <w:rsid w:val="135614A1"/>
    <w:rsid w:val="13884CF1"/>
    <w:rsid w:val="13DC4A51"/>
    <w:rsid w:val="13FB7424"/>
    <w:rsid w:val="141C0605"/>
    <w:rsid w:val="14255AAC"/>
    <w:rsid w:val="14B51ACF"/>
    <w:rsid w:val="14CD7B1C"/>
    <w:rsid w:val="14D247B0"/>
    <w:rsid w:val="14D42C8D"/>
    <w:rsid w:val="14D95E11"/>
    <w:rsid w:val="14FD2948"/>
    <w:rsid w:val="150461FF"/>
    <w:rsid w:val="150F2442"/>
    <w:rsid w:val="15113EE2"/>
    <w:rsid w:val="153D4CD7"/>
    <w:rsid w:val="156A35F2"/>
    <w:rsid w:val="15B42ABF"/>
    <w:rsid w:val="15CA578C"/>
    <w:rsid w:val="15E22011"/>
    <w:rsid w:val="15E64E0B"/>
    <w:rsid w:val="15FA5046"/>
    <w:rsid w:val="160B4A09"/>
    <w:rsid w:val="16150BB5"/>
    <w:rsid w:val="16273960"/>
    <w:rsid w:val="163C175E"/>
    <w:rsid w:val="166A350D"/>
    <w:rsid w:val="166B67EA"/>
    <w:rsid w:val="16C531D6"/>
    <w:rsid w:val="16ED20B8"/>
    <w:rsid w:val="17092983"/>
    <w:rsid w:val="17190E2C"/>
    <w:rsid w:val="1721448D"/>
    <w:rsid w:val="172C3DD9"/>
    <w:rsid w:val="176000E3"/>
    <w:rsid w:val="176A29DE"/>
    <w:rsid w:val="176C6A6D"/>
    <w:rsid w:val="178E4A7F"/>
    <w:rsid w:val="17B86896"/>
    <w:rsid w:val="17CC0594"/>
    <w:rsid w:val="18075128"/>
    <w:rsid w:val="184243B2"/>
    <w:rsid w:val="185B2CF5"/>
    <w:rsid w:val="18D31693"/>
    <w:rsid w:val="19046B90"/>
    <w:rsid w:val="191166C5"/>
    <w:rsid w:val="197C3A35"/>
    <w:rsid w:val="19BE5CBA"/>
    <w:rsid w:val="19E6301F"/>
    <w:rsid w:val="19E9292B"/>
    <w:rsid w:val="1A33648B"/>
    <w:rsid w:val="1A3A1272"/>
    <w:rsid w:val="1A5C7A26"/>
    <w:rsid w:val="1A6938AB"/>
    <w:rsid w:val="1A6B7A18"/>
    <w:rsid w:val="1AB914BF"/>
    <w:rsid w:val="1ACE11E7"/>
    <w:rsid w:val="1ACE6AE9"/>
    <w:rsid w:val="1AE62C1F"/>
    <w:rsid w:val="1B302BE8"/>
    <w:rsid w:val="1B316F0C"/>
    <w:rsid w:val="1B4671D7"/>
    <w:rsid w:val="1B68132B"/>
    <w:rsid w:val="1BA62EAA"/>
    <w:rsid w:val="1BC3580A"/>
    <w:rsid w:val="1BD13D1E"/>
    <w:rsid w:val="1BE00219"/>
    <w:rsid w:val="1C3A1F70"/>
    <w:rsid w:val="1C3E30E2"/>
    <w:rsid w:val="1C5F62DC"/>
    <w:rsid w:val="1C6B037B"/>
    <w:rsid w:val="1C7A0A00"/>
    <w:rsid w:val="1C8A3C2D"/>
    <w:rsid w:val="1C93375D"/>
    <w:rsid w:val="1CAE64BA"/>
    <w:rsid w:val="1CB73AE0"/>
    <w:rsid w:val="1D14431E"/>
    <w:rsid w:val="1D2329C7"/>
    <w:rsid w:val="1D2B2EEA"/>
    <w:rsid w:val="1D3A7D4E"/>
    <w:rsid w:val="1D78539C"/>
    <w:rsid w:val="1DB14C0D"/>
    <w:rsid w:val="1DB46A19"/>
    <w:rsid w:val="1DD12460"/>
    <w:rsid w:val="1E2D1660"/>
    <w:rsid w:val="1E2F7187"/>
    <w:rsid w:val="1E4E3AB1"/>
    <w:rsid w:val="1E502F17"/>
    <w:rsid w:val="1E935967"/>
    <w:rsid w:val="1EA66032"/>
    <w:rsid w:val="1ECD620C"/>
    <w:rsid w:val="1ED52782"/>
    <w:rsid w:val="1EF503D0"/>
    <w:rsid w:val="1FA326BE"/>
    <w:rsid w:val="1FBA6538"/>
    <w:rsid w:val="1FC77A98"/>
    <w:rsid w:val="1FCA39DF"/>
    <w:rsid w:val="1FD34CE7"/>
    <w:rsid w:val="201E5705"/>
    <w:rsid w:val="202A40A9"/>
    <w:rsid w:val="202A4D97"/>
    <w:rsid w:val="2061341C"/>
    <w:rsid w:val="206A720B"/>
    <w:rsid w:val="20A3254E"/>
    <w:rsid w:val="20C22C5C"/>
    <w:rsid w:val="21A63C04"/>
    <w:rsid w:val="21AF39BC"/>
    <w:rsid w:val="21DC4CF7"/>
    <w:rsid w:val="21F20BF7"/>
    <w:rsid w:val="220F2EAB"/>
    <w:rsid w:val="22284619"/>
    <w:rsid w:val="224C6559"/>
    <w:rsid w:val="22851C98"/>
    <w:rsid w:val="22AA6AAC"/>
    <w:rsid w:val="22AF0896"/>
    <w:rsid w:val="22C61B62"/>
    <w:rsid w:val="22D402FC"/>
    <w:rsid w:val="22FF5B4F"/>
    <w:rsid w:val="23157672"/>
    <w:rsid w:val="23687A86"/>
    <w:rsid w:val="23700025"/>
    <w:rsid w:val="23A465A2"/>
    <w:rsid w:val="23B06A75"/>
    <w:rsid w:val="23CB7951"/>
    <w:rsid w:val="23F23DFC"/>
    <w:rsid w:val="23FF529E"/>
    <w:rsid w:val="24553436"/>
    <w:rsid w:val="24801192"/>
    <w:rsid w:val="24A501A2"/>
    <w:rsid w:val="24F37160"/>
    <w:rsid w:val="24F85BDF"/>
    <w:rsid w:val="25005A1B"/>
    <w:rsid w:val="252C63D1"/>
    <w:rsid w:val="253A197D"/>
    <w:rsid w:val="25485D6E"/>
    <w:rsid w:val="25565941"/>
    <w:rsid w:val="25691339"/>
    <w:rsid w:val="25BF54C8"/>
    <w:rsid w:val="25D67D26"/>
    <w:rsid w:val="25E46AA9"/>
    <w:rsid w:val="25FD6D8A"/>
    <w:rsid w:val="261455E0"/>
    <w:rsid w:val="265E323C"/>
    <w:rsid w:val="267E6EFD"/>
    <w:rsid w:val="269A360B"/>
    <w:rsid w:val="26A60202"/>
    <w:rsid w:val="26B96187"/>
    <w:rsid w:val="27421CD9"/>
    <w:rsid w:val="27A22094"/>
    <w:rsid w:val="27AA3110"/>
    <w:rsid w:val="27E1146E"/>
    <w:rsid w:val="28001E2F"/>
    <w:rsid w:val="280F17AD"/>
    <w:rsid w:val="28472493"/>
    <w:rsid w:val="284F024E"/>
    <w:rsid w:val="28515F1D"/>
    <w:rsid w:val="287B69B2"/>
    <w:rsid w:val="28FB1A86"/>
    <w:rsid w:val="291F4ABD"/>
    <w:rsid w:val="294A2097"/>
    <w:rsid w:val="297445E7"/>
    <w:rsid w:val="29893A70"/>
    <w:rsid w:val="2998116B"/>
    <w:rsid w:val="299E1A89"/>
    <w:rsid w:val="29C94933"/>
    <w:rsid w:val="2A4A36B6"/>
    <w:rsid w:val="2A5C2BAF"/>
    <w:rsid w:val="2A6D1762"/>
    <w:rsid w:val="2A8B0E1F"/>
    <w:rsid w:val="2A9578E2"/>
    <w:rsid w:val="2A9646BA"/>
    <w:rsid w:val="2A9A007E"/>
    <w:rsid w:val="2AA607D0"/>
    <w:rsid w:val="2ABF389F"/>
    <w:rsid w:val="2ADA4F38"/>
    <w:rsid w:val="2AF754D0"/>
    <w:rsid w:val="2B2636BF"/>
    <w:rsid w:val="2B335F40"/>
    <w:rsid w:val="2B471FB3"/>
    <w:rsid w:val="2BC30204"/>
    <w:rsid w:val="2BED1A3C"/>
    <w:rsid w:val="2BF00DE1"/>
    <w:rsid w:val="2BF5792D"/>
    <w:rsid w:val="2C8C4073"/>
    <w:rsid w:val="2C9D0E95"/>
    <w:rsid w:val="2CAF62FE"/>
    <w:rsid w:val="2D0D2D89"/>
    <w:rsid w:val="2D1B1A54"/>
    <w:rsid w:val="2D3D0B19"/>
    <w:rsid w:val="2D6938D9"/>
    <w:rsid w:val="2D844651"/>
    <w:rsid w:val="2D8C0368"/>
    <w:rsid w:val="2D915768"/>
    <w:rsid w:val="2DB13996"/>
    <w:rsid w:val="2DC8427B"/>
    <w:rsid w:val="2DD368F5"/>
    <w:rsid w:val="2DD938D5"/>
    <w:rsid w:val="2E4164CA"/>
    <w:rsid w:val="2ED124F0"/>
    <w:rsid w:val="2F1C0570"/>
    <w:rsid w:val="2F2528C5"/>
    <w:rsid w:val="2F661D69"/>
    <w:rsid w:val="2FA07EE4"/>
    <w:rsid w:val="2FC8743B"/>
    <w:rsid w:val="2FCC7A26"/>
    <w:rsid w:val="2FEE6EA1"/>
    <w:rsid w:val="306F1C32"/>
    <w:rsid w:val="30A73F4D"/>
    <w:rsid w:val="31016FA3"/>
    <w:rsid w:val="31107B47"/>
    <w:rsid w:val="3138414C"/>
    <w:rsid w:val="313E79B5"/>
    <w:rsid w:val="31637032"/>
    <w:rsid w:val="317A1D0D"/>
    <w:rsid w:val="31A97479"/>
    <w:rsid w:val="31C5649B"/>
    <w:rsid w:val="32284F44"/>
    <w:rsid w:val="32923D3F"/>
    <w:rsid w:val="329C7EC6"/>
    <w:rsid w:val="329F26D5"/>
    <w:rsid w:val="32EC2999"/>
    <w:rsid w:val="33095DA0"/>
    <w:rsid w:val="332C6031"/>
    <w:rsid w:val="33386B85"/>
    <w:rsid w:val="33820E0C"/>
    <w:rsid w:val="33F5630E"/>
    <w:rsid w:val="3421711A"/>
    <w:rsid w:val="34364674"/>
    <w:rsid w:val="34936360"/>
    <w:rsid w:val="34A91D2A"/>
    <w:rsid w:val="34B425AD"/>
    <w:rsid w:val="34B85B88"/>
    <w:rsid w:val="35123076"/>
    <w:rsid w:val="35534960"/>
    <w:rsid w:val="356141D6"/>
    <w:rsid w:val="35B6181A"/>
    <w:rsid w:val="35E2018C"/>
    <w:rsid w:val="361E7187"/>
    <w:rsid w:val="366B4E64"/>
    <w:rsid w:val="36CF0758"/>
    <w:rsid w:val="36E94AFA"/>
    <w:rsid w:val="36FD6FA5"/>
    <w:rsid w:val="37296B05"/>
    <w:rsid w:val="372B2789"/>
    <w:rsid w:val="3768578B"/>
    <w:rsid w:val="379E6A5D"/>
    <w:rsid w:val="37A533D9"/>
    <w:rsid w:val="37B23796"/>
    <w:rsid w:val="37D93E5D"/>
    <w:rsid w:val="37DF0E58"/>
    <w:rsid w:val="380324B3"/>
    <w:rsid w:val="380A05F1"/>
    <w:rsid w:val="38776C02"/>
    <w:rsid w:val="38994BB6"/>
    <w:rsid w:val="38A709A4"/>
    <w:rsid w:val="38C23843"/>
    <w:rsid w:val="38CA2B7A"/>
    <w:rsid w:val="38CF35E8"/>
    <w:rsid w:val="38DC2DEC"/>
    <w:rsid w:val="38F82B3F"/>
    <w:rsid w:val="38FF1DA0"/>
    <w:rsid w:val="3925145A"/>
    <w:rsid w:val="392E36C1"/>
    <w:rsid w:val="39616936"/>
    <w:rsid w:val="39811AC3"/>
    <w:rsid w:val="39893D59"/>
    <w:rsid w:val="39903EFC"/>
    <w:rsid w:val="39C34D61"/>
    <w:rsid w:val="3A013439"/>
    <w:rsid w:val="3A074922"/>
    <w:rsid w:val="3A8D0FAB"/>
    <w:rsid w:val="3AA54601"/>
    <w:rsid w:val="3AC16F61"/>
    <w:rsid w:val="3AE1337E"/>
    <w:rsid w:val="3B0F53CA"/>
    <w:rsid w:val="3B2562FC"/>
    <w:rsid w:val="3B8D44C3"/>
    <w:rsid w:val="3B8D7B20"/>
    <w:rsid w:val="3BC767F9"/>
    <w:rsid w:val="3BCC5D2A"/>
    <w:rsid w:val="3BDA477E"/>
    <w:rsid w:val="3C040CBE"/>
    <w:rsid w:val="3C342CD5"/>
    <w:rsid w:val="3C357C06"/>
    <w:rsid w:val="3C376E41"/>
    <w:rsid w:val="3C535683"/>
    <w:rsid w:val="3C8E5AF7"/>
    <w:rsid w:val="3C9514B4"/>
    <w:rsid w:val="3C9B1B7E"/>
    <w:rsid w:val="3CBB0CC9"/>
    <w:rsid w:val="3CBB0E0C"/>
    <w:rsid w:val="3D1629E5"/>
    <w:rsid w:val="3D346F52"/>
    <w:rsid w:val="3D547043"/>
    <w:rsid w:val="3D687B67"/>
    <w:rsid w:val="3D7C313F"/>
    <w:rsid w:val="3D984E54"/>
    <w:rsid w:val="3DB82C7B"/>
    <w:rsid w:val="3DBC63C8"/>
    <w:rsid w:val="3DBD1D98"/>
    <w:rsid w:val="3DE32483"/>
    <w:rsid w:val="3DE36705"/>
    <w:rsid w:val="3E23240C"/>
    <w:rsid w:val="3E6924B0"/>
    <w:rsid w:val="3E710014"/>
    <w:rsid w:val="3E7B6944"/>
    <w:rsid w:val="3ECD359C"/>
    <w:rsid w:val="3EEA2F2A"/>
    <w:rsid w:val="3F516B05"/>
    <w:rsid w:val="3F730222"/>
    <w:rsid w:val="3F870779"/>
    <w:rsid w:val="3F8844F1"/>
    <w:rsid w:val="3F9C702D"/>
    <w:rsid w:val="3FD73EF5"/>
    <w:rsid w:val="3FF73A4E"/>
    <w:rsid w:val="3FF91ED4"/>
    <w:rsid w:val="401A15ED"/>
    <w:rsid w:val="402C4889"/>
    <w:rsid w:val="40321DC0"/>
    <w:rsid w:val="40387CC5"/>
    <w:rsid w:val="40420B44"/>
    <w:rsid w:val="404F0E53"/>
    <w:rsid w:val="40672358"/>
    <w:rsid w:val="40844CB8"/>
    <w:rsid w:val="409D1CF0"/>
    <w:rsid w:val="40AF0059"/>
    <w:rsid w:val="40F24FB0"/>
    <w:rsid w:val="41006A35"/>
    <w:rsid w:val="412941B0"/>
    <w:rsid w:val="413C14D7"/>
    <w:rsid w:val="41792401"/>
    <w:rsid w:val="41822FD8"/>
    <w:rsid w:val="41B27C0F"/>
    <w:rsid w:val="423050F8"/>
    <w:rsid w:val="423956F4"/>
    <w:rsid w:val="42461095"/>
    <w:rsid w:val="42C03CBA"/>
    <w:rsid w:val="42DB6BC2"/>
    <w:rsid w:val="43455505"/>
    <w:rsid w:val="43CA332A"/>
    <w:rsid w:val="43F979A6"/>
    <w:rsid w:val="44541F2F"/>
    <w:rsid w:val="446525AE"/>
    <w:rsid w:val="44A07D92"/>
    <w:rsid w:val="44AA5AB2"/>
    <w:rsid w:val="44BC7291"/>
    <w:rsid w:val="44E16B7D"/>
    <w:rsid w:val="45216F7A"/>
    <w:rsid w:val="454115CB"/>
    <w:rsid w:val="459272E1"/>
    <w:rsid w:val="45B63E7B"/>
    <w:rsid w:val="45C041A4"/>
    <w:rsid w:val="45D43FEC"/>
    <w:rsid w:val="45D74A41"/>
    <w:rsid w:val="45DD34DD"/>
    <w:rsid w:val="45E306D3"/>
    <w:rsid w:val="46104A6D"/>
    <w:rsid w:val="46282E5B"/>
    <w:rsid w:val="462D72F1"/>
    <w:rsid w:val="465042B7"/>
    <w:rsid w:val="46AD5FE0"/>
    <w:rsid w:val="46CC73B9"/>
    <w:rsid w:val="46E110F4"/>
    <w:rsid w:val="473004A5"/>
    <w:rsid w:val="479A34B7"/>
    <w:rsid w:val="47A67C0A"/>
    <w:rsid w:val="47C702AC"/>
    <w:rsid w:val="47CD2257"/>
    <w:rsid w:val="480A097F"/>
    <w:rsid w:val="48114DBB"/>
    <w:rsid w:val="486501BD"/>
    <w:rsid w:val="487D6BBD"/>
    <w:rsid w:val="488C1AAA"/>
    <w:rsid w:val="489839F7"/>
    <w:rsid w:val="48AB4C93"/>
    <w:rsid w:val="48C06AA9"/>
    <w:rsid w:val="48C77E38"/>
    <w:rsid w:val="48C90054"/>
    <w:rsid w:val="49067A1A"/>
    <w:rsid w:val="49294327"/>
    <w:rsid w:val="495B0FC1"/>
    <w:rsid w:val="49686E37"/>
    <w:rsid w:val="497208EB"/>
    <w:rsid w:val="497A24E5"/>
    <w:rsid w:val="49883A6B"/>
    <w:rsid w:val="499046CE"/>
    <w:rsid w:val="49B4660E"/>
    <w:rsid w:val="4A10073D"/>
    <w:rsid w:val="4A262B76"/>
    <w:rsid w:val="4A4200BE"/>
    <w:rsid w:val="4A6A45D5"/>
    <w:rsid w:val="4A9A085A"/>
    <w:rsid w:val="4A9D3546"/>
    <w:rsid w:val="4A9E2F91"/>
    <w:rsid w:val="4AA126EF"/>
    <w:rsid w:val="4ACF5E2A"/>
    <w:rsid w:val="4AE21A26"/>
    <w:rsid w:val="4B404CCB"/>
    <w:rsid w:val="4B625723"/>
    <w:rsid w:val="4B716727"/>
    <w:rsid w:val="4B7448BF"/>
    <w:rsid w:val="4B7A2AE5"/>
    <w:rsid w:val="4B864CF2"/>
    <w:rsid w:val="4BB072A9"/>
    <w:rsid w:val="4BC863A1"/>
    <w:rsid w:val="4BD31D21"/>
    <w:rsid w:val="4BE545BC"/>
    <w:rsid w:val="4BF62A99"/>
    <w:rsid w:val="4BFC429C"/>
    <w:rsid w:val="4C000125"/>
    <w:rsid w:val="4C230060"/>
    <w:rsid w:val="4C251A45"/>
    <w:rsid w:val="4C431ECB"/>
    <w:rsid w:val="4C7845E6"/>
    <w:rsid w:val="4CBA1D8C"/>
    <w:rsid w:val="4CBE77A4"/>
    <w:rsid w:val="4CD93612"/>
    <w:rsid w:val="4CF6538A"/>
    <w:rsid w:val="4D001AE8"/>
    <w:rsid w:val="4D1903DE"/>
    <w:rsid w:val="4D20220D"/>
    <w:rsid w:val="4D3D691B"/>
    <w:rsid w:val="4D694884"/>
    <w:rsid w:val="4D8C5D04"/>
    <w:rsid w:val="4DCD5EF0"/>
    <w:rsid w:val="4DD748E2"/>
    <w:rsid w:val="4DDE0FB6"/>
    <w:rsid w:val="4DEB1114"/>
    <w:rsid w:val="4DEF0B37"/>
    <w:rsid w:val="4DFD286B"/>
    <w:rsid w:val="4DFD3923"/>
    <w:rsid w:val="4E1B3100"/>
    <w:rsid w:val="4E257ADB"/>
    <w:rsid w:val="4E263E4D"/>
    <w:rsid w:val="4E5B2FC7"/>
    <w:rsid w:val="4E656D12"/>
    <w:rsid w:val="4E8761C6"/>
    <w:rsid w:val="4E8C0552"/>
    <w:rsid w:val="4EC658ED"/>
    <w:rsid w:val="4ED137BE"/>
    <w:rsid w:val="4EDA0ED2"/>
    <w:rsid w:val="4EF25C39"/>
    <w:rsid w:val="4F24050E"/>
    <w:rsid w:val="4F253B0A"/>
    <w:rsid w:val="4F5F5100"/>
    <w:rsid w:val="4F7D56F4"/>
    <w:rsid w:val="4F951EC7"/>
    <w:rsid w:val="4FD70B7F"/>
    <w:rsid w:val="4FDA2B47"/>
    <w:rsid w:val="4FDD6193"/>
    <w:rsid w:val="4FE42991"/>
    <w:rsid w:val="50575F45"/>
    <w:rsid w:val="50644151"/>
    <w:rsid w:val="50701320"/>
    <w:rsid w:val="50CC66C6"/>
    <w:rsid w:val="50E46C55"/>
    <w:rsid w:val="51075E9B"/>
    <w:rsid w:val="5109758A"/>
    <w:rsid w:val="51402E7D"/>
    <w:rsid w:val="51705511"/>
    <w:rsid w:val="517D7EF7"/>
    <w:rsid w:val="51813BD6"/>
    <w:rsid w:val="518A15D0"/>
    <w:rsid w:val="51F97C7B"/>
    <w:rsid w:val="520D0FB1"/>
    <w:rsid w:val="520D391C"/>
    <w:rsid w:val="521560B8"/>
    <w:rsid w:val="523604B5"/>
    <w:rsid w:val="525E35BB"/>
    <w:rsid w:val="525F7333"/>
    <w:rsid w:val="52716E4D"/>
    <w:rsid w:val="52720E14"/>
    <w:rsid w:val="529402A5"/>
    <w:rsid w:val="52996302"/>
    <w:rsid w:val="52A041F2"/>
    <w:rsid w:val="52AB07CA"/>
    <w:rsid w:val="52C31740"/>
    <w:rsid w:val="531225F7"/>
    <w:rsid w:val="536F55EA"/>
    <w:rsid w:val="53B250FE"/>
    <w:rsid w:val="53E140F8"/>
    <w:rsid w:val="5409022C"/>
    <w:rsid w:val="541C372E"/>
    <w:rsid w:val="542725B3"/>
    <w:rsid w:val="54324F2D"/>
    <w:rsid w:val="54370568"/>
    <w:rsid w:val="545F0D14"/>
    <w:rsid w:val="548D63DA"/>
    <w:rsid w:val="549F0033"/>
    <w:rsid w:val="54A61249"/>
    <w:rsid w:val="54F0386D"/>
    <w:rsid w:val="55284354"/>
    <w:rsid w:val="55385E9D"/>
    <w:rsid w:val="554E76D4"/>
    <w:rsid w:val="55870A33"/>
    <w:rsid w:val="558E225D"/>
    <w:rsid w:val="55910B25"/>
    <w:rsid w:val="55BB516A"/>
    <w:rsid w:val="55CE4284"/>
    <w:rsid w:val="55F3683A"/>
    <w:rsid w:val="561346BC"/>
    <w:rsid w:val="565E796F"/>
    <w:rsid w:val="56622EE6"/>
    <w:rsid w:val="567D32F8"/>
    <w:rsid w:val="569029BC"/>
    <w:rsid w:val="56DF51F9"/>
    <w:rsid w:val="5732642F"/>
    <w:rsid w:val="57A27139"/>
    <w:rsid w:val="57D45BDD"/>
    <w:rsid w:val="58113055"/>
    <w:rsid w:val="582F2485"/>
    <w:rsid w:val="58623517"/>
    <w:rsid w:val="586E207E"/>
    <w:rsid w:val="587B1CE8"/>
    <w:rsid w:val="58B24661"/>
    <w:rsid w:val="58E067DA"/>
    <w:rsid w:val="591A2206"/>
    <w:rsid w:val="59771406"/>
    <w:rsid w:val="598F05C5"/>
    <w:rsid w:val="59D1194D"/>
    <w:rsid w:val="59F667CF"/>
    <w:rsid w:val="5A2C0463"/>
    <w:rsid w:val="5A4412E8"/>
    <w:rsid w:val="5A504131"/>
    <w:rsid w:val="5A611B44"/>
    <w:rsid w:val="5A70032F"/>
    <w:rsid w:val="5A8A0D9C"/>
    <w:rsid w:val="5A974541"/>
    <w:rsid w:val="5ABA5A4E"/>
    <w:rsid w:val="5AC468CD"/>
    <w:rsid w:val="5ADE1CCB"/>
    <w:rsid w:val="5AFA5E4B"/>
    <w:rsid w:val="5B913E89"/>
    <w:rsid w:val="5B914A01"/>
    <w:rsid w:val="5BC51D12"/>
    <w:rsid w:val="5BD36A42"/>
    <w:rsid w:val="5BDF51E5"/>
    <w:rsid w:val="5C30438D"/>
    <w:rsid w:val="5C737063"/>
    <w:rsid w:val="5C8A1EB8"/>
    <w:rsid w:val="5CBF559E"/>
    <w:rsid w:val="5CF43483"/>
    <w:rsid w:val="5D1B5A98"/>
    <w:rsid w:val="5D900CE9"/>
    <w:rsid w:val="5DAE2216"/>
    <w:rsid w:val="5DB67DCD"/>
    <w:rsid w:val="5DDB6ECD"/>
    <w:rsid w:val="5E2D441E"/>
    <w:rsid w:val="5E4B5ECE"/>
    <w:rsid w:val="5E504046"/>
    <w:rsid w:val="5E7B689A"/>
    <w:rsid w:val="5E7D126D"/>
    <w:rsid w:val="5E7F31BE"/>
    <w:rsid w:val="5F160C0D"/>
    <w:rsid w:val="5F410A39"/>
    <w:rsid w:val="5F594CFF"/>
    <w:rsid w:val="5F7839D9"/>
    <w:rsid w:val="5F7A755A"/>
    <w:rsid w:val="5FDE7933"/>
    <w:rsid w:val="5FF137C1"/>
    <w:rsid w:val="60260BC1"/>
    <w:rsid w:val="607B5C80"/>
    <w:rsid w:val="60BF3DBF"/>
    <w:rsid w:val="60BF6085"/>
    <w:rsid w:val="60C762FF"/>
    <w:rsid w:val="60F4333C"/>
    <w:rsid w:val="610B0F2F"/>
    <w:rsid w:val="619A2136"/>
    <w:rsid w:val="61A16B3A"/>
    <w:rsid w:val="621902D0"/>
    <w:rsid w:val="621974FF"/>
    <w:rsid w:val="624765A0"/>
    <w:rsid w:val="62651893"/>
    <w:rsid w:val="62AA2731"/>
    <w:rsid w:val="62B3157B"/>
    <w:rsid w:val="62C25141"/>
    <w:rsid w:val="62C670AD"/>
    <w:rsid w:val="632D0578"/>
    <w:rsid w:val="63430CCB"/>
    <w:rsid w:val="635D1397"/>
    <w:rsid w:val="637532C0"/>
    <w:rsid w:val="63C07F39"/>
    <w:rsid w:val="63EE41D7"/>
    <w:rsid w:val="63F76ACF"/>
    <w:rsid w:val="640B6DBE"/>
    <w:rsid w:val="642743CC"/>
    <w:rsid w:val="6439584C"/>
    <w:rsid w:val="644A1BF1"/>
    <w:rsid w:val="644E6953"/>
    <w:rsid w:val="645C36D2"/>
    <w:rsid w:val="646031C3"/>
    <w:rsid w:val="64623156"/>
    <w:rsid w:val="64E85F4C"/>
    <w:rsid w:val="64F37AE5"/>
    <w:rsid w:val="650F2ECA"/>
    <w:rsid w:val="6517189C"/>
    <w:rsid w:val="65240373"/>
    <w:rsid w:val="655679FB"/>
    <w:rsid w:val="656404FE"/>
    <w:rsid w:val="656B6F6F"/>
    <w:rsid w:val="65975EC8"/>
    <w:rsid w:val="65A45331"/>
    <w:rsid w:val="65B42D4D"/>
    <w:rsid w:val="65D3536A"/>
    <w:rsid w:val="65E9543A"/>
    <w:rsid w:val="65F934BA"/>
    <w:rsid w:val="65FC46C9"/>
    <w:rsid w:val="6633482C"/>
    <w:rsid w:val="663C163E"/>
    <w:rsid w:val="66507267"/>
    <w:rsid w:val="66561183"/>
    <w:rsid w:val="666C69CB"/>
    <w:rsid w:val="66882EA5"/>
    <w:rsid w:val="66A3383B"/>
    <w:rsid w:val="66AF38F3"/>
    <w:rsid w:val="66B55626"/>
    <w:rsid w:val="66C20E08"/>
    <w:rsid w:val="66C2704C"/>
    <w:rsid w:val="67276807"/>
    <w:rsid w:val="674A4CE9"/>
    <w:rsid w:val="67644223"/>
    <w:rsid w:val="676B54B2"/>
    <w:rsid w:val="678169CB"/>
    <w:rsid w:val="67834E89"/>
    <w:rsid w:val="678C1DD8"/>
    <w:rsid w:val="67A21D44"/>
    <w:rsid w:val="67BF28F6"/>
    <w:rsid w:val="67C577E1"/>
    <w:rsid w:val="67C800E7"/>
    <w:rsid w:val="67E1643F"/>
    <w:rsid w:val="67E75E01"/>
    <w:rsid w:val="67FB3202"/>
    <w:rsid w:val="68084075"/>
    <w:rsid w:val="68415F39"/>
    <w:rsid w:val="684D4276"/>
    <w:rsid w:val="688915DD"/>
    <w:rsid w:val="688D23A8"/>
    <w:rsid w:val="68AB2673"/>
    <w:rsid w:val="68DD368C"/>
    <w:rsid w:val="68DF53DF"/>
    <w:rsid w:val="690600B1"/>
    <w:rsid w:val="69083E29"/>
    <w:rsid w:val="695157D0"/>
    <w:rsid w:val="698959FD"/>
    <w:rsid w:val="69992BB4"/>
    <w:rsid w:val="69B661C8"/>
    <w:rsid w:val="69FE67E5"/>
    <w:rsid w:val="6A15505C"/>
    <w:rsid w:val="6A3C1E70"/>
    <w:rsid w:val="6A565CFB"/>
    <w:rsid w:val="6A895F6D"/>
    <w:rsid w:val="6A8E035E"/>
    <w:rsid w:val="6AD56B25"/>
    <w:rsid w:val="6AD953B2"/>
    <w:rsid w:val="6AE0505D"/>
    <w:rsid w:val="6B286A04"/>
    <w:rsid w:val="6B9C3BAB"/>
    <w:rsid w:val="6BAF4A30"/>
    <w:rsid w:val="6BF5102E"/>
    <w:rsid w:val="6C20474C"/>
    <w:rsid w:val="6C262F44"/>
    <w:rsid w:val="6C795821"/>
    <w:rsid w:val="6CC2656C"/>
    <w:rsid w:val="6CE14C5D"/>
    <w:rsid w:val="6CE81FA7"/>
    <w:rsid w:val="6CE85AC4"/>
    <w:rsid w:val="6D390A55"/>
    <w:rsid w:val="6D5C2EAE"/>
    <w:rsid w:val="6D7418F5"/>
    <w:rsid w:val="6D81480B"/>
    <w:rsid w:val="6D8F5D46"/>
    <w:rsid w:val="6DAA7019"/>
    <w:rsid w:val="6DCC39BB"/>
    <w:rsid w:val="6DE33CF7"/>
    <w:rsid w:val="6DF23001"/>
    <w:rsid w:val="6DF37E8F"/>
    <w:rsid w:val="6E091363"/>
    <w:rsid w:val="6E0D7A37"/>
    <w:rsid w:val="6E4753F3"/>
    <w:rsid w:val="6E7A1325"/>
    <w:rsid w:val="6E8F2AB8"/>
    <w:rsid w:val="6EA83CD3"/>
    <w:rsid w:val="6EAD34A8"/>
    <w:rsid w:val="6ED3037C"/>
    <w:rsid w:val="6F5A0777"/>
    <w:rsid w:val="6F9A0492"/>
    <w:rsid w:val="6FF65E88"/>
    <w:rsid w:val="700F10FE"/>
    <w:rsid w:val="70546330"/>
    <w:rsid w:val="70692AA5"/>
    <w:rsid w:val="70A950CE"/>
    <w:rsid w:val="70BC5C25"/>
    <w:rsid w:val="70C80B8C"/>
    <w:rsid w:val="70D647FB"/>
    <w:rsid w:val="70EE693E"/>
    <w:rsid w:val="70F94B71"/>
    <w:rsid w:val="71216EE8"/>
    <w:rsid w:val="71542056"/>
    <w:rsid w:val="71597917"/>
    <w:rsid w:val="71DB20DB"/>
    <w:rsid w:val="71DE6BCF"/>
    <w:rsid w:val="71E158A3"/>
    <w:rsid w:val="720F6228"/>
    <w:rsid w:val="72215C43"/>
    <w:rsid w:val="72624E83"/>
    <w:rsid w:val="726F66EC"/>
    <w:rsid w:val="72A20E4A"/>
    <w:rsid w:val="72B15531"/>
    <w:rsid w:val="72CE7E91"/>
    <w:rsid w:val="72DB2E43"/>
    <w:rsid w:val="72E535CF"/>
    <w:rsid w:val="733410F8"/>
    <w:rsid w:val="73443ED8"/>
    <w:rsid w:val="73697BBA"/>
    <w:rsid w:val="7375655F"/>
    <w:rsid w:val="739A500D"/>
    <w:rsid w:val="739C1D3D"/>
    <w:rsid w:val="73AA15D5"/>
    <w:rsid w:val="73B811A6"/>
    <w:rsid w:val="73B9644B"/>
    <w:rsid w:val="73D72D76"/>
    <w:rsid w:val="73EC573C"/>
    <w:rsid w:val="740334B9"/>
    <w:rsid w:val="741033A8"/>
    <w:rsid w:val="7418231F"/>
    <w:rsid w:val="741A7F23"/>
    <w:rsid w:val="741E2955"/>
    <w:rsid w:val="74224491"/>
    <w:rsid w:val="743907FF"/>
    <w:rsid w:val="74A115CC"/>
    <w:rsid w:val="74A36C7B"/>
    <w:rsid w:val="751A65D0"/>
    <w:rsid w:val="75273966"/>
    <w:rsid w:val="755328D0"/>
    <w:rsid w:val="75932CCC"/>
    <w:rsid w:val="75D879CB"/>
    <w:rsid w:val="75E111F9"/>
    <w:rsid w:val="75F15D9E"/>
    <w:rsid w:val="75F5778C"/>
    <w:rsid w:val="7610362F"/>
    <w:rsid w:val="76130010"/>
    <w:rsid w:val="76761FBD"/>
    <w:rsid w:val="76976D91"/>
    <w:rsid w:val="76A4354A"/>
    <w:rsid w:val="76B124BB"/>
    <w:rsid w:val="76BC01B9"/>
    <w:rsid w:val="76C04E72"/>
    <w:rsid w:val="76DB70E9"/>
    <w:rsid w:val="76E30BC3"/>
    <w:rsid w:val="76F9562B"/>
    <w:rsid w:val="770B3462"/>
    <w:rsid w:val="7750650A"/>
    <w:rsid w:val="776C1A27"/>
    <w:rsid w:val="778375A9"/>
    <w:rsid w:val="77895CD1"/>
    <w:rsid w:val="77A00CC0"/>
    <w:rsid w:val="77C86EBE"/>
    <w:rsid w:val="77C96BB0"/>
    <w:rsid w:val="77DB4CAF"/>
    <w:rsid w:val="78025972"/>
    <w:rsid w:val="780305DD"/>
    <w:rsid w:val="781C51FB"/>
    <w:rsid w:val="782A3DBC"/>
    <w:rsid w:val="78406F27"/>
    <w:rsid w:val="78426D38"/>
    <w:rsid w:val="78463283"/>
    <w:rsid w:val="784B08F9"/>
    <w:rsid w:val="786B793E"/>
    <w:rsid w:val="78866B18"/>
    <w:rsid w:val="78967EE6"/>
    <w:rsid w:val="78DB3308"/>
    <w:rsid w:val="79267A88"/>
    <w:rsid w:val="794800DA"/>
    <w:rsid w:val="7951702B"/>
    <w:rsid w:val="79B905FE"/>
    <w:rsid w:val="79CA0AFE"/>
    <w:rsid w:val="79D51B05"/>
    <w:rsid w:val="7A006AF7"/>
    <w:rsid w:val="7A2C0406"/>
    <w:rsid w:val="7A536490"/>
    <w:rsid w:val="7A707A80"/>
    <w:rsid w:val="7A92187A"/>
    <w:rsid w:val="7AB71463"/>
    <w:rsid w:val="7AD46261"/>
    <w:rsid w:val="7AD54A83"/>
    <w:rsid w:val="7B1E128A"/>
    <w:rsid w:val="7B2A736F"/>
    <w:rsid w:val="7B91252D"/>
    <w:rsid w:val="7B9D48A5"/>
    <w:rsid w:val="7BC67434"/>
    <w:rsid w:val="7BC83312"/>
    <w:rsid w:val="7BCE68C3"/>
    <w:rsid w:val="7BE44282"/>
    <w:rsid w:val="7BF03718"/>
    <w:rsid w:val="7BFF3C4B"/>
    <w:rsid w:val="7C163A54"/>
    <w:rsid w:val="7C634321"/>
    <w:rsid w:val="7C9061B7"/>
    <w:rsid w:val="7CCD7CA5"/>
    <w:rsid w:val="7D3F2465"/>
    <w:rsid w:val="7D58415F"/>
    <w:rsid w:val="7D5B0252"/>
    <w:rsid w:val="7D5E0407"/>
    <w:rsid w:val="7D6D2002"/>
    <w:rsid w:val="7D8762A4"/>
    <w:rsid w:val="7DE8674C"/>
    <w:rsid w:val="7E01111B"/>
    <w:rsid w:val="7E1779E1"/>
    <w:rsid w:val="7E301A00"/>
    <w:rsid w:val="7E732430"/>
    <w:rsid w:val="7EA002A1"/>
    <w:rsid w:val="7ECA3C03"/>
    <w:rsid w:val="7EE236F9"/>
    <w:rsid w:val="7F116596"/>
    <w:rsid w:val="7F17770C"/>
    <w:rsid w:val="7F390D49"/>
    <w:rsid w:val="7F4F44C1"/>
    <w:rsid w:val="7F631454"/>
    <w:rsid w:val="7F6D5BBD"/>
    <w:rsid w:val="7F863EFF"/>
    <w:rsid w:val="7F9658C9"/>
    <w:rsid w:val="7FE40652"/>
    <w:rsid w:val="7FF15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kern w:val="2"/>
      <w:sz w:val="21"/>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43"/>
      <w:szCs w:val="43"/>
      <w:lang w:val="en-US" w:eastAsia="en-US" w:bidi="ar-SA"/>
    </w:rPr>
  </w:style>
  <w:style w:type="paragraph" w:styleId="4">
    <w:name w:val="Body Text Indent"/>
    <w:basedOn w:val="1"/>
    <w:next w:val="5"/>
    <w:qFormat/>
    <w:uiPriority w:val="0"/>
    <w:pPr>
      <w:ind w:firstLine="645"/>
    </w:pPr>
    <w:rPr>
      <w:rFonts w:ascii="楷体_GB2312" w:hAnsi="Times New Roman" w:eastAsia="楷体_GB2312"/>
      <w:sz w:val="32"/>
      <w:szCs w:val="20"/>
    </w:rPr>
  </w:style>
  <w:style w:type="paragraph" w:styleId="5">
    <w:name w:val="envelope return"/>
    <w:basedOn w:val="1"/>
    <w:unhideWhenUsed/>
    <w:qFormat/>
    <w:uiPriority w:val="99"/>
    <w:pPr>
      <w:snapToGrid w:val="0"/>
    </w:pPr>
    <w:rPr>
      <w:rFonts w:ascii="Arial" w:hAnsi="Arial"/>
    </w:rPr>
  </w:style>
  <w:style w:type="paragraph" w:styleId="6">
    <w:name w:val="Plain Text"/>
    <w:basedOn w:val="1"/>
    <w:qFormat/>
    <w:uiPriority w:val="99"/>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unhideWhenUsed/>
    <w:qFormat/>
    <w:uiPriority w:val="99"/>
    <w:pPr>
      <w:spacing w:after="120"/>
      <w:ind w:left="420" w:leftChars="200" w:firstLine="420" w:firstLineChars="200"/>
    </w:pPr>
    <w:rPr>
      <w:rFonts w:ascii="Times New Roman" w:eastAsia="宋体"/>
      <w:sz w:val="21"/>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Table Paragraph"/>
    <w:basedOn w:val="1"/>
    <w:qFormat/>
    <w:uiPriority w:val="1"/>
    <w:pPr>
      <w:ind w:left="107"/>
    </w:pPr>
    <w:rPr>
      <w:rFonts w:ascii="宋体" w:hAnsi="宋体" w:eastAsia="宋体" w:cs="宋体"/>
      <w:lang w:val="zh-CN" w:eastAsia="zh-CN" w:bidi="zh-CN"/>
    </w:rPr>
  </w:style>
  <w:style w:type="paragraph" w:styleId="18">
    <w:name w:val="List Paragraph"/>
    <w:basedOn w:val="1"/>
    <w:qFormat/>
    <w:uiPriority w:val="1"/>
    <w:pPr>
      <w:ind w:left="167" w:firstLine="420"/>
    </w:pPr>
    <w:rPr>
      <w:rFonts w:ascii="宋体" w:hAnsi="宋体" w:eastAsia="宋体" w:cs="宋体"/>
    </w:rPr>
  </w:style>
  <w:style w:type="paragraph" w:customStyle="1" w:styleId="19">
    <w:name w:val="列出段落1"/>
    <w:basedOn w:val="1"/>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2716</Words>
  <Characters>2790</Characters>
  <Lines>0</Lines>
  <Paragraphs>0</Paragraphs>
  <TotalTime>13</TotalTime>
  <ScaleCrop>false</ScaleCrop>
  <LinksUpToDate>false</LinksUpToDate>
  <CharactersWithSpaces>2798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2025-02-17T01:09:00Z</cp:lastPrinted>
  <dcterms:modified xsi:type="dcterms:W3CDTF">2025-06-10T02:13:16Z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2F39F2C690364B9398B97E3CA3019FDE_13</vt:lpwstr>
  </property>
  <property fmtid="{D5CDD505-2E9C-101B-9397-08002B2CF9AE}" pid="4" name="KSOTemplateDocerSaveRecord">
    <vt:lpwstr>eyJoZGlkIjoiNmE3MjczOWFiOWZjZDIzYmZiZTk2ODNkNWQ3NWVjNjgiLCJ1c2VySWQiOiI1MjEyMTU5MDAifQ==</vt:lpwstr>
  </property>
</Properties>
</file>