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numPr>
          <w:ilvl w:val="0"/>
          <w:numId w:val="0"/>
        </w:numPr>
        <w:spacing w:line="560" w:lineRule="exact"/>
        <w:ind w:firstLine="640" w:firstLineChars="200"/>
        <w:jc w:val="both"/>
        <w:rPr>
          <w:rFonts w:hint="eastAsia" w:ascii="仿宋_GB2312" w:hAnsi="宋体" w:eastAsia="仿宋_GB2312" w:cs="宋体"/>
          <w:bCs/>
          <w:color w:val="000000"/>
          <w:sz w:val="32"/>
          <w:szCs w:val="32"/>
          <w:lang w:val="en-US" w:eastAsia="zh-CN"/>
        </w:rPr>
      </w:pPr>
      <w:bookmarkStart w:id="0" w:name="OLE_LINK15"/>
      <w:r>
        <w:rPr>
          <w:rFonts w:hint="eastAsia" w:ascii="仿宋_GB2312" w:hAnsi="宋体" w:eastAsia="仿宋_GB2312" w:cs="宋体"/>
          <w:bCs/>
          <w:color w:val="000000"/>
          <w:sz w:val="32"/>
          <w:szCs w:val="32"/>
          <w:lang w:val="en-US" w:eastAsia="zh-CN"/>
        </w:rPr>
        <w:t>2025年全国夏季游泳锦标赛计时记分系统租赁服务项目</w:t>
      </w:r>
      <w:bookmarkEnd w:id="0"/>
      <w:r>
        <w:rPr>
          <w:rFonts w:hint="eastAsia" w:ascii="仿宋_GB2312" w:hAnsi="宋体" w:eastAsia="仿宋_GB2312" w:cs="宋体"/>
          <w:bCs/>
          <w:color w:val="000000"/>
          <w:sz w:val="32"/>
          <w:szCs w:val="32"/>
          <w:lang w:val="en-US" w:eastAsia="zh-CN"/>
        </w:rPr>
        <w:t>，现通过竞价方式择优选择一家服务单位，本次竞价采用有效最低价法中标方式，欢迎具备条件的单位参与。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1.项目名称：2025年全国夏季游泳锦标赛计时记分系统租赁服务</w:t>
      </w:r>
      <w:r>
        <w:rPr>
          <w:rFonts w:hint="eastAsia" w:ascii="仿宋_GB2312" w:hAnsi="宋体" w:eastAsia="仿宋_GB2312" w:cs="宋体"/>
          <w:bCs/>
          <w:color w:val="000000"/>
          <w:sz w:val="30"/>
          <w:szCs w:val="30"/>
          <w:lang w:val="en-US" w:eastAsia="zh-CN"/>
        </w:rPr>
        <w:t>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2.项目编号：2025TYGSCG18</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w:t>
      </w:r>
      <w:r>
        <w:rPr>
          <w:rFonts w:hint="eastAsia" w:ascii="仿宋_GB2312" w:hAnsi="宋体" w:eastAsia="仿宋_GB2312" w:cs="宋体"/>
          <w:bCs/>
          <w:color w:val="000000"/>
          <w:sz w:val="32"/>
          <w:szCs w:val="32"/>
          <w:lang w:val="en-US" w:eastAsia="zh-CN"/>
        </w:rPr>
        <w:t>18万元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bookmarkStart w:id="8" w:name="_GoBack"/>
      <w:r>
        <w:rPr>
          <w:rFonts w:hint="eastAsia" w:ascii="仿宋_GB2312" w:hAnsi="宋体" w:eastAsia="仿宋_GB2312" w:cs="宋体"/>
          <w:b/>
          <w:bCs w:val="0"/>
          <w:color w:val="000000"/>
          <w:sz w:val="32"/>
          <w:szCs w:val="32"/>
          <w:lang w:val="en-US" w:eastAsia="zh-CN"/>
        </w:rPr>
        <w:t>二、投标人资格</w:t>
      </w:r>
    </w:p>
    <w:bookmarkEnd w:id="8"/>
    <w:p>
      <w:pPr>
        <w:pStyle w:val="5"/>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1.投标人须具备独立承担民事责任能力；</w:t>
      </w:r>
    </w:p>
    <w:p>
      <w:pPr>
        <w:pStyle w:val="5"/>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2.营业执照范围需包含技术服务或游泳比赛自动计时系统的生产及销售等相关内容（投标时提供营业执照复印件）；</w:t>
      </w:r>
    </w:p>
    <w:p>
      <w:pPr>
        <w:pStyle w:val="5"/>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3.本项目不接受联合体投标；</w:t>
      </w:r>
    </w:p>
    <w:p>
      <w:pPr>
        <w:pStyle w:val="5"/>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4.投标人应具有国家级及以上游泳比赛计时记分赛事服务业绩(投标时提供业绩证明，包含不限于盖章合同或赛事服务证明文件等材料复印件);</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5.投标人存在以下不良信用记录情形之一的，不得推荐为中标候选人，不得确定为中标人：</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1）投标人被人民法院列入失信被执行人的；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2）投标人或其法定代表人或拟派项目经理（项目负责人）被人民检察院列入行贿犯罪档案的；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3）投标人被工商行政管理部门列入企业经营异常名录的；</w:t>
      </w:r>
    </w:p>
    <w:p>
      <w:pPr>
        <w:pStyle w:val="5"/>
        <w:rPr>
          <w:rFonts w:hint="eastAsia"/>
          <w:lang w:val="en-US" w:eastAsia="zh-CN"/>
        </w:rPr>
      </w:pPr>
      <w:r>
        <w:rPr>
          <w:rFonts w:hint="eastAsia" w:ascii="仿宋_GB2312" w:hAnsi="宋体" w:eastAsia="仿宋_GB2312" w:cs="宋体"/>
          <w:bCs/>
          <w:color w:val="000000"/>
          <w:sz w:val="32"/>
          <w:szCs w:val="32"/>
          <w:lang w:val="en-US" w:eastAsia="zh-CN"/>
        </w:rPr>
        <w:t>4）投标人被税务部门列入重大税收违法案件当事人名单的。</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kern w:val="2"/>
          <w:sz w:val="32"/>
          <w:szCs w:val="32"/>
          <w:lang w:val="en-US" w:eastAsia="zh-CN" w:bidi="ar-SA"/>
        </w:rPr>
        <w:t>三、服务要求</w:t>
      </w:r>
    </w:p>
    <w:p>
      <w:pPr>
        <w:pStyle w:val="5"/>
        <w:rPr>
          <w:rFonts w:hint="eastAsia" w:ascii="仿宋_GB2312" w:hAnsi="宋体" w:eastAsia="仿宋_GB2312" w:cs="宋体"/>
          <w:bCs/>
          <w:color w:val="000000"/>
          <w:sz w:val="32"/>
          <w:szCs w:val="32"/>
          <w:lang w:val="en-US" w:eastAsia="zh-CN"/>
        </w:rPr>
      </w:pPr>
      <w:bookmarkStart w:id="1" w:name="OLE_LINK20"/>
      <w:r>
        <w:rPr>
          <w:rFonts w:hint="eastAsia" w:ascii="仿宋_GB2312" w:hAnsi="宋体" w:eastAsia="仿宋_GB2312" w:cs="宋体"/>
          <w:bCs/>
          <w:color w:val="000000"/>
          <w:sz w:val="32"/>
          <w:szCs w:val="32"/>
          <w:lang w:val="en-US" w:eastAsia="zh-CN"/>
        </w:rPr>
        <w:t>1.游泳锦标赛计时记分系统所需设备器材由投标人提供，确保设备精准度符合世界泳联WORLD AQUTICS要求；</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2.计时记分系统设备的运输费用由投标人支付；</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3.设备的使用由投标人配备操作人员,负责设备的操作和维护保养工作；</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4.配合招标人在游泳比赛中的工作，确保计时精准符合世界泳联WORLD AQUTICS要求，并确保赛事信息化服务的顺利完成；</w:t>
      </w:r>
    </w:p>
    <w:p>
      <w:pPr>
        <w:pStyle w:val="5"/>
        <w:rPr>
          <w:rFonts w:hint="default"/>
          <w:lang w:val="en-US" w:eastAsia="zh-CN"/>
        </w:rPr>
      </w:pPr>
      <w:r>
        <w:rPr>
          <w:rFonts w:hint="eastAsia" w:ascii="仿宋_GB2312" w:hAnsi="宋体" w:eastAsia="仿宋_GB2312" w:cs="宋体"/>
          <w:bCs/>
          <w:color w:val="000000"/>
          <w:sz w:val="32"/>
          <w:szCs w:val="32"/>
          <w:lang w:val="en-US" w:eastAsia="zh-CN"/>
        </w:rPr>
        <w:t xml:space="preserve">5.负责设备的操作、使用，负责设备的维护、保养，确保设备的状态完好；  </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3" w:firstLineChars="200"/>
        <w:jc w:val="both"/>
        <w:rPr>
          <w:rFonts w:hint="eastAsia" w:ascii="仿宋_GB2312" w:hAnsi="宋体" w:eastAsia="仿宋_GB2312" w:cs="宋体"/>
          <w:b/>
          <w:bCs w:val="0"/>
          <w:color w:val="000000"/>
          <w:kern w:val="0"/>
          <w:sz w:val="32"/>
          <w:szCs w:val="32"/>
          <w:lang w:val="en-US" w:eastAsia="zh-CN" w:bidi="ar"/>
        </w:rPr>
      </w:pPr>
      <w:r>
        <w:rPr>
          <w:rFonts w:hint="eastAsia" w:ascii="仿宋_GB2312" w:hAnsi="宋体" w:eastAsia="仿宋_GB2312" w:cs="宋体"/>
          <w:b/>
          <w:bCs w:val="0"/>
          <w:color w:val="000000"/>
          <w:kern w:val="0"/>
          <w:sz w:val="32"/>
          <w:szCs w:val="32"/>
          <w:lang w:val="en-US" w:eastAsia="zh-CN" w:bidi="ar"/>
        </w:rPr>
        <w:t>四、服务地点及期限</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1.设备用于在合肥市体育中心举行的2025年全国夏季游泳锦标赛赛事全过程。</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2.服务期限：2025全国夏季游泳锦赛全赛程，需至少提前2天安装调试完成。</w:t>
      </w:r>
    </w:p>
    <w:p>
      <w:pPr>
        <w:spacing w:line="560" w:lineRule="exact"/>
        <w:ind w:firstLine="643" w:firstLineChars="200"/>
        <w:jc w:val="both"/>
        <w:rPr>
          <w:rFonts w:hint="default"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五、付款方式</w:t>
      </w:r>
    </w:p>
    <w:bookmarkEnd w:id="1"/>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1.本合同涉及费用均以人民币结算及支付。</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2.合同签订，赛程结束后，甲方应在收到乙方开具的等额增值税发票后30 日内向乙方支付总费用的100%款项。</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六、报价时间</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2025年6月7日17：00前将报价单连同营业执照和相关资质证明全部盖章后密封送至合肥体育产业投资有限公司综合管理部。未按要求盖章和密封的报价文件视为废标，无效报价。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、报价要求</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1.投标报价总价不得高于项目概算，不得有漏项，否则视为无效报价，</w:t>
      </w:r>
      <w:r>
        <w:rPr>
          <w:rFonts w:hint="default" w:ascii="仿宋_GB2312" w:hAnsi="宋体" w:eastAsia="仿宋_GB2312" w:cs="宋体"/>
          <w:bCs/>
          <w:color w:val="000000"/>
          <w:sz w:val="32"/>
          <w:szCs w:val="32"/>
          <w:lang w:val="en-US" w:eastAsia="zh-CN"/>
        </w:rPr>
        <w:t>并在分项报价表中列明综合单价，</w:t>
      </w:r>
      <w:r>
        <w:rPr>
          <w:rFonts w:hint="eastAsia" w:ascii="仿宋_GB2312" w:hAnsi="宋体" w:eastAsia="仿宋_GB2312" w:cs="宋体"/>
          <w:bCs/>
          <w:color w:val="000000"/>
          <w:sz w:val="32"/>
          <w:szCs w:val="32"/>
          <w:lang w:val="en-US" w:eastAsia="zh-CN"/>
        </w:rPr>
        <w:t>总价</w:t>
      </w:r>
      <w:r>
        <w:rPr>
          <w:rFonts w:hint="default" w:ascii="仿宋_GB2312" w:hAnsi="宋体" w:eastAsia="仿宋_GB2312" w:cs="宋体"/>
          <w:bCs/>
          <w:color w:val="000000"/>
          <w:sz w:val="32"/>
          <w:szCs w:val="32"/>
          <w:lang w:val="en-US" w:eastAsia="zh-CN"/>
        </w:rPr>
        <w:t>报价作为定标依据</w:t>
      </w:r>
      <w:r>
        <w:rPr>
          <w:rFonts w:hint="eastAsia" w:ascii="仿宋_GB2312" w:hAnsi="宋体" w:eastAsia="仿宋_GB2312" w:cs="宋体"/>
          <w:bCs/>
          <w:color w:val="000000"/>
          <w:sz w:val="32"/>
          <w:szCs w:val="32"/>
          <w:lang w:val="en-US" w:eastAsia="zh-CN"/>
        </w:rPr>
        <w:t>，中标后不以任何理由调整。</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 w:val="0"/>
          <w:bCs/>
          <w:color w:val="auto"/>
          <w:sz w:val="32"/>
          <w:szCs w:val="32"/>
          <w:lang w:val="en-US" w:eastAsia="zh-CN"/>
        </w:rPr>
        <w:t>现场勘察联系人：齐</w:t>
      </w:r>
      <w:r>
        <w:rPr>
          <w:rFonts w:hint="eastAsia" w:ascii="仿宋_GB2312" w:hAnsi="宋体" w:eastAsia="仿宋_GB2312" w:cs="宋体"/>
          <w:bCs/>
          <w:color w:val="000000"/>
          <w:sz w:val="32"/>
          <w:szCs w:val="32"/>
          <w:lang w:val="en-US" w:eastAsia="zh-CN"/>
        </w:rPr>
        <w:t>工13866763586</w:t>
      </w:r>
    </w:p>
    <w:p>
      <w:pPr>
        <w:widowControl/>
        <w:spacing w:line="360" w:lineRule="auto"/>
        <w:jc w:val="left"/>
        <w:rPr>
          <w:rFonts w:ascii="宋体" w:hAnsi="宋体" w:cs="宋体"/>
          <w:color w:val="auto"/>
          <w:kern w:val="0"/>
          <w:sz w:val="24"/>
          <w:szCs w:val="24"/>
        </w:rPr>
      </w:pPr>
      <w:r>
        <w:rPr>
          <w:rFonts w:hint="eastAsia" w:ascii="仿宋_GB2312" w:hAnsi="宋体" w:eastAsia="仿宋_GB2312" w:cs="宋体"/>
          <w:b w:val="0"/>
          <w:bCs/>
          <w:color w:val="auto"/>
          <w:sz w:val="32"/>
          <w:szCs w:val="32"/>
          <w:lang w:val="en-US" w:eastAsia="zh-CN"/>
        </w:rPr>
        <w:t>（工</w:t>
      </w:r>
      <w:r>
        <w:rPr>
          <w:rFonts w:hint="eastAsia" w:ascii="仿宋_GB2312" w:hAnsi="宋体" w:eastAsia="仿宋_GB2312" w:cs="宋体"/>
          <w:bCs/>
          <w:color w:val="auto"/>
          <w:sz w:val="32"/>
          <w:szCs w:val="32"/>
          <w:lang w:val="en-US" w:eastAsia="zh-CN"/>
        </w:rPr>
        <w:t>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2025年6月4日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default"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附件：报价单及响应文件</w:t>
      </w:r>
    </w:p>
    <w:p>
      <w:pPr>
        <w:jc w:val="center"/>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服务需求</w:t>
      </w:r>
    </w:p>
    <w:tbl>
      <w:tblPr>
        <w:tblStyle w:val="12"/>
        <w:tblW w:w="6128" w:type="pct"/>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1514"/>
        <w:gridCol w:w="6660"/>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2" w:type="pct"/>
            <w:tcBorders>
              <w:top w:val="single" w:color="A6A6A6" w:sz="4" w:space="0"/>
              <w:left w:val="single" w:color="A6A6A6" w:sz="4" w:space="0"/>
              <w:bottom w:val="single" w:color="A6A6A6" w:sz="4" w:space="0"/>
              <w:right w:val="single" w:color="A6A6A6" w:sz="4" w:space="0"/>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kern w:val="0"/>
                <w:sz w:val="21"/>
                <w:szCs w:val="21"/>
                <w:u w:val="none"/>
                <w:lang w:val="en-US" w:eastAsia="zh-CN" w:bidi="ar"/>
              </w:rPr>
              <w:t>序号</w:t>
            </w:r>
          </w:p>
        </w:tc>
        <w:tc>
          <w:tcPr>
            <w:tcW w:w="724" w:type="pct"/>
            <w:tcBorders>
              <w:top w:val="single" w:color="A6A6A6" w:sz="4" w:space="0"/>
              <w:left w:val="single" w:color="A6A6A6" w:sz="4" w:space="0"/>
              <w:bottom w:val="single" w:color="A6A6A6" w:sz="4" w:space="0"/>
              <w:right w:val="single" w:color="A6A6A6" w:sz="4" w:space="0"/>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kern w:val="0"/>
                <w:sz w:val="21"/>
                <w:szCs w:val="21"/>
                <w:u w:val="none"/>
                <w:lang w:val="en-US" w:eastAsia="zh-CN" w:bidi="ar"/>
              </w:rPr>
              <w:t>设备名称</w:t>
            </w:r>
          </w:p>
        </w:tc>
        <w:tc>
          <w:tcPr>
            <w:tcW w:w="3188" w:type="pct"/>
            <w:tcBorders>
              <w:top w:val="single" w:color="A6A6A6" w:sz="4" w:space="0"/>
              <w:left w:val="single" w:color="A6A6A6" w:sz="4" w:space="0"/>
              <w:bottom w:val="single" w:color="A6A6A6" w:sz="4" w:space="0"/>
              <w:right w:val="single" w:color="A6A6A6" w:sz="4" w:space="0"/>
            </w:tcBorders>
            <w:shd w:val="clear" w:color="auto" w:fill="F2F2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kern w:val="0"/>
                <w:sz w:val="21"/>
                <w:szCs w:val="21"/>
                <w:u w:val="none"/>
                <w:lang w:val="en-US" w:eastAsia="zh-CN" w:bidi="ar"/>
              </w:rPr>
              <w:t>设备技术参数</w:t>
            </w:r>
          </w:p>
        </w:tc>
        <w:tc>
          <w:tcPr>
            <w:tcW w:w="754" w:type="pct"/>
            <w:tcBorders>
              <w:top w:val="single" w:color="A6A6A6" w:sz="4" w:space="0"/>
              <w:left w:val="single" w:color="A6A6A6" w:sz="4" w:space="0"/>
              <w:bottom w:val="single" w:color="A6A6A6" w:sz="4" w:space="0"/>
              <w:right w:val="single" w:color="A6A6A6" w:sz="4" w:space="0"/>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kern w:val="0"/>
                <w:sz w:val="21"/>
                <w:szCs w:val="21"/>
                <w:u w:val="none"/>
                <w:lang w:val="en-US" w:eastAsia="zh-CN" w:bidi="ar"/>
              </w:rPr>
              <w:t>1</w:t>
            </w:r>
          </w:p>
        </w:tc>
        <w:tc>
          <w:tcPr>
            <w:tcW w:w="724" w:type="pct"/>
            <w:tcBorders>
              <w:top w:val="single" w:color="A6A6A6" w:sz="4" w:space="0"/>
              <w:left w:val="nil"/>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全自动游泳计时服务</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sz w:val="21"/>
                <w:szCs w:val="21"/>
                <w:u w:val="none"/>
              </w:rPr>
              <w:t>系统计时精度为0.001秒(千分之一秒)，显示精度为0.01秒(百分之一秒)，符合FINA竞赛规则的要求。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rPr>
              <w:t>具有游泳训练功能和计时功能，包含训练系统、</w:t>
            </w:r>
            <w:r>
              <w:rPr>
                <w:rFonts w:hint="eastAsia" w:ascii="仿宋_GB2312" w:hAnsi="仿宋_GB2312" w:eastAsia="仿宋_GB2312" w:cs="仿宋_GB2312"/>
                <w:i w:val="0"/>
                <w:iCs w:val="0"/>
                <w:color w:val="404040"/>
                <w:sz w:val="21"/>
                <w:szCs w:val="21"/>
                <w:u w:val="none"/>
                <w:lang w:val="en-US" w:eastAsia="zh-CN"/>
              </w:rPr>
              <w:t>全</w:t>
            </w:r>
            <w:r>
              <w:rPr>
                <w:rFonts w:hint="eastAsia" w:ascii="仿宋_GB2312" w:hAnsi="仿宋_GB2312" w:eastAsia="仿宋_GB2312" w:cs="仿宋_GB2312"/>
                <w:i w:val="0"/>
                <w:iCs w:val="0"/>
                <w:color w:val="404040"/>
                <w:sz w:val="21"/>
                <w:szCs w:val="21"/>
                <w:u w:val="none"/>
              </w:rPr>
              <w:t>自动计时系统、半自动系统，三个系统可独立运行。</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支持同泳道内不同组别竞赛的并组功能,且能分屏实时显示并组成绩。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rPr>
              <w:t>支持计时芯片上比赛数据的存储、备份及拷贝功能。</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40404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2</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sz w:val="21"/>
                <w:szCs w:val="21"/>
                <w:u w:val="none"/>
              </w:rPr>
            </w:pPr>
            <w:r>
              <w:rPr>
                <w:rFonts w:hint="eastAsia" w:ascii="仿宋_GB2312" w:hAnsi="仿宋_GB2312" w:eastAsia="仿宋_GB2312" w:cs="仿宋_GB2312"/>
                <w:i w:val="0"/>
                <w:iCs w:val="0"/>
                <w:color w:val="404040"/>
                <w:sz w:val="21"/>
                <w:szCs w:val="21"/>
                <w:u w:val="none"/>
              </w:rPr>
              <w:t>报名系统及成绩发布系统</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1、严格按照规程要求布置网站内容，方便教练员运动员报名操作，极大增强报名准确性和安全性。</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2、专人服务，对于报名过程中遇到的问题予以解答并及时解决，24小时客服服务。</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kern w:val="0"/>
                <w:sz w:val="21"/>
                <w:szCs w:val="21"/>
                <w:u w:val="none"/>
                <w:lang w:val="en-US" w:eastAsia="zh-CN" w:bidi="ar"/>
              </w:rPr>
              <w:t>3、PC及微信小程序发布成绩方便教练裁判员查看。</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3</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秩序册编排及现场处理</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1、 赛前输出日程、秩序单、代表队名单、人数统计表等比赛必须数据以供单位印刷秩序册。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2、赛中提供比赛专用表格，保证比赛正常顺利进行。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3、上传竞赛日程、秩序单、实时比赛成绩、项目排名、全能成绩、团体总分至微信小程序数智赛事通方便家长教练查询。</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4</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智能检录</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1、一键导入报名数据进行现场检录。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2、支持身份证和现场人脸以及报名人脸数据三方人脸数据对比，支持一检二检。</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404040"/>
                <w:kern w:val="0"/>
                <w:sz w:val="21"/>
                <w:szCs w:val="21"/>
                <w:u w:val="none"/>
                <w:lang w:val="en-US" w:eastAsia="zh-CN" w:bidi="ar"/>
              </w:rPr>
              <w:t>3、支持语音播报检录信息，支持手机推送预检录提醒。</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5</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视频仲裁</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eastAsia="zh-CN"/>
              </w:rPr>
            </w:pPr>
            <w:r>
              <w:rPr>
                <w:rFonts w:hint="eastAsia" w:ascii="仿宋_GB2312" w:hAnsi="仿宋_GB2312" w:eastAsia="仿宋_GB2312" w:cs="仿宋_GB2312"/>
                <w:i w:val="0"/>
                <w:iCs w:val="0"/>
                <w:color w:val="404040"/>
                <w:sz w:val="21"/>
                <w:szCs w:val="21"/>
                <w:u w:val="none"/>
              </w:rPr>
              <w:t>1.对接比赛数据库，匹配赛事信息</w:t>
            </w:r>
            <w:r>
              <w:rPr>
                <w:rFonts w:hint="eastAsia" w:ascii="仿宋_GB2312" w:hAnsi="仿宋_GB2312" w:eastAsia="仿宋_GB2312" w:cs="仿宋_GB2312"/>
                <w:i w:val="0"/>
                <w:iCs w:val="0"/>
                <w:color w:val="40404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eastAsia="zh-CN"/>
              </w:rPr>
            </w:pPr>
            <w:r>
              <w:rPr>
                <w:rFonts w:hint="eastAsia" w:ascii="仿宋_GB2312" w:hAnsi="仿宋_GB2312" w:eastAsia="仿宋_GB2312" w:cs="仿宋_GB2312"/>
                <w:i w:val="0"/>
                <w:iCs w:val="0"/>
                <w:color w:val="404040"/>
                <w:sz w:val="21"/>
                <w:szCs w:val="21"/>
                <w:u w:val="none"/>
              </w:rPr>
              <w:t>2.支持发令计时功能</w:t>
            </w:r>
            <w:r>
              <w:rPr>
                <w:rFonts w:hint="eastAsia" w:ascii="仿宋_GB2312" w:hAnsi="仿宋_GB2312" w:eastAsia="仿宋_GB2312" w:cs="仿宋_GB2312"/>
                <w:i w:val="0"/>
                <w:iCs w:val="0"/>
                <w:color w:val="40404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eastAsia="zh-CN"/>
              </w:rPr>
            </w:pPr>
            <w:r>
              <w:rPr>
                <w:rFonts w:hint="eastAsia" w:ascii="仿宋_GB2312" w:hAnsi="仿宋_GB2312" w:eastAsia="仿宋_GB2312" w:cs="仿宋_GB2312"/>
                <w:i w:val="0"/>
                <w:iCs w:val="0"/>
                <w:color w:val="404040"/>
                <w:sz w:val="21"/>
                <w:szCs w:val="21"/>
                <w:u w:val="none"/>
              </w:rPr>
              <w:t>3.支持数据显示功能</w:t>
            </w:r>
            <w:r>
              <w:rPr>
                <w:rFonts w:hint="eastAsia" w:ascii="仿宋_GB2312" w:hAnsi="仿宋_GB2312" w:eastAsia="仿宋_GB2312" w:cs="仿宋_GB2312"/>
                <w:i w:val="0"/>
                <w:iCs w:val="0"/>
                <w:color w:val="40404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404040"/>
                <w:sz w:val="21"/>
                <w:szCs w:val="21"/>
                <w:u w:val="none"/>
                <w:lang w:eastAsia="zh-CN"/>
              </w:rPr>
            </w:pPr>
            <w:r>
              <w:rPr>
                <w:rFonts w:hint="eastAsia" w:ascii="仿宋_GB2312" w:hAnsi="仿宋_GB2312" w:eastAsia="仿宋_GB2312" w:cs="仿宋_GB2312"/>
                <w:i w:val="0"/>
                <w:iCs w:val="0"/>
                <w:color w:val="404040"/>
                <w:sz w:val="21"/>
                <w:szCs w:val="21"/>
                <w:u w:val="none"/>
              </w:rPr>
              <w:t>4.支持标签定义、查询、回放录像文件</w:t>
            </w:r>
            <w:r>
              <w:rPr>
                <w:rFonts w:hint="eastAsia" w:ascii="仿宋_GB2312" w:hAnsi="仿宋_GB2312" w:eastAsia="仿宋_GB2312" w:cs="仿宋_GB2312"/>
                <w:i w:val="0"/>
                <w:iCs w:val="0"/>
                <w:color w:val="404040"/>
                <w:sz w:val="21"/>
                <w:szCs w:val="21"/>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404040"/>
                <w:sz w:val="21"/>
                <w:szCs w:val="21"/>
                <w:u w:val="none"/>
              </w:rPr>
              <w:t>5.支持单机回放，多机同步回放，支持文字图形标注，配有4U视频工作站及网络适配器等。</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6</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404040"/>
                <w:kern w:val="0"/>
                <w:sz w:val="21"/>
                <w:szCs w:val="21"/>
                <w:u w:val="none"/>
                <w:lang w:val="en-US" w:eastAsia="zh-CN" w:bidi="ar"/>
              </w:rPr>
            </w:pPr>
            <w:r>
              <w:rPr>
                <w:rFonts w:hint="eastAsia" w:ascii="仿宋_GB2312" w:hAnsi="仿宋_GB2312" w:eastAsia="仿宋_GB2312" w:cs="仿宋_GB2312"/>
                <w:i w:val="0"/>
                <w:iCs w:val="0"/>
                <w:color w:val="404040"/>
                <w:kern w:val="0"/>
                <w:sz w:val="21"/>
                <w:szCs w:val="21"/>
                <w:u w:val="none"/>
                <w:lang w:val="en-US" w:eastAsia="zh-CN" w:bidi="ar"/>
              </w:rPr>
              <w:t>视频计时</w:t>
            </w:r>
          </w:p>
        </w:tc>
        <w:tc>
          <w:tcPr>
            <w:tcW w:w="3188"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支持场、项、组同步计时主机数据。</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.支持四摄像头预览功能，精度可达0.01s，可与计时系统同步帧率。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.支持帧数回放、快进、回退功能。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.支持摄像头快速切换查找场项组功能。</w:t>
            </w:r>
          </w:p>
        </w:tc>
        <w:tc>
          <w:tcPr>
            <w:tcW w:w="754"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7</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bCs/>
                <w:i w:val="0"/>
                <w:iCs w:val="0"/>
                <w:color w:val="404040"/>
                <w:kern w:val="0"/>
                <w:sz w:val="21"/>
                <w:szCs w:val="21"/>
                <w:u w:val="none"/>
                <w:lang w:val="en-US" w:eastAsia="zh-CN" w:bidi="ar"/>
              </w:rPr>
            </w:pPr>
            <w:r>
              <w:rPr>
                <w:rFonts w:hint="eastAsia" w:ascii="仿宋_GB2312" w:hAnsi="仿宋_GB2312" w:eastAsia="仿宋_GB2312" w:cs="仿宋_GB2312"/>
                <w:b/>
                <w:bCs/>
                <w:i w:val="0"/>
                <w:iCs w:val="0"/>
                <w:color w:val="404040"/>
                <w:kern w:val="0"/>
                <w:sz w:val="21"/>
                <w:szCs w:val="21"/>
                <w:u w:val="none"/>
                <w:lang w:val="en-US" w:eastAsia="zh-CN" w:bidi="ar"/>
              </w:rPr>
              <w:t>备注</w:t>
            </w:r>
          </w:p>
        </w:tc>
        <w:tc>
          <w:tcPr>
            <w:tcW w:w="3942" w:type="pct"/>
            <w:gridSpan w:val="2"/>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404040"/>
                <w:sz w:val="21"/>
                <w:szCs w:val="21"/>
                <w:u w:val="none"/>
                <w:lang w:val="en-US" w:eastAsia="zh-CN"/>
              </w:rPr>
            </w:pPr>
            <w:r>
              <w:rPr>
                <w:rFonts w:hint="eastAsia" w:ascii="仿宋_GB2312" w:hAnsi="仿宋_GB2312" w:eastAsia="仿宋_GB2312" w:cs="仿宋_GB2312"/>
                <w:b/>
                <w:bCs w:val="0"/>
                <w:sz w:val="21"/>
                <w:szCs w:val="21"/>
                <w:lang w:val="en-US" w:eastAsia="zh-CN"/>
              </w:rPr>
              <w:t>以上为投标响应内容，投标需提供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332" w:type="pct"/>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404040"/>
                <w:sz w:val="21"/>
                <w:szCs w:val="21"/>
                <w:u w:val="none"/>
                <w:lang w:val="en-US" w:eastAsia="zh-CN"/>
              </w:rPr>
            </w:pPr>
            <w:r>
              <w:rPr>
                <w:rFonts w:hint="eastAsia" w:ascii="仿宋_GB2312" w:hAnsi="仿宋_GB2312" w:eastAsia="仿宋_GB2312" w:cs="仿宋_GB2312"/>
                <w:i w:val="0"/>
                <w:iCs w:val="0"/>
                <w:color w:val="404040"/>
                <w:sz w:val="21"/>
                <w:szCs w:val="21"/>
                <w:u w:val="none"/>
                <w:lang w:val="en-US" w:eastAsia="zh-CN"/>
              </w:rPr>
              <w:t>8</w:t>
            </w:r>
          </w:p>
        </w:tc>
        <w:tc>
          <w:tcPr>
            <w:tcW w:w="724" w:type="pct"/>
            <w:tcBorders>
              <w:top w:val="single" w:color="A6A6A6" w:sz="4" w:space="0"/>
              <w:left w:val="nil"/>
              <w:bottom w:val="single" w:color="A6A6A6" w:sz="4" w:space="0"/>
              <w:right w:val="single" w:color="A6A6A6"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bCs/>
                <w:i w:val="0"/>
                <w:iCs w:val="0"/>
                <w:color w:val="404040"/>
                <w:kern w:val="0"/>
                <w:sz w:val="21"/>
                <w:szCs w:val="21"/>
                <w:u w:val="none"/>
                <w:lang w:val="en-US" w:eastAsia="zh-CN" w:bidi="ar"/>
              </w:rPr>
            </w:pPr>
            <w:r>
              <w:rPr>
                <w:rFonts w:hint="eastAsia" w:ascii="仿宋_GB2312" w:hAnsi="仿宋_GB2312" w:eastAsia="仿宋_GB2312" w:cs="仿宋_GB2312"/>
                <w:b/>
                <w:bCs/>
                <w:i w:val="0"/>
                <w:iCs w:val="0"/>
                <w:color w:val="404040"/>
                <w:kern w:val="0"/>
                <w:sz w:val="21"/>
                <w:szCs w:val="21"/>
                <w:u w:val="none"/>
                <w:lang w:val="en-US" w:eastAsia="zh-CN" w:bidi="ar"/>
              </w:rPr>
              <w:t>盖章</w:t>
            </w:r>
          </w:p>
        </w:tc>
        <w:tc>
          <w:tcPr>
            <w:tcW w:w="3942" w:type="pct"/>
            <w:gridSpan w:val="2"/>
            <w:tcBorders>
              <w:top w:val="single" w:color="A6A6A6" w:sz="4" w:space="0"/>
              <w:left w:val="single" w:color="A6A6A6" w:sz="4" w:space="0"/>
              <w:bottom w:val="single" w:color="A6A6A6"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b/>
                <w:bCs w:val="0"/>
                <w:sz w:val="21"/>
                <w:szCs w:val="21"/>
                <w:lang w:val="en-US" w:eastAsia="zh-CN"/>
              </w:rPr>
            </w:pPr>
            <w:bookmarkStart w:id="2" w:name="OLE_LINK4"/>
            <w:r>
              <w:rPr>
                <w:rFonts w:hint="eastAsia" w:ascii="仿宋_GB2312" w:hAnsi="仿宋_GB2312" w:eastAsia="仿宋_GB2312" w:cs="仿宋_GB2312"/>
                <w:b/>
                <w:bCs w:val="0"/>
                <w:sz w:val="21"/>
                <w:szCs w:val="21"/>
                <w:lang w:val="en-US" w:eastAsia="zh-CN"/>
              </w:rPr>
              <w:t>投标人响应以上所有内容，投标人盖章</w:t>
            </w:r>
            <w:bookmarkEnd w:id="2"/>
          </w:p>
        </w:tc>
      </w:tr>
    </w:tbl>
    <w:p>
      <w:pPr>
        <w:jc w:val="center"/>
        <w:rPr>
          <w:rFonts w:hint="default"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br w:type="page"/>
      </w:r>
      <w:r>
        <w:rPr>
          <w:rFonts w:hint="eastAsia" w:ascii="仿宋_GB2312" w:hAnsi="宋体" w:eastAsia="仿宋_GB2312" w:cs="宋体"/>
          <w:b/>
          <w:bCs w:val="0"/>
          <w:color w:val="000000"/>
          <w:sz w:val="32"/>
          <w:szCs w:val="32"/>
          <w:lang w:val="en-US" w:eastAsia="zh-CN"/>
        </w:rPr>
        <w:t>设备清单</w:t>
      </w:r>
    </w:p>
    <w:tbl>
      <w:tblPr>
        <w:tblStyle w:val="13"/>
        <w:tblW w:w="10440" w:type="dxa"/>
        <w:tblInd w:w="-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12"/>
        <w:gridCol w:w="6768"/>
        <w:gridCol w:w="683"/>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序号</w:t>
            </w:r>
          </w:p>
        </w:tc>
        <w:tc>
          <w:tcPr>
            <w:tcW w:w="1512"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名称</w:t>
            </w:r>
          </w:p>
        </w:tc>
        <w:tc>
          <w:tcPr>
            <w:tcW w:w="6768"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产品描述</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数量</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游泳计时</w:t>
            </w:r>
          </w:p>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及训练系</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统</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1、内含计时主机、控制系统、通讯系统和应急电源系统。</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2、系统计时精度为0.001秒(千分之一秒），显示精度为0.01秒（百分之一秒），符合世界泳联竞赛规则的要求。</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3、系统为双机热备，系统自动切换以保证服务的可连续性。</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4、配备了现场直播接口、终点摄像接口、大屏接口、检录接口、成绩发布接口。</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5、支持计时芯片上比赛数据的存储、备份及拷贝功能。</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6、系统24v低电压供电</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游泳运动综合信息管理平台</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一、用于实时处理游泳竞赛过程中的实时数据，包括运动员报名数据、编排数据、实时检录信息处理、电动计时系统、视频仲裁摄像系统、视频计时摄像系统等一体化数据交互平台。</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二、系统架构采用B/S架构，无需安装输入账号即可获取对应的系统功能使用权限。用户权限支持自定义设置，不同的用户拥有不同的使用权限。</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三、系统支持实时产看服务器的CPU、内存、网络和磁盘的使用情况。</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四、系统支持查看和强制下线已连接的设备。</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五、管理平台主机通过硬件级接口计时主机实时通讯，同步赛事数据。</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六、硬件级架构设计，采用是私有协议与计时主机进行实时数据处理。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赛事信息管理：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1、支持添加、删除比赛，修改、导出比赛信息（导出的比赛信息为xlsx文件）。</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2、为保护比赛信息，支持指定的赛事进行秘钥管理。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运动员信息管理：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1、支持选手搜索、重置、新增、修改、批量删除运动员。</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2、可以选择将运动员照片裁剪或裁剪并下发到当前选中的设备。</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3、点击某运动员的名字，弹出该运动员的参赛信息框。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队伍信息管理：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1、支持搜索、查看参赛队伍信息。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2、支持新增、重置、修改批量删除竞赛队伍信息。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比赛场次信息管理：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1、支持通过比赛场次、比赛开始时间搜索。</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2、支持重置、新增、修改、批量删除场次信息。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3、支持导出场秩序单格式为Word格式，便于修改和调整内容。</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4、支持导出当前场次的日程表信息，导出格式为Word格式。</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日程信息管理：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1、支持搜索、新增、修改日程信息。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2、日程同步服务器日程功能，同步服务器日程会从服务器数据库中拉取当前页面数据。</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3、针对比赛记录，支持对比赛记录进行新增、修改、删除、绑定比赛记录等功能。</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裁判信息管理：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1、支持搜索、重置、新增、裁判员信息。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2、裁判员信息录入包含姓名、性别、证件、岗位类型、个人简介等信息。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3、支持裁判权限配置功能，权限包含切换组次、预备/结束比赛、终止比赛、重置泳道数据、开启/禁用泳道、勾选犯规/弃权/测验、操作大屏、确认成绩、并组、高级权限等功能。</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游泳大屏</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显示软件</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1、使用网络与主机通讯，部署简单，运行稳定，比赛信息实时显示。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2、界面大小，位置、背景颜色、显示内容均可定制，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3、支持所有映射方式的场馆大屏。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4、具</w:t>
            </w:r>
            <w:r>
              <w:rPr>
                <w:rFonts w:hint="eastAsia" w:ascii="仿宋_GB2312" w:hAnsi="仿宋_GB2312" w:eastAsia="仿宋_GB2312" w:cs="仿宋_GB2312"/>
                <w:color w:val="000000"/>
                <w:kern w:val="0"/>
                <w:sz w:val="21"/>
                <w:szCs w:val="21"/>
                <w:highlight w:val="none"/>
                <w:lang w:val="en-US" w:eastAsia="zh-CN" w:bidi="ar"/>
              </w:rPr>
              <w:t>备赛前信息编辑显示，赛时</w:t>
            </w:r>
            <w:r>
              <w:rPr>
                <w:rFonts w:hint="eastAsia" w:ascii="仿宋_GB2312" w:hAnsi="仿宋_GB2312" w:eastAsia="仿宋_GB2312" w:cs="仿宋_GB2312"/>
                <w:color w:val="000000"/>
                <w:kern w:val="0"/>
                <w:sz w:val="21"/>
                <w:szCs w:val="21"/>
                <w:lang w:val="en-US" w:eastAsia="zh-CN" w:bidi="ar"/>
              </w:rPr>
              <w:t xml:space="preserve">颁奖信息显示，赛时计时记分同步显示。 </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游泳编排</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软件</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1、支持各种不同竞赛模式的编排形式。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2、具有表册输出、成绩登录、多层次记录识别、信息统计等功能。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3.按功能进行模块设计，结构清晰，便于操作和掌握。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4.与中国游泳协会的游泳竞赛通用编排记录软件系统完全兼容。</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5</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标准触摸</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板</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1.符合国际泳联(FINA)标准。尺寸规格约2400*900*10(单位 m m )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2.全板无盲点，灵敏度为2-3kg。</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3.反应速度快，可在微秒级响应。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4.表面采用了特殊工艺的PVC材质，防滑耐磨，可长期在池内水中使用。</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20</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6</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标准触摸</w:t>
            </w: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板托架车</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1.可安全</w:t>
            </w:r>
            <w:r>
              <w:rPr>
                <w:rFonts w:hint="eastAsia" w:ascii="仿宋_GB2312" w:hAnsi="仿宋_GB2312" w:eastAsia="仿宋_GB2312" w:cs="仿宋_GB2312"/>
                <w:color w:val="000000"/>
                <w:kern w:val="0"/>
                <w:sz w:val="21"/>
                <w:szCs w:val="21"/>
                <w:highlight w:val="none"/>
                <w:lang w:val="en-US" w:eastAsia="zh-CN" w:bidi="ar"/>
              </w:rPr>
              <w:t>承托和运输最多12块标准触摸板。2、防销，配备专用捆绑带，确保在</w:t>
            </w:r>
            <w:r>
              <w:rPr>
                <w:rFonts w:hint="eastAsia" w:ascii="仿宋_GB2312" w:hAnsi="仿宋_GB2312" w:eastAsia="仿宋_GB2312" w:cs="仿宋_GB2312"/>
                <w:color w:val="000000"/>
                <w:kern w:val="0"/>
                <w:sz w:val="21"/>
                <w:szCs w:val="21"/>
                <w:lang w:val="en-US" w:eastAsia="zh-CN" w:bidi="ar"/>
              </w:rPr>
              <w:t>运输过程中不会脱落。3、配备静音滑轮，具有制车功能。</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7</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接力出发</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判断器</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1、符合国际泳联(FINA)标准。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2、可响应10kg以上的力，全板无盲点。 </w:t>
            </w:r>
          </w:p>
          <w:p>
            <w:pPr>
              <w:keepNext w:val="0"/>
              <w:keepLines w:val="0"/>
              <w:widowControl/>
              <w:suppressLineNumbers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3、提供接力项目运动员交接棒时间，可在微秒级响应， </w:t>
            </w:r>
          </w:p>
          <w:p>
            <w:pPr>
              <w:keepNext w:val="0"/>
              <w:keepLines w:val="0"/>
              <w:widowControl/>
              <w:suppressLineNumbers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4、前端安装与发令系统同步的全彩LED灯，以更灵活快捷的方式提示运动员起跳。 </w:t>
            </w:r>
          </w:p>
          <w:p>
            <w:pPr>
              <w:keepNext w:val="0"/>
              <w:keepLines w:val="0"/>
              <w:widowControl/>
              <w:suppressLineNumbers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5、灯带可显示每组比赛前三名名次。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highlight w:val="none"/>
                <w:lang w:val="en-US" w:eastAsia="zh-CN" w:bidi="ar"/>
              </w:rPr>
              <w:t>6、表面</w:t>
            </w:r>
            <w:r>
              <w:rPr>
                <w:rFonts w:hint="eastAsia" w:ascii="仿宋_GB2312" w:hAnsi="仿宋_GB2312" w:eastAsia="仿宋_GB2312" w:cs="仿宋_GB2312"/>
                <w:color w:val="000000"/>
                <w:kern w:val="0"/>
                <w:sz w:val="21"/>
                <w:szCs w:val="21"/>
                <w:lang w:val="en-US" w:eastAsia="zh-CN" w:bidi="ar"/>
              </w:rPr>
              <w:t>平整且有防滑层，没有异物突出。</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20</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8</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接力出发</w:t>
            </w: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判断器托</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架车</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1、可安全承托和运输最多22个接力出发判断器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2、表面采用</w:t>
            </w:r>
            <w:r>
              <w:rPr>
                <w:rFonts w:hint="eastAsia" w:ascii="仿宋_GB2312" w:hAnsi="仿宋_GB2312" w:eastAsia="仿宋_GB2312" w:cs="仿宋_GB2312"/>
                <w:color w:val="000000"/>
                <w:kern w:val="0"/>
                <w:sz w:val="21"/>
                <w:szCs w:val="21"/>
                <w:highlight w:val="none"/>
                <w:lang w:val="en-US" w:eastAsia="zh-CN" w:bidi="ar"/>
              </w:rPr>
              <w:t>防锈处理，配合专用拥绑</w:t>
            </w:r>
            <w:r>
              <w:rPr>
                <w:rFonts w:hint="eastAsia" w:ascii="仿宋_GB2312" w:hAnsi="仿宋_GB2312" w:eastAsia="仿宋_GB2312" w:cs="仿宋_GB2312"/>
                <w:color w:val="000000"/>
                <w:kern w:val="0"/>
                <w:sz w:val="21"/>
                <w:szCs w:val="21"/>
                <w:lang w:val="en-US" w:eastAsia="zh-CN" w:bidi="ar"/>
              </w:rPr>
              <w:t xml:space="preserve">带，确保在运输过程中不会脱落。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3、配备静音滑轮，具有测车功能。</w:t>
            </w:r>
          </w:p>
        </w:tc>
        <w:tc>
          <w:tcPr>
            <w:tcW w:w="683"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w:t>
            </w:r>
          </w:p>
          <w:p>
            <w:pPr>
              <w:spacing w:line="360" w:lineRule="exact"/>
              <w:jc w:val="center"/>
              <w:rPr>
                <w:rFonts w:hint="eastAsia" w:ascii="仿宋_GB2312" w:hAnsi="仿宋_GB2312" w:eastAsia="仿宋_GB2312" w:cs="仿宋_GB2312"/>
                <w:kern w:val="0"/>
                <w:sz w:val="21"/>
                <w:szCs w:val="21"/>
                <w:lang w:val="en-US" w:eastAsia="zh-CN" w:bidi="ar"/>
              </w:rPr>
            </w:pP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9</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泳道控制</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器</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1、计时精度0.001s，符合世界泳联标准。</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2、自带20w发令喇叭。</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4、配备触摸彩色液晶屏，可显示比赛成绩，如触板成绩、接力出发判断器时间、盲表时间及设备状态。</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5、接口丰富。具有盲表接口、出发判断器接口、触摸板接口、水下报趟器接口、扬声器接口。</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6、具有设备自检功能。</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7、防水设计，适应游泳场馆使用。</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9</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游泳发令</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系统</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 配置手持发令终端，具有喊话和发令功能。</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 配置七寸高亮触摸屏幕，可触摸调节音量。</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 发令时屏幕高亮显示，且显示项目、分组和发令状态。</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 配备发令器，具有防误触保护，且符合裁判员的发令习惯。</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 配置超低延迟发令装置，延迟值达到微秒级（百万分之一秒）</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 配置高亮360度LED闪光灯，发令时高亮显示，发令灯的颜色可根据需要定制。</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7、具有召回功能。</w:t>
            </w:r>
          </w:p>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8、支持100w发令喇叭。</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8、防水设计，可固定在支架上，配备专用支架。</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10</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防水扬声</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器</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1、种立双路200,40。</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2、体积小，便于安装。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3、每个泳道均配置独立喇叭。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4、音量可调节。</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5、防水防潮，可在潮湿环境下长期使用。</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20</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11</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盲表</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1、支持送近端分段计时。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2、每泳道可设配置3块言表。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3、盲表全防水。</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4、使用高强度材料制作，防摔。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5、外形采用人体工学设计。</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30</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12</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比赛成绩</w:t>
            </w:r>
          </w:p>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处理专用</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打印机</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1、热敏打印机可实时打印计时芯片产生的成绩，如：出发反应时，触板成绩，盲表成绩等信息。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2、热敏打印机，是比赛后期争议及仲裁的重要依据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3、无需安装驱动，即插即用，低电压供电。</w:t>
            </w:r>
          </w:p>
        </w:tc>
        <w:tc>
          <w:tcPr>
            <w:tcW w:w="683"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w:t>
            </w:r>
          </w:p>
          <w:p>
            <w:pPr>
              <w:spacing w:line="360" w:lineRule="exact"/>
              <w:jc w:val="center"/>
              <w:rPr>
                <w:rFonts w:hint="eastAsia" w:ascii="仿宋_GB2312" w:hAnsi="仿宋_GB2312" w:eastAsia="仿宋_GB2312" w:cs="仿宋_GB2312"/>
                <w:kern w:val="0"/>
                <w:sz w:val="21"/>
                <w:szCs w:val="21"/>
                <w:lang w:val="en-US" w:eastAsia="zh-CN" w:bidi="ar"/>
              </w:rPr>
            </w:pP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13</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千光交换</w:t>
            </w:r>
          </w:p>
          <w:p>
            <w:pPr>
              <w:keepNext w:val="0"/>
              <w:keepLines w:val="0"/>
              <w:widowControl/>
              <w:suppressLineNumbers w:val="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机</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1、采用双核处理器，千兆网口。</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2、比赛现场编排计算机、大屏显示计算机、成绩发布计算机、计时主机数据传输使用。</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14</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数据传输</w:t>
            </w: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线缆</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1、线缆与控制器之间使用防水接头。 </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2、分段式设计，可根据场地扩展，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3、插孔使用防呆设计，避免外设连接错误。</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15</w:t>
            </w:r>
          </w:p>
        </w:tc>
        <w:tc>
          <w:tcPr>
            <w:tcW w:w="1512" w:type="dxa"/>
            <w:noWrap w:val="0"/>
            <w:vAlign w:val="center"/>
          </w:tcPr>
          <w:p>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配件专用</w:t>
            </w:r>
          </w:p>
          <w:p>
            <w:pPr>
              <w:keepNext w:val="0"/>
              <w:keepLines w:val="0"/>
              <w:widowControl/>
              <w:suppressLineNumbers w:val="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箱</w:t>
            </w:r>
          </w:p>
        </w:tc>
        <w:tc>
          <w:tcPr>
            <w:tcW w:w="6768" w:type="dxa"/>
            <w:noWrap w:val="0"/>
            <w:vAlign w:val="center"/>
          </w:tcPr>
          <w:p>
            <w:pPr>
              <w:keepNext w:val="0"/>
              <w:keepLines w:val="0"/>
              <w:widowControl/>
              <w:suppressLineNumbers w:val="0"/>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1、收纳泳道控制器、官表，发令系统、防水扬声器等配件的专用包装箱。</w:t>
            </w:r>
          </w:p>
          <w:p>
            <w:pPr>
              <w:keepNext w:val="0"/>
              <w:keepLines w:val="0"/>
              <w:widowControl/>
              <w:suppressLineNumbers w:val="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 xml:space="preserve">2、全封闭式箱体，防尘防潮，内有缓冲保护，适合 </w:t>
            </w:r>
          </w:p>
          <w:p>
            <w:pPr>
              <w:keepNext w:val="0"/>
              <w:keepLines w:val="0"/>
              <w:widowControl/>
              <w:suppressLineNumbers w:val="0"/>
              <w:jc w:val="both"/>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运输。</w:t>
            </w:r>
          </w:p>
        </w:tc>
        <w:tc>
          <w:tcPr>
            <w:tcW w:w="683"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781" w:type="dxa"/>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noWrap w:val="0"/>
            <w:vAlign w:val="center"/>
          </w:tcPr>
          <w:p>
            <w:pPr>
              <w:keepNext w:val="0"/>
              <w:keepLines w:val="0"/>
              <w:widowControl/>
              <w:suppressLineNumbers w:val="0"/>
              <w:jc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赛事时间</w:t>
            </w:r>
          </w:p>
        </w:tc>
        <w:tc>
          <w:tcPr>
            <w:tcW w:w="8232" w:type="dxa"/>
            <w:gridSpan w:val="3"/>
            <w:noWrap w:val="0"/>
            <w:vAlign w:val="center"/>
          </w:tcPr>
          <w:p>
            <w:pPr>
              <w:spacing w:line="360" w:lineRule="exact"/>
              <w:jc w:val="center"/>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2025年6月14日至6月19日（至少提前2天完成设备安装及调试）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noWrap w:val="0"/>
            <w:vAlign w:val="center"/>
          </w:tcPr>
          <w:p>
            <w:pPr>
              <w:spacing w:line="360" w:lineRule="exact"/>
              <w:jc w:val="center"/>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单价</w:t>
            </w:r>
          </w:p>
        </w:tc>
        <w:tc>
          <w:tcPr>
            <w:tcW w:w="8232" w:type="dxa"/>
            <w:gridSpan w:val="3"/>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bookmarkStart w:id="3" w:name="OLE_LINK2"/>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元/天</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gridSpan w:val="2"/>
            <w:noWrap w:val="0"/>
            <w:vAlign w:val="center"/>
          </w:tcPr>
          <w:p>
            <w:pPr>
              <w:spacing w:line="360" w:lineRule="exact"/>
              <w:jc w:val="center"/>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总价</w:t>
            </w:r>
          </w:p>
        </w:tc>
        <w:tc>
          <w:tcPr>
            <w:tcW w:w="8232" w:type="dxa"/>
            <w:gridSpan w:val="3"/>
            <w:noWrap w:val="0"/>
            <w:vAlign w:val="center"/>
          </w:tcPr>
          <w:p>
            <w:pPr>
              <w:spacing w:line="36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（大写）：</w:t>
            </w:r>
            <w:bookmarkStart w:id="4" w:name="OLE_LINK3"/>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元</w:t>
            </w:r>
            <w:bookmarkEnd w:id="4"/>
            <w:r>
              <w:rPr>
                <w:rFonts w:hint="eastAsia" w:ascii="仿宋_GB2312" w:hAnsi="仿宋_GB2312" w:eastAsia="仿宋_GB2312" w:cs="仿宋_GB2312"/>
                <w:kern w:val="0"/>
                <w:sz w:val="21"/>
                <w:szCs w:val="21"/>
                <w:lang w:val="en-US" w:eastAsia="zh-CN" w:bidi="ar"/>
              </w:rPr>
              <w:t xml:space="preserve"> ，（小写）：</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元</w:t>
            </w:r>
            <w:bookmarkStart w:id="5" w:name="OLE_LINK1"/>
            <w:r>
              <w:rPr>
                <w:rFonts w:hint="eastAsia" w:ascii="仿宋_GB2312" w:hAnsi="仿宋_GB2312" w:eastAsia="仿宋_GB2312" w:cs="仿宋_GB2312"/>
                <w:kern w:val="0"/>
                <w:sz w:val="21"/>
                <w:szCs w:val="21"/>
                <w:lang w:val="en-US" w:eastAsia="zh-CN" w:bidi="ar"/>
              </w:rPr>
              <w:t>（含增值税专用发票</w:t>
            </w:r>
            <w:r>
              <w:rPr>
                <w:rFonts w:hint="eastAsia" w:ascii="仿宋" w:hAnsi="仿宋" w:eastAsia="仿宋" w:cs="仿宋"/>
                <w:sz w:val="28"/>
                <w:szCs w:val="28"/>
                <w:u w:val="single"/>
                <w:lang w:val="en-US" w:eastAsia="zh-CN"/>
              </w:rPr>
              <w:t xml:space="preserve">   </w:t>
            </w:r>
            <w:r>
              <w:rPr>
                <w:rFonts w:hint="eastAsia" w:ascii="仿宋_GB2312" w:hAnsi="仿宋_GB2312" w:eastAsia="仿宋_GB2312" w:cs="仿宋_GB2312"/>
                <w:kern w:val="0"/>
                <w:sz w:val="21"/>
                <w:szCs w:val="21"/>
                <w:lang w:val="en-US" w:eastAsia="zh-CN" w:bidi="ar"/>
              </w:rPr>
              <w:t>%税金）</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208" w:type="dxa"/>
            <w:gridSpan w:val="2"/>
            <w:noWrap w:val="0"/>
            <w:vAlign w:val="center"/>
          </w:tcPr>
          <w:p>
            <w:pPr>
              <w:spacing w:line="360" w:lineRule="exact"/>
              <w:jc w:val="center"/>
              <w:rPr>
                <w:rFonts w:hint="default" w:ascii="仿宋_GB2312" w:hAnsi="仿宋_GB2312" w:eastAsia="仿宋_GB2312" w:cs="仿宋_GB2312"/>
                <w:b/>
                <w:bCs/>
                <w:kern w:val="0"/>
                <w:sz w:val="21"/>
                <w:szCs w:val="21"/>
                <w:lang w:val="en-US" w:eastAsia="zh-CN" w:bidi="ar"/>
              </w:rPr>
            </w:pPr>
            <w:r>
              <w:rPr>
                <w:rFonts w:hint="eastAsia" w:ascii="仿宋_GB2312" w:hAnsi="仿宋_GB2312" w:eastAsia="仿宋_GB2312" w:cs="仿宋_GB2312"/>
                <w:b/>
                <w:bCs/>
                <w:kern w:val="0"/>
                <w:sz w:val="21"/>
                <w:szCs w:val="21"/>
                <w:lang w:val="en-US" w:eastAsia="zh-CN" w:bidi="ar"/>
              </w:rPr>
              <w:t>单位名称、联系人</w:t>
            </w:r>
          </w:p>
        </w:tc>
        <w:tc>
          <w:tcPr>
            <w:tcW w:w="8232" w:type="dxa"/>
            <w:gridSpan w:val="3"/>
            <w:noWrap w:val="0"/>
            <w:vAlign w:val="center"/>
          </w:tcPr>
          <w:p>
            <w:pPr>
              <w:spacing w:line="360" w:lineRule="exact"/>
              <w:jc w:val="center"/>
              <w:rPr>
                <w:rFonts w:hint="default" w:ascii="仿宋_GB2312" w:hAnsi="仿宋_GB2312" w:eastAsia="仿宋_GB2312" w:cs="仿宋_GB2312"/>
                <w:b/>
                <w:bCs/>
                <w:kern w:val="0"/>
                <w:sz w:val="21"/>
                <w:szCs w:val="21"/>
                <w:u w:val="single"/>
                <w:lang w:val="en-US" w:eastAsia="zh-CN" w:bidi="ar"/>
              </w:rPr>
            </w:pPr>
            <w:r>
              <w:rPr>
                <w:rFonts w:hint="eastAsia" w:ascii="仿宋_GB2312" w:hAnsi="仿宋_GB2312" w:eastAsia="仿宋_GB2312" w:cs="仿宋_GB2312"/>
                <w:b/>
                <w:bCs/>
                <w:kern w:val="0"/>
                <w:sz w:val="21"/>
                <w:szCs w:val="21"/>
                <w:u w:val="single"/>
                <w:lang w:val="en-US" w:eastAsia="zh-CN" w:bidi="ar"/>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08" w:type="dxa"/>
            <w:gridSpan w:val="2"/>
            <w:noWrap w:val="0"/>
            <w:vAlign w:val="center"/>
          </w:tcPr>
          <w:p>
            <w:pPr>
              <w:spacing w:line="360" w:lineRule="exact"/>
              <w:jc w:val="center"/>
              <w:rPr>
                <w:rFonts w:hint="default" w:ascii="仿宋_GB2312" w:hAnsi="仿宋_GB2312" w:eastAsia="仿宋_GB2312" w:cs="仿宋_GB2312"/>
                <w:b/>
                <w:bCs/>
                <w:kern w:val="0"/>
                <w:sz w:val="21"/>
                <w:szCs w:val="21"/>
                <w:lang w:val="en-US" w:eastAsia="zh-CN" w:bidi="ar"/>
              </w:rPr>
            </w:pPr>
            <w:r>
              <w:rPr>
                <w:rFonts w:hint="eastAsia" w:ascii="仿宋_GB2312" w:hAnsi="仿宋_GB2312" w:eastAsia="仿宋_GB2312" w:cs="仿宋_GB2312"/>
                <w:b/>
                <w:bCs/>
                <w:kern w:val="0"/>
                <w:sz w:val="21"/>
                <w:szCs w:val="21"/>
                <w:lang w:val="en-US" w:eastAsia="zh-CN" w:bidi="ar"/>
              </w:rPr>
              <w:t>备注</w:t>
            </w:r>
          </w:p>
        </w:tc>
        <w:tc>
          <w:tcPr>
            <w:tcW w:w="8232" w:type="dxa"/>
            <w:gridSpan w:val="3"/>
            <w:noWrap w:val="0"/>
            <w:vAlign w:val="center"/>
          </w:tcPr>
          <w:p>
            <w:pPr>
              <w:spacing w:line="360" w:lineRule="exact"/>
              <w:jc w:val="center"/>
              <w:rPr>
                <w:rFonts w:hint="default" w:ascii="仿宋_GB2312" w:hAnsi="仿宋_GB2312" w:eastAsia="仿宋_GB2312" w:cs="仿宋_GB2312"/>
                <w:b/>
                <w:bCs/>
                <w:kern w:val="0"/>
                <w:sz w:val="21"/>
                <w:szCs w:val="21"/>
                <w:lang w:val="en-US" w:eastAsia="zh-CN" w:bidi="ar"/>
              </w:rPr>
            </w:pPr>
            <w:r>
              <w:rPr>
                <w:rFonts w:hint="eastAsia" w:ascii="仿宋_GB2312" w:hAnsi="仿宋_GB2312" w:eastAsia="仿宋_GB2312" w:cs="仿宋_GB2312"/>
                <w:b/>
                <w:bCs w:val="0"/>
                <w:sz w:val="21"/>
                <w:szCs w:val="21"/>
                <w:lang w:val="en-US" w:eastAsia="zh-CN"/>
              </w:rPr>
              <w:t>投标人响应以上所有内容</w:t>
            </w:r>
          </w:p>
        </w:tc>
      </w:tr>
    </w:tbl>
    <w:p>
      <w:pPr>
        <w:jc w:val="both"/>
        <w:rPr>
          <w:rFonts w:hint="default"/>
          <w:lang w:val="en-US" w:eastAsia="zh-CN"/>
        </w:rPr>
      </w:pPr>
    </w:p>
    <w:p>
      <w:pPr>
        <w:jc w:val="both"/>
        <w:rPr>
          <w:rFonts w:hint="eastAsia" w:ascii="仿宋_GB2312" w:hAnsi="仿宋_GB2312" w:eastAsia="仿宋_GB2312" w:cs="仿宋_GB2312"/>
          <w:b/>
          <w:bCs/>
          <w:sz w:val="24"/>
          <w:szCs w:val="24"/>
          <w:lang w:val="en-US" w:eastAsia="zh-CN"/>
        </w:rPr>
      </w:pPr>
      <w:bookmarkStart w:id="6" w:name="OLE_LINK11"/>
      <w:bookmarkStart w:id="7" w:name="OLE_LINK6"/>
      <w:r>
        <w:rPr>
          <w:rFonts w:hint="eastAsia" w:ascii="仿宋_GB2312" w:hAnsi="仿宋_GB2312" w:eastAsia="仿宋_GB2312" w:cs="仿宋_GB2312"/>
          <w:b/>
          <w:bCs/>
          <w:sz w:val="24"/>
          <w:szCs w:val="24"/>
          <w:lang w:val="en-US" w:eastAsia="zh-CN"/>
        </w:rPr>
        <w:t>注：以上附件文件投标时需提供盖章原件资料。</w:t>
      </w:r>
      <w:bookmarkEnd w:id="6"/>
      <w:bookmarkEnd w:id="7"/>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7E668975-2C81-4453-819E-BFC3FB652FDC}"/>
  </w:font>
  <w:font w:name="方正小标宋简体">
    <w:panose1 w:val="03000509000000000000"/>
    <w:charset w:val="86"/>
    <w:family w:val="auto"/>
    <w:pitch w:val="default"/>
    <w:sig w:usb0="00000001" w:usb1="080E0000" w:usb2="00000000" w:usb3="00000000" w:csb0="00040000" w:csb1="00000000"/>
    <w:embedRegular r:id="rId2" w:fontKey="{3BD2F1E8-1F47-49CB-9C64-3684D3B5A81C}"/>
  </w:font>
  <w:font w:name="仿宋">
    <w:panose1 w:val="02010609060101010101"/>
    <w:charset w:val="86"/>
    <w:family w:val="modern"/>
    <w:pitch w:val="default"/>
    <w:sig w:usb0="800002BF" w:usb1="38CF7CFA" w:usb2="00000016" w:usb3="00000000" w:csb0="00040001" w:csb1="00000000"/>
    <w:embedRegular r:id="rId3" w:fontKey="{F0142EEB-21F0-4800-832B-6D970EF7AD8C}"/>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5D00F"/>
    <w:multiLevelType w:val="singleLevel"/>
    <w:tmpl w:val="0855D00F"/>
    <w:lvl w:ilvl="0" w:tentative="0">
      <w:start w:val="1"/>
      <w:numFmt w:val="decimal"/>
      <w:suff w:val="space"/>
      <w:lvlText w:val="%1、"/>
      <w:lvlJc w:val="left"/>
    </w:lvl>
  </w:abstractNum>
  <w:abstractNum w:abstractNumId="1">
    <w:nsid w:val="15A22EB3"/>
    <w:multiLevelType w:val="singleLevel"/>
    <w:tmpl w:val="15A22EB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33A2A"/>
    <w:rsid w:val="00364B69"/>
    <w:rsid w:val="004A365B"/>
    <w:rsid w:val="004B5C5D"/>
    <w:rsid w:val="004F091D"/>
    <w:rsid w:val="006A48CE"/>
    <w:rsid w:val="00750DFE"/>
    <w:rsid w:val="00805AAB"/>
    <w:rsid w:val="008C32F5"/>
    <w:rsid w:val="00BC364E"/>
    <w:rsid w:val="00CE337E"/>
    <w:rsid w:val="00CF0389"/>
    <w:rsid w:val="00D06D08"/>
    <w:rsid w:val="00E2644A"/>
    <w:rsid w:val="00E60556"/>
    <w:rsid w:val="01714809"/>
    <w:rsid w:val="01CC35CF"/>
    <w:rsid w:val="022E6FD2"/>
    <w:rsid w:val="029C4700"/>
    <w:rsid w:val="035241C7"/>
    <w:rsid w:val="03887BE8"/>
    <w:rsid w:val="03EC0177"/>
    <w:rsid w:val="043859E9"/>
    <w:rsid w:val="050A080F"/>
    <w:rsid w:val="05364F30"/>
    <w:rsid w:val="06400C4E"/>
    <w:rsid w:val="06687DD8"/>
    <w:rsid w:val="069B7C33"/>
    <w:rsid w:val="07296214"/>
    <w:rsid w:val="07632E46"/>
    <w:rsid w:val="0781507A"/>
    <w:rsid w:val="078E7D76"/>
    <w:rsid w:val="07C6669D"/>
    <w:rsid w:val="08907C6B"/>
    <w:rsid w:val="08A74636"/>
    <w:rsid w:val="091D0DD3"/>
    <w:rsid w:val="0AB3379D"/>
    <w:rsid w:val="0AB72D32"/>
    <w:rsid w:val="0BB35A1E"/>
    <w:rsid w:val="0BC913D8"/>
    <w:rsid w:val="0C252478"/>
    <w:rsid w:val="0C297D00"/>
    <w:rsid w:val="0C721436"/>
    <w:rsid w:val="0CC775E0"/>
    <w:rsid w:val="0CF14001"/>
    <w:rsid w:val="0D036E8E"/>
    <w:rsid w:val="0F712489"/>
    <w:rsid w:val="0F9F0794"/>
    <w:rsid w:val="0FED2F8F"/>
    <w:rsid w:val="1017327F"/>
    <w:rsid w:val="106C1290"/>
    <w:rsid w:val="10857989"/>
    <w:rsid w:val="10D85020"/>
    <w:rsid w:val="113A4E32"/>
    <w:rsid w:val="115E0C9F"/>
    <w:rsid w:val="116A39C2"/>
    <w:rsid w:val="11CC783A"/>
    <w:rsid w:val="122D02D9"/>
    <w:rsid w:val="142671CA"/>
    <w:rsid w:val="143622C9"/>
    <w:rsid w:val="14AD601D"/>
    <w:rsid w:val="14FA03E6"/>
    <w:rsid w:val="15792DB8"/>
    <w:rsid w:val="15D123C9"/>
    <w:rsid w:val="16D43419"/>
    <w:rsid w:val="17542220"/>
    <w:rsid w:val="17A56C6F"/>
    <w:rsid w:val="18117D55"/>
    <w:rsid w:val="182C43A0"/>
    <w:rsid w:val="184620F4"/>
    <w:rsid w:val="197F20CD"/>
    <w:rsid w:val="1AB4549F"/>
    <w:rsid w:val="1B732509"/>
    <w:rsid w:val="1C387EE3"/>
    <w:rsid w:val="1E0122EB"/>
    <w:rsid w:val="1E994128"/>
    <w:rsid w:val="1ED55F80"/>
    <w:rsid w:val="1F106FB8"/>
    <w:rsid w:val="1F903C55"/>
    <w:rsid w:val="1FC92B06"/>
    <w:rsid w:val="22132138"/>
    <w:rsid w:val="224602F1"/>
    <w:rsid w:val="225136E8"/>
    <w:rsid w:val="22FC1C17"/>
    <w:rsid w:val="23014331"/>
    <w:rsid w:val="241E5CD3"/>
    <w:rsid w:val="24303B26"/>
    <w:rsid w:val="243C2F07"/>
    <w:rsid w:val="25951FC5"/>
    <w:rsid w:val="25B74631"/>
    <w:rsid w:val="25B763DF"/>
    <w:rsid w:val="25BC425B"/>
    <w:rsid w:val="261849A4"/>
    <w:rsid w:val="26AC3A6A"/>
    <w:rsid w:val="270F7B55"/>
    <w:rsid w:val="27441EF5"/>
    <w:rsid w:val="283A6E54"/>
    <w:rsid w:val="289B707E"/>
    <w:rsid w:val="29303EC2"/>
    <w:rsid w:val="295B52D4"/>
    <w:rsid w:val="29AC2209"/>
    <w:rsid w:val="2A755803"/>
    <w:rsid w:val="2AF174DE"/>
    <w:rsid w:val="2B6A7A50"/>
    <w:rsid w:val="2B7C3927"/>
    <w:rsid w:val="2C0204B3"/>
    <w:rsid w:val="2C367154"/>
    <w:rsid w:val="2C8A6DAD"/>
    <w:rsid w:val="2D016192"/>
    <w:rsid w:val="2E690493"/>
    <w:rsid w:val="2EE95130"/>
    <w:rsid w:val="300A3C19"/>
    <w:rsid w:val="304E5B92"/>
    <w:rsid w:val="30ED1751"/>
    <w:rsid w:val="311A44C9"/>
    <w:rsid w:val="313F44D5"/>
    <w:rsid w:val="315D146E"/>
    <w:rsid w:val="320209E2"/>
    <w:rsid w:val="32565317"/>
    <w:rsid w:val="32980F88"/>
    <w:rsid w:val="32EB3B6C"/>
    <w:rsid w:val="330437DB"/>
    <w:rsid w:val="341B2F1E"/>
    <w:rsid w:val="345D45F6"/>
    <w:rsid w:val="34F211E2"/>
    <w:rsid w:val="34FA73CA"/>
    <w:rsid w:val="38131DD5"/>
    <w:rsid w:val="38237904"/>
    <w:rsid w:val="384635F3"/>
    <w:rsid w:val="392C4C45"/>
    <w:rsid w:val="394972BB"/>
    <w:rsid w:val="39C3314D"/>
    <w:rsid w:val="3AC436E5"/>
    <w:rsid w:val="3AD63800"/>
    <w:rsid w:val="3B274932"/>
    <w:rsid w:val="3B556027"/>
    <w:rsid w:val="3CC05FFD"/>
    <w:rsid w:val="3CCD108D"/>
    <w:rsid w:val="3D4B0B2C"/>
    <w:rsid w:val="3F7E7ECC"/>
    <w:rsid w:val="3FF50BC7"/>
    <w:rsid w:val="40956EC5"/>
    <w:rsid w:val="40EA4BD9"/>
    <w:rsid w:val="415F0D99"/>
    <w:rsid w:val="41900320"/>
    <w:rsid w:val="41BB6E00"/>
    <w:rsid w:val="4208598F"/>
    <w:rsid w:val="4286740D"/>
    <w:rsid w:val="43612911"/>
    <w:rsid w:val="43A473B1"/>
    <w:rsid w:val="45B9143A"/>
    <w:rsid w:val="46933EA7"/>
    <w:rsid w:val="469D1BE4"/>
    <w:rsid w:val="46D94EA1"/>
    <w:rsid w:val="46F22218"/>
    <w:rsid w:val="47864368"/>
    <w:rsid w:val="47CF04EC"/>
    <w:rsid w:val="4870619C"/>
    <w:rsid w:val="48B22A97"/>
    <w:rsid w:val="495135A4"/>
    <w:rsid w:val="49B303BC"/>
    <w:rsid w:val="49E07403"/>
    <w:rsid w:val="4A0B1FA6"/>
    <w:rsid w:val="4A5A72B2"/>
    <w:rsid w:val="4B885FB2"/>
    <w:rsid w:val="4CE70AA9"/>
    <w:rsid w:val="4CFA4C80"/>
    <w:rsid w:val="4D445EFB"/>
    <w:rsid w:val="4DA11074"/>
    <w:rsid w:val="4DB27309"/>
    <w:rsid w:val="4E127DA7"/>
    <w:rsid w:val="4EDB3281"/>
    <w:rsid w:val="4F626B0C"/>
    <w:rsid w:val="4F9D7B44"/>
    <w:rsid w:val="4FA26F09"/>
    <w:rsid w:val="52302403"/>
    <w:rsid w:val="533B37EB"/>
    <w:rsid w:val="53D02AD2"/>
    <w:rsid w:val="544B3BE4"/>
    <w:rsid w:val="54581FF8"/>
    <w:rsid w:val="548653F3"/>
    <w:rsid w:val="55217F29"/>
    <w:rsid w:val="5527238A"/>
    <w:rsid w:val="552E01B7"/>
    <w:rsid w:val="5588094F"/>
    <w:rsid w:val="560A13AC"/>
    <w:rsid w:val="56237876"/>
    <w:rsid w:val="56DC6A21"/>
    <w:rsid w:val="56E57A06"/>
    <w:rsid w:val="5778511F"/>
    <w:rsid w:val="59183D6D"/>
    <w:rsid w:val="5A2B0E17"/>
    <w:rsid w:val="5AA1540C"/>
    <w:rsid w:val="5BB972C3"/>
    <w:rsid w:val="5C427D95"/>
    <w:rsid w:val="5CB36BF9"/>
    <w:rsid w:val="5CFA3A2A"/>
    <w:rsid w:val="5E253C4D"/>
    <w:rsid w:val="5E4A0AAA"/>
    <w:rsid w:val="5E930A90"/>
    <w:rsid w:val="5EA3628A"/>
    <w:rsid w:val="5F840AA4"/>
    <w:rsid w:val="5F8447EE"/>
    <w:rsid w:val="61454D83"/>
    <w:rsid w:val="6189617B"/>
    <w:rsid w:val="622132B4"/>
    <w:rsid w:val="62226353"/>
    <w:rsid w:val="62B53F00"/>
    <w:rsid w:val="632223E3"/>
    <w:rsid w:val="635C3B47"/>
    <w:rsid w:val="63651857"/>
    <w:rsid w:val="638201EF"/>
    <w:rsid w:val="64416899"/>
    <w:rsid w:val="64E40633"/>
    <w:rsid w:val="64E705DF"/>
    <w:rsid w:val="64EA7F01"/>
    <w:rsid w:val="6543001E"/>
    <w:rsid w:val="65AE5BFE"/>
    <w:rsid w:val="66036D61"/>
    <w:rsid w:val="667E0075"/>
    <w:rsid w:val="669F5199"/>
    <w:rsid w:val="66C535CD"/>
    <w:rsid w:val="66C5386F"/>
    <w:rsid w:val="67220C03"/>
    <w:rsid w:val="67F51E74"/>
    <w:rsid w:val="68B11E99"/>
    <w:rsid w:val="68C33D20"/>
    <w:rsid w:val="68C96BD9"/>
    <w:rsid w:val="6AEC1C54"/>
    <w:rsid w:val="6B975FD0"/>
    <w:rsid w:val="6C173362"/>
    <w:rsid w:val="6C6A2B47"/>
    <w:rsid w:val="6DA46816"/>
    <w:rsid w:val="6DE07122"/>
    <w:rsid w:val="6E4D7511"/>
    <w:rsid w:val="6EFE77F2"/>
    <w:rsid w:val="6F0357BE"/>
    <w:rsid w:val="6F253BDF"/>
    <w:rsid w:val="6F35349E"/>
    <w:rsid w:val="705931BC"/>
    <w:rsid w:val="70C63CA2"/>
    <w:rsid w:val="70F80C27"/>
    <w:rsid w:val="71E74F23"/>
    <w:rsid w:val="741C69DA"/>
    <w:rsid w:val="766B0078"/>
    <w:rsid w:val="76A567E6"/>
    <w:rsid w:val="76C764FE"/>
    <w:rsid w:val="77DC7107"/>
    <w:rsid w:val="77E3618D"/>
    <w:rsid w:val="78393FFF"/>
    <w:rsid w:val="785B3F75"/>
    <w:rsid w:val="787E7C64"/>
    <w:rsid w:val="78AC10B2"/>
    <w:rsid w:val="78BD69DE"/>
    <w:rsid w:val="78E26444"/>
    <w:rsid w:val="793E15F9"/>
    <w:rsid w:val="797F0137"/>
    <w:rsid w:val="79A30980"/>
    <w:rsid w:val="7A5C2227"/>
    <w:rsid w:val="7A9B29A0"/>
    <w:rsid w:val="7AAE6A84"/>
    <w:rsid w:val="7AB37F1F"/>
    <w:rsid w:val="7AD85D51"/>
    <w:rsid w:val="7B5F3D7C"/>
    <w:rsid w:val="7B63573C"/>
    <w:rsid w:val="7D1C7A4B"/>
    <w:rsid w:val="7D4B180A"/>
    <w:rsid w:val="7D6A0500"/>
    <w:rsid w:val="7DBA173E"/>
    <w:rsid w:val="7E1B0BA4"/>
    <w:rsid w:val="7E23340C"/>
    <w:rsid w:val="7E9F23BF"/>
    <w:rsid w:val="7F5C5B88"/>
    <w:rsid w:val="7F5D3AE3"/>
    <w:rsid w:val="FB6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autoRedefine/>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qFormat/>
    <w:uiPriority w:val="0"/>
  </w:style>
  <w:style w:type="character" w:customStyle="1" w:styleId="80">
    <w:name w:val="wh-sys-warn-num2"/>
    <w:basedOn w:val="14"/>
    <w:qFormat/>
    <w:uiPriority w:val="0"/>
  </w:style>
  <w:style w:type="character" w:customStyle="1" w:styleId="81">
    <w:name w:val="wh-sys-warn-num3"/>
    <w:basedOn w:val="14"/>
    <w:qFormat/>
    <w:uiPriority w:val="0"/>
  </w:style>
  <w:style w:type="character" w:customStyle="1" w:styleId="82">
    <w:name w:val="wh-sys-warn-num4"/>
    <w:basedOn w:val="14"/>
    <w:qFormat/>
    <w:uiPriority w:val="0"/>
  </w:style>
  <w:style w:type="character" w:customStyle="1" w:styleId="83">
    <w:name w:val="default-purple"/>
    <w:basedOn w:val="14"/>
    <w:qFormat/>
    <w:uiPriority w:val="0"/>
  </w:style>
  <w:style w:type="character" w:customStyle="1" w:styleId="84">
    <w:name w:val="default-green"/>
    <w:basedOn w:val="14"/>
    <w:qFormat/>
    <w:uiPriority w:val="0"/>
  </w:style>
  <w:style w:type="character" w:customStyle="1" w:styleId="85">
    <w:name w:val="width-pink"/>
    <w:basedOn w:val="14"/>
    <w:qFormat/>
    <w:uiPriority w:val="0"/>
  </w:style>
  <w:style w:type="character" w:customStyle="1" w:styleId="86">
    <w:name w:val="newpure-red"/>
    <w:basedOn w:val="14"/>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autoRedefine/>
    <w:qFormat/>
    <w:uiPriority w:val="0"/>
  </w:style>
  <w:style w:type="character" w:customStyle="1" w:styleId="128">
    <w:name w:val="line-red"/>
    <w:basedOn w:val="14"/>
    <w:autoRedefine/>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autoRedefine/>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paragraph" w:customStyle="1" w:styleId="174">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4375</Words>
  <Characters>4617</Characters>
  <Lines>3</Lines>
  <Paragraphs>1</Paragraphs>
  <TotalTime>2</TotalTime>
  <ScaleCrop>false</ScaleCrop>
  <LinksUpToDate>false</LinksUpToDate>
  <CharactersWithSpaces>4760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2020-11-11T15:12:00Z</dcterms:created>
  <dc:creator>123</dc:creator>
  <cp:lastModifiedBy>孙硕</cp:lastModifiedBy>
  <cp:lastPrinted>2023-02-20T10:28:00Z</cp:lastPrinted>
  <dcterms:modified xsi:type="dcterms:W3CDTF">2025-06-04T06:32:25Z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742F4541E99346F7A9FEFBB225142E5E_13</vt:lpwstr>
  </property>
  <property fmtid="{D5CDD505-2E9C-101B-9397-08002B2CF9AE}" pid="4" name="KSOTemplateDocerSaveRecord">
    <vt:lpwstr>eyJoZGlkIjoiZTAyN2I0MWNhNWEwOGRhZjk3M2Y4OWQ5MWYyMTAzMzgiLCJ1c2VySWQiOiIxNjA4ODUzMDk3In0=</vt:lpwstr>
  </property>
</Properties>
</file>