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E08B6">
      <w:pPr>
        <w:spacing w:before="343" w:line="210" w:lineRule="auto"/>
        <w:ind w:right="366"/>
        <w:jc w:val="center"/>
        <w:outlineLvl w:val="0"/>
        <w:rPr>
          <w:rFonts w:ascii="宋体" w:hAnsi="宋体" w:eastAsia="宋体" w:cs="宋体"/>
          <w:b/>
          <w:bCs/>
          <w:sz w:val="36"/>
          <w:szCs w:val="36"/>
          <w:highlight w:val="none"/>
        </w:rPr>
      </w:pPr>
      <w:bookmarkStart w:id="0" w:name="_GoBack"/>
      <w:r>
        <w:rPr>
          <w:rFonts w:hint="eastAsia" w:ascii="宋体" w:hAnsi="宋体" w:eastAsia="宋体" w:cs="宋体"/>
          <w:b/>
          <w:bCs/>
          <w:spacing w:val="6"/>
          <w:sz w:val="36"/>
          <w:szCs w:val="36"/>
          <w:highlight w:val="none"/>
          <w:lang w:eastAsia="zh-CN"/>
        </w:rPr>
        <w:t>合肥野生动物园观光车</w:t>
      </w:r>
      <w:r>
        <w:rPr>
          <w:rFonts w:hint="eastAsia" w:ascii="宋体" w:hAnsi="宋体" w:eastAsia="宋体" w:cs="宋体"/>
          <w:b/>
          <w:bCs/>
          <w:spacing w:val="6"/>
          <w:sz w:val="36"/>
          <w:szCs w:val="36"/>
          <w:highlight w:val="none"/>
          <w:lang w:val="en-US" w:eastAsia="zh-CN"/>
        </w:rPr>
        <w:t>经营权转让项目</w:t>
      </w:r>
      <w:r>
        <w:rPr>
          <w:rFonts w:hint="eastAsia" w:ascii="宋体" w:hAnsi="宋体" w:eastAsia="宋体" w:cs="宋体"/>
          <w:b/>
          <w:bCs/>
          <w:spacing w:val="3"/>
          <w:sz w:val="36"/>
          <w:szCs w:val="36"/>
          <w:highlight w:val="none"/>
          <w:lang w:eastAsia="zh-CN"/>
        </w:rPr>
        <w:t>招商</w:t>
      </w:r>
      <w:r>
        <w:rPr>
          <w:rFonts w:ascii="宋体" w:hAnsi="宋体" w:eastAsia="宋体" w:cs="宋体"/>
          <w:b/>
          <w:bCs/>
          <w:spacing w:val="3"/>
          <w:sz w:val="36"/>
          <w:szCs w:val="36"/>
          <w:highlight w:val="none"/>
        </w:rPr>
        <w:t>公告</w:t>
      </w:r>
    </w:p>
    <w:tbl>
      <w:tblPr>
        <w:tblStyle w:val="16"/>
        <w:tblW w:w="100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1"/>
        <w:gridCol w:w="1922"/>
        <w:gridCol w:w="2145"/>
        <w:gridCol w:w="1342"/>
        <w:gridCol w:w="1792"/>
        <w:gridCol w:w="1456"/>
      </w:tblGrid>
      <w:tr w14:paraId="2F96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11" w:type="dxa"/>
            <w:noWrap w:val="0"/>
            <w:vAlign w:val="center"/>
          </w:tcPr>
          <w:p w14:paraId="2A87C5A2">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4"/>
                <w:highlight w:val="none"/>
              </w:rPr>
              <w:t>项目名称</w:t>
            </w:r>
          </w:p>
        </w:tc>
        <w:tc>
          <w:tcPr>
            <w:tcW w:w="8657" w:type="dxa"/>
            <w:gridSpan w:val="5"/>
            <w:noWrap w:val="0"/>
            <w:vAlign w:val="center"/>
          </w:tcPr>
          <w:p w14:paraId="44C0D0C6">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spacing w:val="-2"/>
                <w:highlight w:val="none"/>
                <w:lang w:eastAsia="zh-CN"/>
              </w:rPr>
              <w:t>合肥野生动物园观光车经营权转让项目招商公告</w:t>
            </w:r>
          </w:p>
        </w:tc>
      </w:tr>
      <w:tr w14:paraId="1EC589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1" w:type="dxa"/>
            <w:noWrap w:val="0"/>
            <w:vAlign w:val="center"/>
          </w:tcPr>
          <w:p w14:paraId="17D0C20F">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4"/>
                <w:highlight w:val="none"/>
              </w:rPr>
              <w:t>项目编号</w:t>
            </w:r>
          </w:p>
        </w:tc>
        <w:tc>
          <w:tcPr>
            <w:tcW w:w="8657" w:type="dxa"/>
            <w:gridSpan w:val="5"/>
            <w:noWrap w:val="0"/>
            <w:vAlign w:val="center"/>
          </w:tcPr>
          <w:p w14:paraId="4AFD9C66">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sz w:val="24"/>
                <w:szCs w:val="24"/>
                <w:vertAlign w:val="baseline"/>
                <w:lang w:val="en-US" w:eastAsia="zh-CN"/>
              </w:rPr>
              <w:t>DWYSG011</w:t>
            </w:r>
          </w:p>
        </w:tc>
      </w:tr>
      <w:tr w14:paraId="235F5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11" w:type="dxa"/>
            <w:noWrap w:val="0"/>
            <w:vAlign w:val="center"/>
          </w:tcPr>
          <w:p w14:paraId="3BD3DFC3">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eastAsia="宋体"/>
                <w:highlight w:val="none"/>
                <w:lang w:eastAsia="zh-CN"/>
              </w:rPr>
            </w:pPr>
            <w:r>
              <w:rPr>
                <w:rFonts w:hint="eastAsia"/>
                <w:spacing w:val="-3"/>
                <w:highlight w:val="none"/>
                <w:lang w:eastAsia="zh-CN"/>
              </w:rPr>
              <w:t>招商方</w:t>
            </w:r>
          </w:p>
        </w:tc>
        <w:tc>
          <w:tcPr>
            <w:tcW w:w="8657" w:type="dxa"/>
            <w:gridSpan w:val="5"/>
            <w:noWrap w:val="0"/>
            <w:vAlign w:val="center"/>
          </w:tcPr>
          <w:p w14:paraId="48AAC8BF">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highlight w:val="none"/>
                <w:lang w:val="en-US" w:eastAsia="zh-CN"/>
              </w:rPr>
              <w:t>合肥文旅博览集团野生动物园管理有限公司</w:t>
            </w:r>
          </w:p>
        </w:tc>
      </w:tr>
      <w:tr w14:paraId="6450A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411" w:type="dxa"/>
            <w:noWrap w:val="0"/>
            <w:vAlign w:val="center"/>
          </w:tcPr>
          <w:p w14:paraId="67C75B27">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2"/>
                <w:highlight w:val="none"/>
                <w:lang w:eastAsia="zh-CN"/>
              </w:rPr>
              <w:t>招商方</w:t>
            </w:r>
            <w:r>
              <w:rPr>
                <w:spacing w:val="-2"/>
                <w:highlight w:val="none"/>
              </w:rPr>
              <w:t>承诺</w:t>
            </w:r>
          </w:p>
        </w:tc>
        <w:tc>
          <w:tcPr>
            <w:tcW w:w="8657" w:type="dxa"/>
            <w:gridSpan w:val="5"/>
            <w:noWrap w:val="0"/>
            <w:vAlign w:val="center"/>
          </w:tcPr>
          <w:p w14:paraId="1B0EC9E4">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highlight w:val="none"/>
              </w:rPr>
            </w:pPr>
            <w:r>
              <w:rPr>
                <w:rFonts w:hint="eastAsia"/>
                <w:spacing w:val="-3"/>
                <w:highlight w:val="none"/>
                <w:lang w:eastAsia="zh-CN"/>
              </w:rPr>
              <w:t>招商方</w:t>
            </w:r>
            <w:r>
              <w:rPr>
                <w:spacing w:val="-3"/>
                <w:highlight w:val="none"/>
              </w:rPr>
              <w:t>承诺本次</w:t>
            </w:r>
            <w:r>
              <w:rPr>
                <w:rFonts w:hint="eastAsia"/>
                <w:spacing w:val="-3"/>
                <w:highlight w:val="none"/>
                <w:lang w:eastAsia="zh-CN"/>
              </w:rPr>
              <w:t>招商</w:t>
            </w:r>
            <w:r>
              <w:rPr>
                <w:spacing w:val="-3"/>
                <w:highlight w:val="none"/>
              </w:rPr>
              <w:t>行为已履行了必要的审批程序，保证本公告的内容不存在任</w:t>
            </w:r>
            <w:r>
              <w:rPr>
                <w:spacing w:val="-7"/>
                <w:highlight w:val="none"/>
              </w:rPr>
              <w:t>何重大遗漏、虚假陈述或严重误导，并对其内容的真实性、完整性和准确性负责。</w:t>
            </w:r>
          </w:p>
        </w:tc>
      </w:tr>
      <w:tr w14:paraId="71568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1411" w:type="dxa"/>
            <w:noWrap w:val="0"/>
            <w:vAlign w:val="center"/>
          </w:tcPr>
          <w:p w14:paraId="15366E4A">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3"/>
                <w:position w:val="11"/>
                <w:highlight w:val="none"/>
              </w:rPr>
              <w:t>交易监督部</w:t>
            </w:r>
          </w:p>
          <w:p w14:paraId="7CB38800">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highlight w:val="none"/>
              </w:rPr>
              <w:t>门</w:t>
            </w:r>
          </w:p>
        </w:tc>
        <w:tc>
          <w:tcPr>
            <w:tcW w:w="8657" w:type="dxa"/>
            <w:gridSpan w:val="5"/>
            <w:noWrap w:val="0"/>
            <w:vAlign w:val="center"/>
          </w:tcPr>
          <w:p w14:paraId="4A132522">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spacing w:val="-1"/>
                <w:position w:val="11"/>
                <w:highlight w:val="none"/>
                <w:lang w:eastAsia="zh-CN"/>
              </w:rPr>
            </w:pPr>
            <w:r>
              <w:rPr>
                <w:rFonts w:hint="eastAsia"/>
                <w:spacing w:val="-1"/>
                <w:position w:val="11"/>
                <w:highlight w:val="none"/>
                <w:lang w:eastAsia="zh-CN"/>
              </w:rPr>
              <w:t>合肥文旅博览集团野生动物园管理有限公司党群工作部</w:t>
            </w:r>
          </w:p>
          <w:p w14:paraId="35AC314C">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spacing w:val="-1"/>
                <w:highlight w:val="none"/>
              </w:rPr>
              <w:t>联系方式：</w:t>
            </w:r>
            <w:r>
              <w:rPr>
                <w:rFonts w:hint="eastAsia" w:hAnsi="宋体"/>
                <w:szCs w:val="24"/>
                <w:highlight w:val="none"/>
              </w:rPr>
              <w:t>0551-6</w:t>
            </w:r>
            <w:r>
              <w:rPr>
                <w:rFonts w:hint="eastAsia" w:hAnsi="宋体"/>
                <w:szCs w:val="24"/>
                <w:highlight w:val="none"/>
                <w:lang w:val="en-US" w:eastAsia="zh-CN"/>
              </w:rPr>
              <w:t>5393102</w:t>
            </w:r>
          </w:p>
        </w:tc>
      </w:tr>
      <w:tr w14:paraId="20F88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1411" w:type="dxa"/>
            <w:noWrap w:val="0"/>
            <w:vAlign w:val="center"/>
          </w:tcPr>
          <w:p w14:paraId="556801E5">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spacing w:val="-6"/>
                <w:highlight w:val="none"/>
                <w:lang w:eastAsia="zh-CN"/>
              </w:rPr>
            </w:pPr>
            <w:r>
              <w:rPr>
                <w:rFonts w:hint="eastAsia" w:ascii="宋体" w:hAnsi="宋体" w:eastAsia="宋体" w:cs="宋体"/>
                <w:color w:val="000000"/>
                <w:sz w:val="24"/>
                <w:szCs w:val="24"/>
                <w:highlight w:val="none"/>
              </w:rPr>
              <w:t>公告、</w:t>
            </w:r>
            <w:r>
              <w:rPr>
                <w:rFonts w:hint="eastAsia" w:ascii="宋体" w:hAnsi="宋体" w:eastAsia="宋体" w:cs="宋体"/>
                <w:color w:val="000000"/>
                <w:sz w:val="24"/>
                <w:szCs w:val="24"/>
                <w:highlight w:val="none"/>
                <w:lang w:val="en-US" w:eastAsia="zh-CN"/>
              </w:rPr>
              <w:t>开标期</w:t>
            </w:r>
            <w:r>
              <w:rPr>
                <w:rFonts w:hint="eastAsia" w:ascii="宋体" w:hAnsi="宋体" w:eastAsia="宋体" w:cs="宋体"/>
                <w:color w:val="000000"/>
                <w:sz w:val="24"/>
                <w:szCs w:val="24"/>
                <w:highlight w:val="none"/>
              </w:rPr>
              <w:t>限</w:t>
            </w:r>
          </w:p>
        </w:tc>
        <w:tc>
          <w:tcPr>
            <w:tcW w:w="8657" w:type="dxa"/>
            <w:gridSpan w:val="5"/>
            <w:noWrap w:val="0"/>
            <w:vAlign w:val="center"/>
          </w:tcPr>
          <w:p w14:paraId="40B65366">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default" w:eastAsia="宋体" w:cs="宋体"/>
                <w:color w:val="000000"/>
                <w:sz w:val="24"/>
                <w:szCs w:val="24"/>
                <w:highlight w:val="none"/>
                <w:lang w:val="en-US" w:eastAsia="zh-CN"/>
              </w:rPr>
            </w:pPr>
            <w:r>
              <w:rPr>
                <w:rFonts w:hint="eastAsia" w:ascii="宋体" w:hAnsi="宋体" w:eastAsia="宋体" w:cs="宋体"/>
                <w:color w:val="000000"/>
                <w:kern w:val="2"/>
                <w:sz w:val="24"/>
                <w:szCs w:val="24"/>
                <w:highlight w:val="none"/>
                <w:lang w:val="en-US" w:eastAsia="zh-CN" w:bidi="zh-CN"/>
              </w:rPr>
              <w:t>1.</w:t>
            </w:r>
            <w:r>
              <w:rPr>
                <w:rFonts w:hint="eastAsia" w:cs="宋体"/>
                <w:b/>
                <w:bCs/>
                <w:color w:val="000000"/>
                <w:sz w:val="24"/>
                <w:szCs w:val="24"/>
                <w:highlight w:val="none"/>
                <w:lang w:eastAsia="zh-CN"/>
              </w:rPr>
              <w:t>公告</w:t>
            </w:r>
            <w:r>
              <w:rPr>
                <w:rFonts w:hint="eastAsia" w:ascii="宋体" w:hAnsi="宋体" w:eastAsia="宋体" w:cs="宋体"/>
                <w:b/>
                <w:bCs/>
                <w:color w:val="000000"/>
                <w:sz w:val="24"/>
                <w:szCs w:val="24"/>
                <w:highlight w:val="none"/>
              </w:rPr>
              <w:t>期</w:t>
            </w:r>
            <w:r>
              <w:rPr>
                <w:rFonts w:hint="eastAsia" w:ascii="宋体" w:hAnsi="宋体" w:eastAsia="宋体" w:cs="宋体"/>
                <w:color w:val="000000"/>
                <w:sz w:val="24"/>
                <w:szCs w:val="24"/>
                <w:highlight w:val="none"/>
              </w:rPr>
              <w:t>：</w:t>
            </w:r>
            <w:r>
              <w:rPr>
                <w:rFonts w:hint="eastAsia" w:cs="宋体"/>
                <w:color w:val="000000"/>
                <w:sz w:val="24"/>
                <w:szCs w:val="24"/>
                <w:highlight w:val="none"/>
                <w:lang w:val="en-US" w:eastAsia="zh-CN"/>
              </w:rPr>
              <w:t>2025年2月17日-2025年2月25日</w:t>
            </w:r>
          </w:p>
          <w:p w14:paraId="5CE12FA9">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bCs/>
                <w:color w:val="000000"/>
                <w:sz w:val="24"/>
                <w:szCs w:val="24"/>
                <w:highlight w:val="none"/>
              </w:rPr>
              <w:t>2.</w:t>
            </w:r>
            <w:r>
              <w:rPr>
                <w:rFonts w:hint="eastAsia" w:ascii="宋体" w:hAnsi="宋体" w:eastAsia="宋体" w:cs="宋体"/>
                <w:b/>
                <w:bCs/>
                <w:color w:val="000000"/>
                <w:sz w:val="24"/>
                <w:szCs w:val="24"/>
                <w:highlight w:val="none"/>
                <w:lang w:val="en-US" w:eastAsia="zh-CN"/>
              </w:rPr>
              <w:t>开标日期</w:t>
            </w:r>
            <w:r>
              <w:rPr>
                <w:rFonts w:hint="eastAsia" w:ascii="宋体" w:hAnsi="宋体" w:eastAsia="宋体" w:cs="宋体"/>
                <w:b/>
                <w:bCs/>
                <w:color w:val="000000"/>
                <w:sz w:val="24"/>
                <w:szCs w:val="24"/>
                <w:highlight w:val="none"/>
              </w:rPr>
              <w:t>：</w:t>
            </w:r>
            <w:r>
              <w:rPr>
                <w:rFonts w:hint="eastAsia" w:cs="宋体"/>
                <w:b w:val="0"/>
                <w:bCs w:val="0"/>
                <w:color w:val="000000"/>
                <w:sz w:val="24"/>
                <w:szCs w:val="24"/>
                <w:highlight w:val="none"/>
                <w:lang w:val="en-US" w:eastAsia="zh-CN"/>
              </w:rPr>
              <w:t>2025年2月26日15：00</w:t>
            </w:r>
          </w:p>
          <w:p w14:paraId="528F8E95">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highlight w:val="none"/>
              </w:rPr>
            </w:pPr>
            <w:r>
              <w:rPr>
                <w:rFonts w:hint="eastAsia" w:ascii="宋体" w:hAnsi="宋体" w:eastAsia="宋体" w:cs="宋体"/>
                <w:b/>
                <w:bCs/>
                <w:color w:val="000000"/>
                <w:sz w:val="24"/>
                <w:szCs w:val="24"/>
                <w:highlight w:val="none"/>
                <w:lang w:val="en-US" w:eastAsia="zh-CN"/>
              </w:rPr>
              <w:t>3.地址：</w:t>
            </w:r>
            <w:r>
              <w:rPr>
                <w:rFonts w:hint="eastAsia" w:cs="宋体"/>
                <w:color w:val="000000"/>
                <w:sz w:val="24"/>
                <w:szCs w:val="24"/>
                <w:highlight w:val="none"/>
                <w:lang w:val="en-US" w:eastAsia="zh-CN"/>
              </w:rPr>
              <w:t>合肥市高新区望江西路600号合肥野生动物园小会议室</w:t>
            </w:r>
            <w:r>
              <w:rPr>
                <w:rFonts w:hint="eastAsia" w:ascii="宋体" w:hAnsi="宋体" w:eastAsia="宋体" w:cs="宋体"/>
                <w:color w:val="000000"/>
                <w:sz w:val="24"/>
                <w:szCs w:val="24"/>
                <w:highlight w:val="none"/>
                <w:lang w:val="en-US" w:eastAsia="zh-CN"/>
              </w:rPr>
              <w:t>。</w:t>
            </w:r>
          </w:p>
        </w:tc>
      </w:tr>
      <w:tr w14:paraId="2A466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6"/>
            <w:noWrap w:val="0"/>
            <w:vAlign w:val="center"/>
          </w:tcPr>
          <w:p w14:paraId="5463F51A">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2"/>
                <w:highlight w:val="none"/>
              </w:rPr>
              <w:t>一、</w:t>
            </w:r>
            <w:r>
              <w:rPr>
                <w:rFonts w:hint="eastAsia"/>
                <w:spacing w:val="-2"/>
                <w:highlight w:val="none"/>
                <w:lang w:eastAsia="zh-CN"/>
              </w:rPr>
              <w:t>招商</w:t>
            </w:r>
            <w:r>
              <w:rPr>
                <w:spacing w:val="-2"/>
                <w:highlight w:val="none"/>
              </w:rPr>
              <w:t>标的情况</w:t>
            </w:r>
          </w:p>
        </w:tc>
      </w:tr>
      <w:tr w14:paraId="08ED7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3333" w:type="dxa"/>
            <w:gridSpan w:val="2"/>
            <w:noWrap w:val="0"/>
            <w:vAlign w:val="center"/>
          </w:tcPr>
          <w:p w14:paraId="734939AD">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highlight w:val="none"/>
              </w:rPr>
            </w:pPr>
            <w:r>
              <w:rPr>
                <w:rFonts w:hint="eastAsia"/>
                <w:spacing w:val="-8"/>
                <w:highlight w:val="none"/>
                <w:lang w:eastAsia="zh-CN"/>
              </w:rPr>
              <w:t>招商</w:t>
            </w:r>
            <w:r>
              <w:rPr>
                <w:spacing w:val="-8"/>
                <w:highlight w:val="none"/>
              </w:rPr>
              <w:t>标的</w:t>
            </w:r>
          </w:p>
        </w:tc>
        <w:tc>
          <w:tcPr>
            <w:tcW w:w="2145" w:type="dxa"/>
            <w:noWrap w:val="0"/>
            <w:vAlign w:val="center"/>
          </w:tcPr>
          <w:p w14:paraId="0C0E8F1D">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highlight w:val="none"/>
                <w:lang w:val="en-US" w:eastAsia="zh-CN"/>
              </w:rPr>
            </w:pPr>
            <w:r>
              <w:rPr>
                <w:rFonts w:hint="eastAsia"/>
                <w:highlight w:val="none"/>
                <w:lang w:val="en-US" w:eastAsia="zh-CN"/>
              </w:rPr>
              <w:t>项目底价</w:t>
            </w:r>
          </w:p>
          <w:p w14:paraId="730561D1">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highlight w:val="none"/>
              </w:rPr>
            </w:pPr>
            <w:r>
              <w:rPr>
                <w:spacing w:val="-7"/>
                <w:highlight w:val="none"/>
              </w:rPr>
              <w:t>（万元/年）</w:t>
            </w:r>
          </w:p>
        </w:tc>
        <w:tc>
          <w:tcPr>
            <w:tcW w:w="1342" w:type="dxa"/>
            <w:noWrap w:val="0"/>
            <w:vAlign w:val="center"/>
          </w:tcPr>
          <w:p w14:paraId="11B08B76">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分成比例</w:t>
            </w:r>
          </w:p>
        </w:tc>
        <w:tc>
          <w:tcPr>
            <w:tcW w:w="1792" w:type="dxa"/>
            <w:noWrap w:val="0"/>
            <w:vAlign w:val="center"/>
          </w:tcPr>
          <w:p w14:paraId="36150F69">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spacing w:val="-6"/>
                <w:highlight w:val="none"/>
                <w:lang w:val="en-US" w:eastAsia="zh-CN"/>
              </w:rPr>
            </w:pPr>
            <w:r>
              <w:rPr>
                <w:rFonts w:hint="eastAsia"/>
                <w:spacing w:val="-6"/>
                <w:highlight w:val="none"/>
                <w:lang w:eastAsia="zh-CN"/>
              </w:rPr>
              <w:t>合作期限</w:t>
            </w:r>
            <w:r>
              <w:rPr>
                <w:highlight w:val="none"/>
              </w:rPr>
              <w:t xml:space="preserve"> </w:t>
            </w:r>
            <w:r>
              <w:rPr>
                <w:spacing w:val="-14"/>
                <w:highlight w:val="none"/>
              </w:rPr>
              <w:t>（年）</w:t>
            </w:r>
          </w:p>
        </w:tc>
        <w:tc>
          <w:tcPr>
            <w:tcW w:w="1456" w:type="dxa"/>
            <w:noWrap w:val="0"/>
            <w:vAlign w:val="center"/>
          </w:tcPr>
          <w:p w14:paraId="7BA8EFDA">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4"/>
                <w:highlight w:val="none"/>
                <w:lang w:val="en-US" w:eastAsia="zh-CN"/>
              </w:rPr>
              <w:t>履约</w:t>
            </w:r>
            <w:r>
              <w:rPr>
                <w:spacing w:val="-4"/>
                <w:highlight w:val="none"/>
              </w:rPr>
              <w:t>保证</w:t>
            </w:r>
            <w:r>
              <w:rPr>
                <w:spacing w:val="-7"/>
                <w:highlight w:val="none"/>
              </w:rPr>
              <w:t>金（万元）</w:t>
            </w:r>
          </w:p>
        </w:tc>
      </w:tr>
      <w:tr w14:paraId="754E1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333" w:type="dxa"/>
            <w:gridSpan w:val="2"/>
            <w:noWrap w:val="0"/>
            <w:vAlign w:val="center"/>
          </w:tcPr>
          <w:p w14:paraId="4C34A673">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eastAsia="宋体"/>
                <w:highlight w:val="none"/>
                <w:lang w:val="en-US" w:eastAsia="zh-CN"/>
              </w:rPr>
            </w:pPr>
            <w:r>
              <w:rPr>
                <w:rFonts w:hint="eastAsia"/>
                <w:highlight w:val="none"/>
                <w:lang w:val="en-US" w:eastAsia="zh-CN"/>
              </w:rPr>
              <w:t>合肥野生动物园观光车经营权</w:t>
            </w:r>
          </w:p>
        </w:tc>
        <w:tc>
          <w:tcPr>
            <w:tcW w:w="2145" w:type="dxa"/>
            <w:noWrap w:val="0"/>
            <w:vAlign w:val="center"/>
          </w:tcPr>
          <w:p w14:paraId="466E686F">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highlight w:val="none"/>
                <w:lang w:val="en-US" w:eastAsia="zh-CN"/>
              </w:rPr>
            </w:pPr>
            <w:r>
              <w:rPr>
                <w:rFonts w:hint="eastAsia"/>
                <w:strike w:val="0"/>
                <w:dstrike w:val="0"/>
                <w:color w:val="auto"/>
                <w:highlight w:val="none"/>
                <w:lang w:val="en-US" w:eastAsia="zh-CN"/>
              </w:rPr>
              <w:t>61</w:t>
            </w:r>
          </w:p>
        </w:tc>
        <w:tc>
          <w:tcPr>
            <w:tcW w:w="1342" w:type="dxa"/>
            <w:noWrap w:val="0"/>
            <w:vAlign w:val="center"/>
          </w:tcPr>
          <w:p w14:paraId="2A6C0F7B">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center"/>
              <w:textAlignment w:val="auto"/>
              <w:rPr>
                <w:rFonts w:hint="eastAsia"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阶梯分成</w:t>
            </w:r>
          </w:p>
          <w:p w14:paraId="7F34F502">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不低于35%</w:t>
            </w:r>
          </w:p>
        </w:tc>
        <w:tc>
          <w:tcPr>
            <w:tcW w:w="1792" w:type="dxa"/>
            <w:noWrap w:val="0"/>
            <w:vAlign w:val="center"/>
          </w:tcPr>
          <w:p w14:paraId="5F9AE3AC">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3</w:t>
            </w:r>
          </w:p>
        </w:tc>
        <w:tc>
          <w:tcPr>
            <w:tcW w:w="1456" w:type="dxa"/>
            <w:noWrap w:val="0"/>
            <w:vAlign w:val="center"/>
          </w:tcPr>
          <w:p w14:paraId="3CEC9B55">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eastAsia="宋体"/>
                <w:highlight w:val="none"/>
                <w:lang w:val="en-US" w:eastAsia="zh-CN"/>
              </w:rPr>
            </w:pPr>
            <w:r>
              <w:rPr>
                <w:rFonts w:hint="eastAsia" w:cs="宋体"/>
                <w:snapToGrid w:val="0"/>
                <w:color w:val="000000"/>
                <w:kern w:val="0"/>
                <w:sz w:val="24"/>
                <w:szCs w:val="24"/>
                <w:highlight w:val="none"/>
                <w:lang w:val="en-US" w:eastAsia="zh-CN" w:bidi="ar-SA"/>
              </w:rPr>
              <w:t xml:space="preserve">9.15 </w:t>
            </w:r>
          </w:p>
        </w:tc>
      </w:tr>
      <w:tr w14:paraId="1777D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9" w:hRule="atLeast"/>
        </w:trPr>
        <w:tc>
          <w:tcPr>
            <w:tcW w:w="10068" w:type="dxa"/>
            <w:gridSpan w:val="6"/>
            <w:noWrap w:val="0"/>
            <w:vAlign w:val="center"/>
          </w:tcPr>
          <w:p w14:paraId="0B5BCF23">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highlight w:val="none"/>
              </w:rPr>
            </w:pPr>
            <w:r>
              <w:rPr>
                <w:spacing w:val="-1"/>
                <w:position w:val="11"/>
                <w:highlight w:val="none"/>
              </w:rPr>
              <w:t>标的坐落位置：</w:t>
            </w:r>
            <w:r>
              <w:rPr>
                <w:rFonts w:hint="eastAsia"/>
                <w:spacing w:val="-1"/>
                <w:position w:val="11"/>
                <w:highlight w:val="none"/>
                <w:lang w:eastAsia="zh-CN"/>
              </w:rPr>
              <w:t>合肥市高新区望江西路</w:t>
            </w:r>
            <w:r>
              <w:rPr>
                <w:rFonts w:hint="eastAsia"/>
                <w:spacing w:val="-1"/>
                <w:position w:val="11"/>
                <w:highlight w:val="none"/>
                <w:lang w:val="en-US" w:eastAsia="zh-CN"/>
              </w:rPr>
              <w:t>600号合肥野生动物园。</w:t>
            </w:r>
          </w:p>
        </w:tc>
      </w:tr>
      <w:tr w14:paraId="3563B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5" w:hRule="atLeast"/>
        </w:trPr>
        <w:tc>
          <w:tcPr>
            <w:tcW w:w="1411" w:type="dxa"/>
            <w:noWrap w:val="0"/>
            <w:vAlign w:val="center"/>
          </w:tcPr>
          <w:p w14:paraId="4A4994B7">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rFonts w:hint="eastAsia"/>
                <w:spacing w:val="-3"/>
                <w:highlight w:val="none"/>
                <w:lang w:eastAsia="zh-CN"/>
              </w:rPr>
              <w:t>招商</w:t>
            </w:r>
            <w:r>
              <w:rPr>
                <w:spacing w:val="-3"/>
                <w:highlight w:val="none"/>
              </w:rPr>
              <w:t>用</w:t>
            </w:r>
            <w:r>
              <w:rPr>
                <w:spacing w:val="-4"/>
                <w:highlight w:val="none"/>
              </w:rPr>
              <w:t>途要求</w:t>
            </w:r>
          </w:p>
        </w:tc>
        <w:tc>
          <w:tcPr>
            <w:tcW w:w="8657" w:type="dxa"/>
            <w:gridSpan w:val="5"/>
            <w:noWrap w:val="0"/>
            <w:vAlign w:val="center"/>
          </w:tcPr>
          <w:p w14:paraId="34C3E350">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b/>
                <w:bCs/>
                <w:color w:val="000000"/>
                <w:sz w:val="24"/>
                <w:szCs w:val="24"/>
                <w:highlight w:val="none"/>
                <w:lang w:val="en-US" w:eastAsia="zh-CN" w:bidi="zh-CN"/>
              </w:rPr>
            </w:pPr>
            <w:r>
              <w:rPr>
                <w:rFonts w:hint="eastAsia" w:ascii="宋体" w:hAnsi="宋体" w:eastAsia="宋体" w:cs="宋体"/>
                <w:b/>
                <w:bCs/>
                <w:color w:val="000000"/>
                <w:sz w:val="24"/>
                <w:szCs w:val="24"/>
                <w:highlight w:val="none"/>
                <w:lang w:val="en-US" w:eastAsia="zh-CN" w:bidi="zh-CN"/>
              </w:rPr>
              <w:t>一、</w:t>
            </w:r>
            <w:r>
              <w:rPr>
                <w:rFonts w:hint="eastAsia" w:cs="宋体"/>
                <w:b/>
                <w:bCs/>
                <w:color w:val="000000"/>
                <w:sz w:val="24"/>
                <w:szCs w:val="24"/>
                <w:highlight w:val="none"/>
                <w:lang w:val="en-US" w:eastAsia="zh-CN" w:bidi="zh-CN"/>
              </w:rPr>
              <w:t>服务</w:t>
            </w:r>
            <w:r>
              <w:rPr>
                <w:rFonts w:hint="eastAsia" w:ascii="宋体" w:hAnsi="宋体" w:eastAsia="宋体" w:cs="宋体"/>
                <w:b/>
                <w:bCs/>
                <w:color w:val="000000"/>
                <w:sz w:val="24"/>
                <w:szCs w:val="24"/>
                <w:highlight w:val="none"/>
                <w:lang w:val="en-US" w:eastAsia="zh-CN" w:bidi="zh-CN"/>
              </w:rPr>
              <w:t>内容</w:t>
            </w:r>
          </w:p>
          <w:p w14:paraId="5FCD97EB">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left"/>
              <w:textAlignment w:val="auto"/>
              <w:rPr>
                <w:rFonts w:hint="default" w:cs="宋体"/>
                <w:snapToGrid w:val="0"/>
                <w:color w:val="000000"/>
                <w:kern w:val="0"/>
                <w:sz w:val="24"/>
                <w:szCs w:val="24"/>
                <w:highlight w:val="none"/>
                <w:lang w:val="en-US" w:eastAsia="zh-CN" w:bidi="ar-SA"/>
              </w:rPr>
            </w:pPr>
            <w:r>
              <w:rPr>
                <w:rFonts w:hint="eastAsia" w:cs="宋体"/>
                <w:snapToGrid w:val="0"/>
                <w:color w:val="000000"/>
                <w:kern w:val="0"/>
                <w:sz w:val="24"/>
                <w:szCs w:val="24"/>
                <w:highlight w:val="none"/>
                <w:lang w:val="en-US" w:eastAsia="zh-CN" w:bidi="ar-SA"/>
              </w:rPr>
              <w:t>1.首批10台14座至少两款动物主题造型全新车辆设计及采购（后续根据实际运营需求，可酌情增加），场地改造建设，承担运营相关所有费用及安全责任；</w:t>
            </w:r>
          </w:p>
          <w:p w14:paraId="1A72B7E4">
            <w:pPr>
              <w:spacing w:beforeLines="0" w:afterLines="0"/>
              <w:jc w:val="left"/>
              <w:rPr>
                <w:rFonts w:hint="eastAsia"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2.在园区开放时段内，为园区游客提供</w:t>
            </w:r>
            <w:r>
              <w:rPr>
                <w:rFonts w:hint="default" w:ascii="宋体" w:hAnsi="宋体" w:eastAsia="宋体" w:cs="宋体"/>
                <w:b w:val="0"/>
                <w:bCs w:val="0"/>
                <w:color w:val="000000"/>
                <w:kern w:val="2"/>
                <w:sz w:val="24"/>
                <w:szCs w:val="24"/>
                <w:highlight w:val="none"/>
                <w:lang w:val="en-US" w:eastAsia="zh-CN" w:bidi="zh-CN"/>
              </w:rPr>
              <w:t>有偿乘车</w:t>
            </w:r>
            <w:r>
              <w:rPr>
                <w:rFonts w:hint="eastAsia" w:ascii="宋体" w:hAnsi="宋体" w:eastAsia="宋体" w:cs="宋体"/>
                <w:b w:val="0"/>
                <w:bCs w:val="0"/>
                <w:color w:val="000000"/>
                <w:kern w:val="2"/>
                <w:sz w:val="24"/>
                <w:szCs w:val="24"/>
                <w:highlight w:val="none"/>
                <w:lang w:val="en-US" w:eastAsia="zh-CN" w:bidi="zh-CN"/>
              </w:rPr>
              <w:t>服务（含每辆车驾驶员全程游园讲解），以方便游客游览；</w:t>
            </w:r>
          </w:p>
          <w:p w14:paraId="574C8E5B">
            <w:pPr>
              <w:spacing w:beforeLines="0" w:afterLines="0"/>
              <w:jc w:val="left"/>
              <w:rPr>
                <w:rFonts w:hint="default"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3.</w:t>
            </w:r>
            <w:r>
              <w:rPr>
                <w:rFonts w:hint="default" w:ascii="宋体" w:hAnsi="宋体" w:eastAsia="宋体" w:cs="宋体"/>
                <w:b w:val="0"/>
                <w:bCs w:val="0"/>
                <w:color w:val="000000"/>
                <w:kern w:val="2"/>
                <w:sz w:val="24"/>
                <w:szCs w:val="24"/>
                <w:highlight w:val="none"/>
                <w:lang w:val="en-US" w:eastAsia="zh-CN" w:bidi="zh-CN"/>
              </w:rPr>
              <w:t>在</w:t>
            </w:r>
            <w:r>
              <w:rPr>
                <w:rFonts w:hint="eastAsia" w:ascii="宋体" w:hAnsi="宋体" w:eastAsia="宋体" w:cs="宋体"/>
                <w:b w:val="0"/>
                <w:bCs w:val="0"/>
                <w:color w:val="000000"/>
                <w:kern w:val="2"/>
                <w:sz w:val="24"/>
                <w:szCs w:val="24"/>
                <w:highlight w:val="none"/>
                <w:lang w:val="en-US" w:eastAsia="zh-CN" w:bidi="zh-CN"/>
              </w:rPr>
              <w:t>园区</w:t>
            </w:r>
            <w:r>
              <w:rPr>
                <w:rFonts w:hint="default" w:ascii="宋体" w:hAnsi="宋体" w:eastAsia="宋体" w:cs="宋体"/>
                <w:b w:val="0"/>
                <w:bCs w:val="0"/>
                <w:color w:val="000000"/>
                <w:kern w:val="2"/>
                <w:sz w:val="24"/>
                <w:szCs w:val="24"/>
                <w:highlight w:val="none"/>
                <w:lang w:val="en-US" w:eastAsia="zh-CN" w:bidi="zh-CN"/>
              </w:rPr>
              <w:t>内免费为</w:t>
            </w:r>
            <w:r>
              <w:rPr>
                <w:rFonts w:hint="eastAsia" w:ascii="宋体" w:hAnsi="宋体" w:eastAsia="宋体" w:cs="宋体"/>
                <w:b w:val="0"/>
                <w:bCs w:val="0"/>
                <w:color w:val="000000"/>
                <w:kern w:val="2"/>
                <w:sz w:val="24"/>
                <w:szCs w:val="24"/>
                <w:highlight w:val="none"/>
                <w:lang w:val="en-US" w:eastAsia="zh-CN" w:bidi="zh-CN"/>
              </w:rPr>
              <w:t>招商方接待工作</w:t>
            </w:r>
            <w:r>
              <w:rPr>
                <w:rFonts w:hint="default" w:ascii="宋体" w:hAnsi="宋体" w:eastAsia="宋体" w:cs="宋体"/>
                <w:b w:val="0"/>
                <w:bCs w:val="0"/>
                <w:color w:val="000000"/>
                <w:kern w:val="2"/>
                <w:sz w:val="24"/>
                <w:szCs w:val="24"/>
                <w:highlight w:val="none"/>
                <w:lang w:val="en-US" w:eastAsia="zh-CN" w:bidi="zh-CN"/>
              </w:rPr>
              <w:t>提供接送服务</w:t>
            </w:r>
            <w:r>
              <w:rPr>
                <w:rFonts w:hint="eastAsia" w:ascii="宋体" w:hAnsi="宋体" w:eastAsia="宋体" w:cs="宋体"/>
                <w:b w:val="0"/>
                <w:bCs w:val="0"/>
                <w:color w:val="000000"/>
                <w:kern w:val="2"/>
                <w:sz w:val="24"/>
                <w:szCs w:val="24"/>
                <w:highlight w:val="none"/>
                <w:lang w:val="en-US" w:eastAsia="zh-CN" w:bidi="zh-CN"/>
              </w:rPr>
              <w:t>；</w:t>
            </w:r>
          </w:p>
          <w:p w14:paraId="02FE232F">
            <w:pPr>
              <w:spacing w:beforeLines="0" w:afterLines="0"/>
              <w:jc w:val="left"/>
              <w:rPr>
                <w:rFonts w:hint="default" w:ascii="宋体" w:hAnsi="宋体" w:eastAsia="宋体" w:cs="宋体"/>
                <w:b w:val="0"/>
                <w:bCs w:val="0"/>
                <w:color w:val="000000"/>
                <w:kern w:val="2"/>
                <w:sz w:val="24"/>
                <w:szCs w:val="24"/>
                <w:highlight w:val="none"/>
                <w:lang w:val="en-US" w:eastAsia="zh-CN" w:bidi="zh-CN"/>
              </w:rPr>
            </w:pPr>
            <w:r>
              <w:rPr>
                <w:rFonts w:hint="eastAsia" w:ascii="宋体" w:hAnsi="宋体" w:eastAsia="宋体" w:cs="宋体"/>
                <w:b w:val="0"/>
                <w:bCs w:val="0"/>
                <w:color w:val="000000"/>
                <w:kern w:val="2"/>
                <w:sz w:val="24"/>
                <w:szCs w:val="24"/>
                <w:highlight w:val="none"/>
                <w:lang w:val="en-US" w:eastAsia="zh-CN" w:bidi="zh-CN"/>
              </w:rPr>
              <w:t>4.</w:t>
            </w:r>
            <w:r>
              <w:rPr>
                <w:rFonts w:hint="default" w:ascii="宋体" w:hAnsi="宋体" w:eastAsia="宋体" w:cs="宋体"/>
                <w:b w:val="0"/>
                <w:bCs w:val="0"/>
                <w:color w:val="000000"/>
                <w:kern w:val="2"/>
                <w:sz w:val="24"/>
                <w:szCs w:val="24"/>
                <w:highlight w:val="none"/>
                <w:lang w:val="en-US" w:eastAsia="zh-CN" w:bidi="zh-CN"/>
              </w:rPr>
              <w:t>按照</w:t>
            </w:r>
            <w:r>
              <w:rPr>
                <w:rFonts w:hint="eastAsia" w:ascii="宋体" w:hAnsi="宋体" w:eastAsia="宋体" w:cs="宋体"/>
                <w:b w:val="0"/>
                <w:bCs w:val="0"/>
                <w:color w:val="000000"/>
                <w:kern w:val="2"/>
                <w:sz w:val="24"/>
                <w:szCs w:val="24"/>
                <w:highlight w:val="none"/>
                <w:lang w:val="en-US" w:eastAsia="zh-CN" w:bidi="zh-CN"/>
              </w:rPr>
              <w:t>招商方</w:t>
            </w:r>
            <w:r>
              <w:rPr>
                <w:rFonts w:hint="default" w:ascii="宋体" w:hAnsi="宋体" w:eastAsia="宋体" w:cs="宋体"/>
                <w:b w:val="0"/>
                <w:bCs w:val="0"/>
                <w:color w:val="000000"/>
                <w:kern w:val="2"/>
                <w:sz w:val="24"/>
                <w:szCs w:val="24"/>
                <w:highlight w:val="none"/>
                <w:lang w:val="en-US" w:eastAsia="zh-CN" w:bidi="zh-CN"/>
              </w:rPr>
              <w:t>的通知要求，无条件做好上级布置的临时性、阶段性（含检查、突击整治、重大节假日及活动等）的</w:t>
            </w:r>
            <w:r>
              <w:rPr>
                <w:rFonts w:hint="eastAsia" w:ascii="宋体" w:hAnsi="宋体" w:eastAsia="宋体" w:cs="宋体"/>
                <w:b w:val="0"/>
                <w:bCs w:val="0"/>
                <w:color w:val="000000"/>
                <w:kern w:val="2"/>
                <w:sz w:val="24"/>
                <w:szCs w:val="24"/>
                <w:highlight w:val="none"/>
                <w:lang w:val="en-US" w:eastAsia="zh-CN" w:bidi="zh-CN"/>
              </w:rPr>
              <w:t>园区</w:t>
            </w:r>
            <w:r>
              <w:rPr>
                <w:rFonts w:hint="default" w:ascii="宋体" w:hAnsi="宋体" w:eastAsia="宋体" w:cs="宋体"/>
                <w:b w:val="0"/>
                <w:bCs w:val="0"/>
                <w:color w:val="000000"/>
                <w:kern w:val="2"/>
                <w:sz w:val="24"/>
                <w:szCs w:val="24"/>
                <w:highlight w:val="none"/>
                <w:lang w:val="en-US" w:eastAsia="zh-CN" w:bidi="zh-CN"/>
              </w:rPr>
              <w:t>（内外）接待工作。</w:t>
            </w:r>
          </w:p>
          <w:p w14:paraId="5F83D95C">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宋体"/>
                <w:b/>
                <w:bCs/>
                <w:color w:val="000000"/>
                <w:sz w:val="24"/>
                <w:szCs w:val="24"/>
                <w:highlight w:val="none"/>
                <w:lang w:val="en-US" w:eastAsia="zh-CN" w:bidi="zh-CN"/>
              </w:rPr>
            </w:pPr>
            <w:r>
              <w:rPr>
                <w:rFonts w:hint="eastAsia" w:ascii="宋体" w:hAnsi="宋体" w:eastAsia="宋体" w:cs="宋体"/>
                <w:b/>
                <w:bCs/>
                <w:color w:val="000000"/>
                <w:sz w:val="24"/>
                <w:szCs w:val="24"/>
                <w:highlight w:val="none"/>
                <w:lang w:val="en-US" w:eastAsia="zh-CN" w:bidi="zh-CN"/>
              </w:rPr>
              <w:t>二、车辆配置</w:t>
            </w:r>
          </w:p>
          <w:p w14:paraId="046B66D8">
            <w:pPr>
              <w:spacing w:beforeLines="0" w:afterLines="0"/>
              <w:jc w:val="left"/>
              <w:rPr>
                <w:rFonts w:hint="eastAsia" w:ascii="宋体" w:hAnsi="宋体" w:eastAsia="宋体" w:cs="宋体"/>
                <w:b w:val="0"/>
                <w:bCs w:val="0"/>
                <w:color w:val="000000"/>
                <w:kern w:val="2"/>
                <w:sz w:val="24"/>
                <w:szCs w:val="24"/>
                <w:highlight w:val="none"/>
                <w:lang w:val="en-US" w:eastAsia="zh-CN" w:bidi="zh-CN"/>
              </w:rPr>
            </w:pPr>
            <w:r>
              <w:rPr>
                <w:rFonts w:hint="default" w:ascii="宋体" w:hAnsi="宋体" w:eastAsia="宋体" w:cs="宋体"/>
                <w:b w:val="0"/>
                <w:bCs w:val="0"/>
                <w:color w:val="000000"/>
                <w:kern w:val="2"/>
                <w:sz w:val="24"/>
                <w:szCs w:val="24"/>
                <w:highlight w:val="none"/>
                <w:lang w:val="en-US" w:eastAsia="zh-CN" w:bidi="zh-CN"/>
              </w:rPr>
              <w:t>具体请见本</w:t>
            </w:r>
            <w:r>
              <w:rPr>
                <w:rFonts w:hint="eastAsia" w:ascii="宋体" w:hAnsi="宋体" w:eastAsia="宋体" w:cs="宋体"/>
                <w:b w:val="0"/>
                <w:bCs w:val="0"/>
                <w:color w:val="000000"/>
                <w:kern w:val="2"/>
                <w:sz w:val="24"/>
                <w:szCs w:val="24"/>
                <w:highlight w:val="none"/>
                <w:lang w:val="en-US" w:eastAsia="zh-CN" w:bidi="zh-CN"/>
              </w:rPr>
              <w:t>公告中附件《</w:t>
            </w:r>
            <w:r>
              <w:rPr>
                <w:rFonts w:hint="default" w:ascii="宋体" w:hAnsi="宋体" w:eastAsia="宋体" w:cs="宋体"/>
                <w:b w:val="0"/>
                <w:bCs w:val="0"/>
                <w:color w:val="000000"/>
                <w:kern w:val="2"/>
                <w:sz w:val="24"/>
                <w:szCs w:val="24"/>
                <w:highlight w:val="none"/>
                <w:lang w:val="en-US" w:eastAsia="zh-CN" w:bidi="zh-CN"/>
              </w:rPr>
              <w:t>合肥野生动物园观光车</w:t>
            </w:r>
            <w:r>
              <w:rPr>
                <w:rFonts w:hint="eastAsia" w:ascii="宋体" w:hAnsi="宋体" w:eastAsia="宋体" w:cs="宋体"/>
                <w:b w:val="0"/>
                <w:bCs w:val="0"/>
                <w:color w:val="000000"/>
                <w:kern w:val="2"/>
                <w:sz w:val="24"/>
                <w:szCs w:val="24"/>
                <w:highlight w:val="none"/>
                <w:lang w:val="en-US" w:eastAsia="zh-CN" w:bidi="zh-CN"/>
              </w:rPr>
              <w:t>项目经营权转让</w:t>
            </w:r>
            <w:r>
              <w:rPr>
                <w:rFonts w:hint="default" w:ascii="宋体" w:hAnsi="宋体" w:eastAsia="宋体" w:cs="宋体"/>
                <w:b w:val="0"/>
                <w:bCs w:val="0"/>
                <w:color w:val="000000"/>
                <w:kern w:val="2"/>
                <w:sz w:val="24"/>
                <w:szCs w:val="24"/>
                <w:highlight w:val="none"/>
                <w:lang w:val="en-US" w:eastAsia="zh-CN" w:bidi="zh-CN"/>
              </w:rPr>
              <w:t>合同</w:t>
            </w:r>
            <w:r>
              <w:rPr>
                <w:rFonts w:hint="eastAsia" w:ascii="宋体" w:hAnsi="宋体" w:eastAsia="宋体" w:cs="宋体"/>
                <w:b w:val="0"/>
                <w:bCs w:val="0"/>
                <w:color w:val="000000"/>
                <w:kern w:val="2"/>
                <w:sz w:val="24"/>
                <w:szCs w:val="24"/>
                <w:highlight w:val="none"/>
                <w:lang w:val="en-US" w:eastAsia="zh-CN" w:bidi="zh-CN"/>
              </w:rPr>
              <w:t>》</w:t>
            </w:r>
            <w:r>
              <w:rPr>
                <w:rFonts w:hint="default" w:ascii="宋体" w:hAnsi="宋体" w:eastAsia="宋体" w:cs="宋体"/>
                <w:b w:val="0"/>
                <w:bCs w:val="0"/>
                <w:color w:val="000000"/>
                <w:kern w:val="2"/>
                <w:sz w:val="24"/>
                <w:szCs w:val="24"/>
                <w:highlight w:val="none"/>
                <w:lang w:val="en-US" w:eastAsia="zh-CN" w:bidi="zh-CN"/>
              </w:rPr>
              <w:t>合同条款</w:t>
            </w:r>
            <w:r>
              <w:rPr>
                <w:rFonts w:hint="eastAsia" w:ascii="宋体" w:hAnsi="宋体" w:eastAsia="宋体" w:cs="宋体"/>
                <w:b w:val="0"/>
                <w:bCs w:val="0"/>
                <w:color w:val="000000"/>
                <w:kern w:val="2"/>
                <w:sz w:val="24"/>
                <w:szCs w:val="24"/>
                <w:highlight w:val="none"/>
                <w:lang w:val="en-US" w:eastAsia="zh-CN" w:bidi="zh-CN"/>
              </w:rPr>
              <w:t>第四条</w:t>
            </w:r>
            <w:r>
              <w:rPr>
                <w:rFonts w:hint="eastAsia" w:ascii="宋体" w:hAnsi="宋体" w:eastAsia="宋体" w:cs="宋体"/>
                <w:color w:val="000000"/>
                <w:sz w:val="24"/>
                <w:szCs w:val="24"/>
                <w:highlight w:val="none"/>
                <w:lang w:val="en-US" w:eastAsia="zh-CN" w:bidi="zh-CN"/>
              </w:rPr>
              <w:t>“</w:t>
            </w:r>
            <w:r>
              <w:rPr>
                <w:rFonts w:hint="eastAsia" w:ascii="宋体" w:hAnsi="宋体" w:eastAsia="宋体" w:cs="宋体"/>
                <w:b w:val="0"/>
                <w:bCs w:val="0"/>
                <w:color w:val="000000"/>
                <w:kern w:val="2"/>
                <w:sz w:val="24"/>
                <w:szCs w:val="24"/>
                <w:highlight w:val="none"/>
                <w:lang w:val="en-US" w:eastAsia="zh-CN" w:bidi="zh-CN"/>
              </w:rPr>
              <w:t>车辆配置”。</w:t>
            </w:r>
          </w:p>
          <w:p w14:paraId="0ACC4067">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b/>
                <w:bCs/>
                <w:color w:val="000000"/>
                <w:sz w:val="24"/>
                <w:szCs w:val="24"/>
                <w:highlight w:val="none"/>
                <w:lang w:val="en-US" w:eastAsia="zh-CN" w:bidi="zh-CN"/>
              </w:rPr>
            </w:pPr>
            <w:r>
              <w:rPr>
                <w:rFonts w:hint="eastAsia" w:ascii="宋体" w:hAnsi="宋体" w:eastAsia="宋体" w:cs="宋体"/>
                <w:b/>
                <w:bCs/>
                <w:color w:val="000000"/>
                <w:sz w:val="24"/>
                <w:szCs w:val="24"/>
                <w:highlight w:val="none"/>
                <w:lang w:val="en-US" w:eastAsia="zh-CN" w:bidi="zh-CN"/>
              </w:rPr>
              <w:t>三、服务质量要求</w:t>
            </w:r>
          </w:p>
          <w:p w14:paraId="615A4019">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cs="宋体"/>
                <w:color w:val="000000"/>
                <w:sz w:val="24"/>
                <w:szCs w:val="24"/>
                <w:highlight w:val="none"/>
                <w:lang w:val="en-US" w:eastAsia="zh-CN" w:bidi="zh-CN"/>
              </w:rPr>
            </w:pPr>
            <w:r>
              <w:rPr>
                <w:rFonts w:hint="default" w:ascii="宋体" w:hAnsi="宋体" w:eastAsia="宋体" w:cs="宋体"/>
                <w:color w:val="000000"/>
                <w:sz w:val="24"/>
                <w:szCs w:val="24"/>
                <w:highlight w:val="none"/>
                <w:lang w:val="en-US" w:eastAsia="zh-CN" w:bidi="zh-CN"/>
              </w:rPr>
              <w:t>具体请见本</w:t>
            </w:r>
            <w:r>
              <w:rPr>
                <w:rFonts w:hint="eastAsia" w:ascii="宋体" w:hAnsi="宋体" w:eastAsia="宋体" w:cs="宋体"/>
                <w:color w:val="000000"/>
                <w:sz w:val="24"/>
                <w:szCs w:val="24"/>
                <w:highlight w:val="none"/>
                <w:lang w:val="en-US" w:eastAsia="zh-CN" w:bidi="zh-CN"/>
              </w:rPr>
              <w:t>公告中附件《</w:t>
            </w:r>
            <w:r>
              <w:rPr>
                <w:rFonts w:hint="default" w:ascii="宋体" w:hAnsi="宋体" w:eastAsia="宋体" w:cs="宋体"/>
                <w:color w:val="000000"/>
                <w:sz w:val="24"/>
                <w:szCs w:val="24"/>
                <w:highlight w:val="none"/>
                <w:lang w:val="en-US" w:eastAsia="zh-CN" w:bidi="zh-CN"/>
              </w:rPr>
              <w:t>合肥野生动物园观光车</w:t>
            </w:r>
            <w:r>
              <w:rPr>
                <w:rFonts w:hint="eastAsia" w:cs="宋体"/>
                <w:color w:val="000000"/>
                <w:sz w:val="24"/>
                <w:szCs w:val="24"/>
                <w:highlight w:val="none"/>
                <w:lang w:val="en-US" w:eastAsia="zh-CN" w:bidi="zh-CN"/>
              </w:rPr>
              <w:t>项目经营权转让</w:t>
            </w:r>
            <w:r>
              <w:rPr>
                <w:rFonts w:hint="default" w:ascii="宋体" w:hAnsi="宋体" w:eastAsia="宋体" w:cs="宋体"/>
                <w:color w:val="000000"/>
                <w:sz w:val="24"/>
                <w:szCs w:val="24"/>
                <w:highlight w:val="none"/>
                <w:lang w:val="en-US" w:eastAsia="zh-CN" w:bidi="zh-CN"/>
              </w:rPr>
              <w:t>合同</w:t>
            </w:r>
            <w:r>
              <w:rPr>
                <w:rFonts w:hint="eastAsia" w:ascii="宋体" w:hAnsi="宋体" w:eastAsia="宋体" w:cs="宋体"/>
                <w:color w:val="000000"/>
                <w:sz w:val="24"/>
                <w:szCs w:val="24"/>
                <w:highlight w:val="none"/>
                <w:lang w:val="en-US" w:eastAsia="zh-CN" w:bidi="zh-CN"/>
              </w:rPr>
              <w:t>》</w:t>
            </w:r>
            <w:r>
              <w:rPr>
                <w:rFonts w:hint="default" w:ascii="宋体" w:hAnsi="宋体" w:eastAsia="宋体" w:cs="宋体"/>
                <w:color w:val="000000"/>
                <w:sz w:val="24"/>
                <w:szCs w:val="24"/>
                <w:highlight w:val="none"/>
                <w:lang w:val="en-US" w:eastAsia="zh-CN" w:bidi="zh-CN"/>
              </w:rPr>
              <w:t>合同条款</w:t>
            </w:r>
            <w:r>
              <w:rPr>
                <w:rFonts w:hint="eastAsia" w:ascii="宋体" w:hAnsi="宋体" w:eastAsia="宋体" w:cs="宋体"/>
                <w:color w:val="000000"/>
                <w:sz w:val="24"/>
                <w:szCs w:val="24"/>
                <w:highlight w:val="none"/>
                <w:lang w:val="en-US" w:eastAsia="zh-CN" w:bidi="zh-CN"/>
              </w:rPr>
              <w:t>第五条“ 服务规范及质量要求”</w:t>
            </w:r>
            <w:r>
              <w:rPr>
                <w:rFonts w:hint="default" w:cs="宋体"/>
                <w:color w:val="000000"/>
                <w:sz w:val="24"/>
                <w:szCs w:val="24"/>
                <w:highlight w:val="none"/>
                <w:lang w:val="en-US" w:eastAsia="zh-CN" w:bidi="zh-CN"/>
              </w:rPr>
              <w:t>。</w:t>
            </w:r>
          </w:p>
        </w:tc>
      </w:tr>
      <w:tr w14:paraId="5F279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411" w:type="dxa"/>
            <w:noWrap w:val="0"/>
            <w:vAlign w:val="center"/>
          </w:tcPr>
          <w:p w14:paraId="55E7BD14">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spacing w:val="-3"/>
                <w:kern w:val="2"/>
                <w:position w:val="11"/>
                <w:sz w:val="24"/>
                <w:szCs w:val="24"/>
                <w:highlight w:val="none"/>
                <w:lang w:val="en-US" w:eastAsia="zh-CN" w:bidi="ar-SA"/>
              </w:rPr>
            </w:pPr>
            <w:r>
              <w:rPr>
                <w:rFonts w:hint="eastAsia" w:cs="宋体"/>
                <w:spacing w:val="-3"/>
                <w:kern w:val="2"/>
                <w:position w:val="11"/>
                <w:sz w:val="24"/>
                <w:szCs w:val="24"/>
                <w:highlight w:val="none"/>
                <w:lang w:val="en-US" w:eastAsia="zh-CN" w:bidi="ar-SA"/>
              </w:rPr>
              <w:t>经营权转让</w:t>
            </w:r>
            <w:r>
              <w:rPr>
                <w:rFonts w:hint="eastAsia" w:ascii="宋体" w:hAnsi="宋体" w:eastAsia="宋体" w:cs="宋体"/>
                <w:spacing w:val="-3"/>
                <w:kern w:val="2"/>
                <w:position w:val="11"/>
                <w:sz w:val="24"/>
                <w:szCs w:val="24"/>
                <w:highlight w:val="none"/>
                <w:lang w:val="en-US" w:eastAsia="zh-CN" w:bidi="ar-SA"/>
              </w:rPr>
              <w:t>分成款及履约保证金支付</w:t>
            </w:r>
          </w:p>
        </w:tc>
        <w:tc>
          <w:tcPr>
            <w:tcW w:w="8657" w:type="dxa"/>
            <w:gridSpan w:val="5"/>
            <w:noWrap w:val="0"/>
            <w:vAlign w:val="center"/>
          </w:tcPr>
          <w:tbl>
            <w:tblPr>
              <w:tblStyle w:val="16"/>
              <w:tblW w:w="100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1"/>
            </w:tblGrid>
            <w:tr w14:paraId="79340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8651" w:type="dxa"/>
                  <w:noWrap w:val="0"/>
                  <w:vAlign w:val="center"/>
                </w:tcPr>
                <w:p w14:paraId="77BC06D2">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pacing w:val="-3"/>
                      <w:kern w:val="2"/>
                      <w:position w:val="11"/>
                      <w:sz w:val="24"/>
                      <w:szCs w:val="24"/>
                      <w:highlight w:val="none"/>
                      <w:lang w:val="en-US" w:eastAsia="zh-CN" w:bidi="ar-SA"/>
                    </w:rPr>
                  </w:pPr>
                  <w:r>
                    <w:rPr>
                      <w:rFonts w:hint="eastAsia" w:cs="宋体"/>
                      <w:spacing w:val="-3"/>
                      <w:kern w:val="2"/>
                      <w:position w:val="11"/>
                      <w:sz w:val="24"/>
                      <w:szCs w:val="24"/>
                      <w:highlight w:val="none"/>
                      <w:lang w:val="en-US" w:eastAsia="zh-CN" w:bidi="ar-SA"/>
                    </w:rPr>
                    <w:t>1.</w:t>
                  </w:r>
                  <w:r>
                    <w:rPr>
                      <w:rFonts w:hint="eastAsia" w:ascii="宋体" w:hAnsi="宋体" w:eastAsia="宋体" w:cs="宋体"/>
                      <w:spacing w:val="-3"/>
                      <w:kern w:val="2"/>
                      <w:position w:val="11"/>
                      <w:sz w:val="24"/>
                      <w:szCs w:val="24"/>
                      <w:highlight w:val="none"/>
                      <w:lang w:val="en-US" w:eastAsia="zh-CN" w:bidi="ar-SA"/>
                    </w:rPr>
                    <w:t>合作方自行采购的收银系统需与招商方要求的保持一致，所有营收款先进招商方账户，合作采用保底价＋分成的结算模式，分成款按月结算（次月支付），招商方全年分成总和大于保底价时，招商方按照分成总和收取</w:t>
                  </w:r>
                  <w:r>
                    <w:rPr>
                      <w:rFonts w:hint="eastAsia" w:cs="宋体"/>
                      <w:spacing w:val="-3"/>
                      <w:kern w:val="2"/>
                      <w:position w:val="11"/>
                      <w:sz w:val="24"/>
                      <w:szCs w:val="24"/>
                      <w:highlight w:val="none"/>
                      <w:lang w:val="en-US" w:eastAsia="zh-CN" w:bidi="ar-SA"/>
                    </w:rPr>
                    <w:t>经营权转让</w:t>
                  </w:r>
                  <w:r>
                    <w:rPr>
                      <w:rFonts w:hint="eastAsia" w:ascii="宋体" w:hAnsi="宋体" w:eastAsia="宋体" w:cs="宋体"/>
                      <w:spacing w:val="-3"/>
                      <w:kern w:val="2"/>
                      <w:position w:val="11"/>
                      <w:sz w:val="24"/>
                      <w:szCs w:val="24"/>
                      <w:highlight w:val="none"/>
                      <w:lang w:val="en-US" w:eastAsia="zh-CN" w:bidi="ar-SA"/>
                    </w:rPr>
                    <w:t>款，招商方全年分成总和小于等于保底价时，招商方按照保底价收取</w:t>
                  </w:r>
                  <w:r>
                    <w:rPr>
                      <w:rFonts w:hint="eastAsia" w:cs="宋体"/>
                      <w:spacing w:val="-3"/>
                      <w:kern w:val="2"/>
                      <w:position w:val="11"/>
                      <w:sz w:val="24"/>
                      <w:szCs w:val="24"/>
                      <w:highlight w:val="none"/>
                      <w:lang w:val="en-US" w:eastAsia="zh-CN" w:bidi="ar-SA"/>
                    </w:rPr>
                    <w:t>经营权转让</w:t>
                  </w:r>
                  <w:r>
                    <w:rPr>
                      <w:rFonts w:hint="eastAsia" w:ascii="宋体" w:hAnsi="宋体" w:eastAsia="宋体" w:cs="宋体"/>
                      <w:spacing w:val="-3"/>
                      <w:kern w:val="2"/>
                      <w:position w:val="11"/>
                      <w:sz w:val="24"/>
                      <w:szCs w:val="24"/>
                      <w:highlight w:val="none"/>
                      <w:lang w:val="en-US" w:eastAsia="zh-CN" w:bidi="ar-SA"/>
                    </w:rPr>
                    <w:t>款</w:t>
                  </w:r>
                  <w:r>
                    <w:rPr>
                      <w:rFonts w:hint="eastAsia" w:cs="宋体"/>
                      <w:spacing w:val="-3"/>
                      <w:kern w:val="2"/>
                      <w:position w:val="11"/>
                      <w:sz w:val="24"/>
                      <w:szCs w:val="24"/>
                      <w:highlight w:val="none"/>
                      <w:lang w:val="en-US" w:eastAsia="zh-CN" w:bidi="ar-SA"/>
                    </w:rPr>
                    <w:t>（每年具体结算时，若合作方前9个月的分成款超过保底价，则按分成款结算，若不足则按保底价结算（不足部分从合作方分成款扣除）。</w:t>
                  </w:r>
                  <w:r>
                    <w:rPr>
                      <w:rFonts w:hint="eastAsia" w:ascii="宋体" w:hAnsi="宋体" w:eastAsia="宋体" w:cs="宋体"/>
                      <w:spacing w:val="-3"/>
                      <w:kern w:val="2"/>
                      <w:position w:val="11"/>
                      <w:sz w:val="24"/>
                      <w:szCs w:val="24"/>
                      <w:highlight w:val="none"/>
                      <w:lang w:val="en-US" w:eastAsia="zh-CN" w:bidi="ar-SA"/>
                    </w:rPr>
                    <w:t>年度最后一个季度对全年应分成款进行核算，当全年应分成款≤保底价，最后一个季度招商方不再分成，营收款归合作方所有；当全年应分</w:t>
                  </w:r>
                  <w:r>
                    <w:rPr>
                      <w:rFonts w:hint="eastAsia" w:cs="宋体"/>
                      <w:spacing w:val="-3"/>
                      <w:kern w:val="2"/>
                      <w:position w:val="11"/>
                      <w:sz w:val="24"/>
                      <w:szCs w:val="24"/>
                      <w:highlight w:val="none"/>
                      <w:lang w:val="en-US" w:eastAsia="zh-CN" w:bidi="ar-SA"/>
                    </w:rPr>
                    <w:t>成款＞保底价，最后一个季度招商方按全年应分成款-前期已分成（或当前期分成不足保底价时已扣除的保底价）为招商方应得分成款。营收款项中扣除后仍达不到保底价部分合作方应在10个工作日内补齐，否则招商方有权终止合同，且不退还履约保证金。</w:t>
                  </w:r>
                </w:p>
                <w:p w14:paraId="6125A2F2">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pacing w:val="-3"/>
                      <w:kern w:val="2"/>
                      <w:position w:val="11"/>
                      <w:sz w:val="24"/>
                      <w:szCs w:val="24"/>
                      <w:highlight w:val="none"/>
                      <w:lang w:val="en-US" w:eastAsia="zh-CN" w:bidi="ar-SA"/>
                    </w:rPr>
                  </w:pPr>
                  <w:r>
                    <w:rPr>
                      <w:rFonts w:hint="eastAsia" w:ascii="宋体" w:hAnsi="宋体" w:eastAsia="宋体" w:cs="宋体"/>
                      <w:spacing w:val="-3"/>
                      <w:kern w:val="2"/>
                      <w:position w:val="11"/>
                      <w:sz w:val="24"/>
                      <w:szCs w:val="24"/>
                      <w:highlight w:val="none"/>
                      <w:lang w:val="en-US" w:eastAsia="zh-CN" w:bidi="ar-SA"/>
                    </w:rPr>
                    <w:t>2.合作方应在《招商结果通知书》出具之日至合同签订前向招商方提交履约保证金。</w:t>
                  </w:r>
                </w:p>
              </w:tc>
            </w:tr>
          </w:tbl>
          <w:p w14:paraId="6D0F16F9">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pacing w:val="-3"/>
                <w:kern w:val="2"/>
                <w:position w:val="11"/>
                <w:sz w:val="24"/>
                <w:szCs w:val="24"/>
                <w:highlight w:val="none"/>
                <w:lang w:val="en-US" w:eastAsia="zh-CN" w:bidi="ar-SA"/>
              </w:rPr>
            </w:pPr>
          </w:p>
        </w:tc>
      </w:tr>
      <w:tr w14:paraId="2E5CA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68" w:type="dxa"/>
            <w:gridSpan w:val="6"/>
            <w:tcBorders>
              <w:bottom w:val="single" w:color="auto" w:sz="4" w:space="0"/>
            </w:tcBorders>
            <w:noWrap w:val="0"/>
            <w:vAlign w:val="center"/>
          </w:tcPr>
          <w:p w14:paraId="760F2D6D">
            <w:pPr>
              <w:pStyle w:val="15"/>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spacing w:val="-3"/>
                <w:kern w:val="2"/>
                <w:position w:val="11"/>
                <w:sz w:val="24"/>
                <w:szCs w:val="24"/>
                <w:highlight w:val="none"/>
                <w:lang w:val="en-US" w:eastAsia="zh-CN" w:bidi="ar-SA"/>
              </w:rPr>
            </w:pPr>
            <w:r>
              <w:rPr>
                <w:rFonts w:hint="eastAsia" w:ascii="宋体" w:hAnsi="宋体" w:eastAsia="宋体" w:cs="宋体"/>
                <w:spacing w:val="-3"/>
                <w:kern w:val="2"/>
                <w:position w:val="11"/>
                <w:sz w:val="24"/>
                <w:szCs w:val="24"/>
                <w:highlight w:val="none"/>
                <w:lang w:val="en-US" w:eastAsia="zh-CN" w:bidi="ar-SA"/>
              </w:rPr>
              <w:t>对投标方资格的要求</w:t>
            </w:r>
            <w:r>
              <w:rPr>
                <w:rFonts w:hint="eastAsia" w:cs="宋体"/>
                <w:spacing w:val="-3"/>
                <w:kern w:val="2"/>
                <w:position w:val="11"/>
                <w:sz w:val="24"/>
                <w:szCs w:val="24"/>
                <w:highlight w:val="none"/>
                <w:lang w:val="en-US" w:eastAsia="zh-CN" w:bidi="ar-SA"/>
              </w:rPr>
              <w:t>（初审资格）</w:t>
            </w:r>
          </w:p>
        </w:tc>
      </w:tr>
      <w:tr w14:paraId="036CB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68" w:type="dxa"/>
            <w:gridSpan w:val="6"/>
            <w:tcBorders>
              <w:top w:val="single" w:color="auto" w:sz="4" w:space="0"/>
            </w:tcBorders>
            <w:noWrap w:val="0"/>
            <w:vAlign w:val="center"/>
          </w:tcPr>
          <w:p w14:paraId="1703FF9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1.在国内依法注册的独立法人实体，具备有效营业执照（经营范围须含旅游观光车运营服务)；</w:t>
            </w:r>
          </w:p>
          <w:p w14:paraId="3EFCAA3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2.具有独立承担民事责任的能力；</w:t>
            </w:r>
          </w:p>
          <w:p w14:paraId="1AA2AD4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eastAsia" w:ascii="宋体" w:hAnsi="宋体" w:eastAsia="宋体" w:cs="宋体"/>
                <w:snapToGrid w:val="0"/>
                <w:color w:val="000000"/>
                <w:kern w:val="0"/>
                <w:sz w:val="24"/>
                <w:szCs w:val="24"/>
                <w:highlight w:val="none"/>
                <w:lang w:val="en-US" w:eastAsia="zh-CN" w:bidi="zh-CN"/>
              </w:rPr>
            </w:pPr>
            <w:r>
              <w:rPr>
                <w:rFonts w:hint="eastAsia" w:cs="宋体"/>
                <w:snapToGrid w:val="0"/>
                <w:color w:val="000000"/>
                <w:kern w:val="0"/>
                <w:sz w:val="24"/>
                <w:szCs w:val="24"/>
                <w:highlight w:val="none"/>
                <w:lang w:val="en-US" w:eastAsia="zh-CN" w:bidi="zh-CN"/>
              </w:rPr>
              <w:t>3</w:t>
            </w:r>
            <w:r>
              <w:rPr>
                <w:rFonts w:hint="eastAsia" w:ascii="宋体" w:hAnsi="宋体" w:eastAsia="宋体" w:cs="宋体"/>
                <w:snapToGrid w:val="0"/>
                <w:color w:val="000000"/>
                <w:kern w:val="0"/>
                <w:sz w:val="24"/>
                <w:szCs w:val="24"/>
                <w:highlight w:val="none"/>
                <w:lang w:val="en-US" w:eastAsia="zh-CN" w:bidi="zh-CN"/>
              </w:rPr>
              <w:t>.参加本次招商项目活动前三年内没有重大违法记录。（投标人未被列入“信用中国”网站(www.creditchina.gov.cn)“记录失信被执行人或重大税收违法案件当事人名单或政府采购严重违法失信行为”记录名单。（以投标截止日当天在“信用中国”网站（www.creditchina.gov.cn</w:t>
            </w:r>
            <w:r>
              <w:rPr>
                <w:rFonts w:hint="eastAsia" w:cs="宋体"/>
                <w:snapToGrid w:val="0"/>
                <w:color w:val="000000"/>
                <w:kern w:val="0"/>
                <w:sz w:val="24"/>
                <w:szCs w:val="24"/>
                <w:highlight w:val="none"/>
                <w:lang w:val="en-US" w:eastAsia="zh-CN" w:bidi="zh-CN"/>
              </w:rPr>
              <w:t>）</w:t>
            </w:r>
            <w:r>
              <w:rPr>
                <w:rFonts w:hint="eastAsia" w:ascii="宋体" w:hAnsi="宋体" w:eastAsia="宋体" w:cs="宋体"/>
                <w:snapToGrid w:val="0"/>
                <w:color w:val="000000"/>
                <w:kern w:val="0"/>
                <w:sz w:val="24"/>
                <w:szCs w:val="24"/>
                <w:highlight w:val="none"/>
                <w:lang w:val="en-US" w:eastAsia="zh-CN" w:bidi="zh-CN"/>
              </w:rPr>
              <w:t>查询结果为准)。</w:t>
            </w:r>
          </w:p>
          <w:p w14:paraId="3E96B2E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eastAsia" w:ascii="宋体" w:hAnsi="宋体" w:eastAsia="宋体" w:cs="宋体"/>
                <w:snapToGrid w:val="0"/>
                <w:color w:val="000000"/>
                <w:kern w:val="0"/>
                <w:sz w:val="24"/>
                <w:szCs w:val="24"/>
                <w:highlight w:val="none"/>
                <w:lang w:val="en-US" w:eastAsia="zh-CN" w:bidi="zh-CN"/>
              </w:rPr>
            </w:pPr>
            <w:r>
              <w:rPr>
                <w:rFonts w:hint="eastAsia" w:cs="宋体"/>
                <w:snapToGrid w:val="0"/>
                <w:color w:val="000000"/>
                <w:kern w:val="0"/>
                <w:sz w:val="24"/>
                <w:szCs w:val="24"/>
                <w:highlight w:val="none"/>
                <w:lang w:val="en-US" w:eastAsia="zh-CN" w:bidi="zh-CN"/>
              </w:rPr>
              <w:t>4</w:t>
            </w:r>
            <w:r>
              <w:rPr>
                <w:rFonts w:hint="default" w:ascii="宋体" w:hAnsi="宋体" w:eastAsia="宋体" w:cs="宋体"/>
                <w:snapToGrid w:val="0"/>
                <w:color w:val="000000"/>
                <w:kern w:val="0"/>
                <w:sz w:val="24"/>
                <w:szCs w:val="24"/>
                <w:highlight w:val="none"/>
                <w:lang w:val="en-US" w:eastAsia="zh-CN" w:bidi="zh-CN"/>
              </w:rPr>
              <w:t>.</w:t>
            </w:r>
            <w:r>
              <w:rPr>
                <w:rFonts w:hint="eastAsia" w:ascii="宋体" w:hAnsi="宋体" w:eastAsia="宋体" w:cs="宋体"/>
                <w:snapToGrid w:val="0"/>
                <w:color w:val="000000"/>
                <w:kern w:val="0"/>
                <w:sz w:val="24"/>
                <w:szCs w:val="24"/>
                <w:highlight w:val="none"/>
                <w:lang w:val="en-US" w:eastAsia="zh-CN" w:bidi="zh-CN"/>
              </w:rPr>
              <w:t>具有1个4A级及以上景区观光车服务经营业绩；</w:t>
            </w:r>
          </w:p>
          <w:p w14:paraId="4A49079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default" w:ascii="宋体" w:hAnsi="宋体" w:eastAsia="宋体" w:cs="宋体"/>
                <w:snapToGrid w:val="0"/>
                <w:color w:val="auto"/>
                <w:kern w:val="0"/>
                <w:sz w:val="24"/>
                <w:szCs w:val="24"/>
                <w:highlight w:val="none"/>
                <w:lang w:val="en-US" w:eastAsia="zh-CN" w:bidi="zh-CN"/>
              </w:rPr>
            </w:pPr>
            <w:r>
              <w:rPr>
                <w:rFonts w:hint="eastAsia" w:cs="宋体"/>
                <w:snapToGrid w:val="0"/>
                <w:color w:val="auto"/>
                <w:kern w:val="0"/>
                <w:sz w:val="24"/>
                <w:szCs w:val="24"/>
                <w:highlight w:val="none"/>
                <w:lang w:val="en-US" w:eastAsia="zh-CN" w:bidi="zh-CN"/>
              </w:rPr>
              <w:t>5.</w:t>
            </w:r>
            <w:r>
              <w:rPr>
                <w:rFonts w:hint="default" w:ascii="宋体" w:hAnsi="宋体" w:eastAsia="宋体" w:cs="Times New Roman"/>
                <w:color w:val="auto"/>
                <w:spacing w:val="3"/>
                <w:sz w:val="24"/>
                <w:highlight w:val="none"/>
                <w:lang w:val="en-US" w:eastAsia="zh-CN"/>
              </w:rPr>
              <w:t>具有特种设备安全管理</w:t>
            </w:r>
            <w:r>
              <w:rPr>
                <w:rFonts w:hint="eastAsia" w:ascii="宋体" w:hAnsi="宋体" w:eastAsia="宋体" w:cs="Times New Roman"/>
                <w:color w:val="auto"/>
                <w:spacing w:val="3"/>
                <w:sz w:val="24"/>
                <w:highlight w:val="none"/>
                <w:lang w:val="en-US" w:eastAsia="zh-CN"/>
              </w:rPr>
              <w:t>A8证书</w:t>
            </w:r>
            <w:r>
              <w:rPr>
                <w:rFonts w:hint="default" w:ascii="宋体" w:hAnsi="宋体" w:eastAsia="宋体" w:cs="Times New Roman"/>
                <w:color w:val="auto"/>
                <w:spacing w:val="3"/>
                <w:sz w:val="24"/>
                <w:highlight w:val="none"/>
                <w:lang w:val="en-US" w:eastAsia="zh-CN"/>
              </w:rPr>
              <w:t>的</w:t>
            </w:r>
            <w:r>
              <w:rPr>
                <w:rFonts w:hint="eastAsia" w:ascii="宋体" w:hAnsi="宋体" w:eastAsia="宋体" w:cs="Times New Roman"/>
                <w:color w:val="auto"/>
                <w:spacing w:val="3"/>
                <w:sz w:val="24"/>
                <w:highlight w:val="none"/>
                <w:lang w:val="en-US" w:eastAsia="zh-CN"/>
              </w:rPr>
              <w:t>安全员</w:t>
            </w:r>
            <w:r>
              <w:rPr>
                <w:rFonts w:hint="eastAsia" w:cs="Times New Roman"/>
                <w:color w:val="auto"/>
                <w:spacing w:val="3"/>
                <w:sz w:val="24"/>
                <w:highlight w:val="none"/>
                <w:lang w:val="en-US" w:eastAsia="zh-CN"/>
              </w:rPr>
              <w:t>至少1名；</w:t>
            </w:r>
          </w:p>
          <w:p w14:paraId="1F86012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default" w:ascii="宋体" w:hAnsi="宋体" w:eastAsia="宋体" w:cs="宋体"/>
                <w:spacing w:val="-3"/>
                <w:kern w:val="2"/>
                <w:position w:val="11"/>
                <w:sz w:val="24"/>
                <w:szCs w:val="24"/>
                <w:highlight w:val="none"/>
                <w:lang w:val="en-US" w:eastAsia="zh-CN" w:bidi="ar-SA"/>
              </w:rPr>
            </w:pPr>
            <w:r>
              <w:rPr>
                <w:rFonts w:hint="eastAsia" w:cs="宋体"/>
                <w:snapToGrid w:val="0"/>
                <w:color w:val="000000"/>
                <w:kern w:val="0"/>
                <w:sz w:val="24"/>
                <w:szCs w:val="24"/>
                <w:highlight w:val="none"/>
                <w:lang w:val="en-US" w:eastAsia="zh-CN" w:bidi="zh-CN"/>
              </w:rPr>
              <w:t>6.</w:t>
            </w:r>
            <w:r>
              <w:rPr>
                <w:rFonts w:hint="eastAsia" w:ascii="宋体" w:hAnsi="宋体" w:eastAsia="宋体" w:cs="宋体"/>
                <w:snapToGrid w:val="0"/>
                <w:color w:val="000000"/>
                <w:kern w:val="0"/>
                <w:sz w:val="24"/>
                <w:szCs w:val="24"/>
                <w:highlight w:val="none"/>
                <w:lang w:val="en-US" w:eastAsia="zh-CN" w:bidi="zh-CN"/>
              </w:rPr>
              <w:t>有依法缴纳税收的良好记录；</w:t>
            </w:r>
          </w:p>
        </w:tc>
      </w:tr>
      <w:tr w14:paraId="7ADE0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6"/>
            <w:noWrap w:val="0"/>
            <w:vAlign w:val="center"/>
          </w:tcPr>
          <w:p w14:paraId="7CB1C082">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highlight w:val="none"/>
              </w:rPr>
            </w:pPr>
            <w:r>
              <w:rPr>
                <w:spacing w:val="-2"/>
                <w:highlight w:val="none"/>
              </w:rPr>
              <w:t>三、</w:t>
            </w:r>
            <w:r>
              <w:rPr>
                <w:rFonts w:hint="eastAsia"/>
                <w:spacing w:val="-2"/>
                <w:highlight w:val="none"/>
                <w:lang w:eastAsia="zh-CN"/>
              </w:rPr>
              <w:t>招商</w:t>
            </w:r>
            <w:r>
              <w:rPr>
                <w:spacing w:val="-2"/>
                <w:highlight w:val="none"/>
              </w:rPr>
              <w:t>条件</w:t>
            </w:r>
          </w:p>
        </w:tc>
      </w:tr>
      <w:tr w14:paraId="79D17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7" w:hRule="atLeast"/>
        </w:trPr>
        <w:tc>
          <w:tcPr>
            <w:tcW w:w="10068" w:type="dxa"/>
            <w:gridSpan w:val="6"/>
            <w:noWrap w:val="0"/>
            <w:vAlign w:val="center"/>
          </w:tcPr>
          <w:p w14:paraId="058C1870">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宋体"/>
                <w:snapToGrid w:val="0"/>
                <w:color w:val="000000"/>
                <w:kern w:val="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合作方未被合肥市及其所辖县（市）、区（开发区）公共资源交易监督管理部门记不良行为记录的；或被记不良行为记录（以公布日期为准）。</w:t>
            </w:r>
          </w:p>
          <w:p w14:paraId="49F53984">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宋体"/>
                <w:color w:val="00000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本项目不接受自然人及联合体报名及报价，不允许分包、转包或挂靠。</w:t>
            </w:r>
          </w:p>
          <w:p w14:paraId="6813B997">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宋体"/>
                <w:color w:val="000000"/>
                <w:sz w:val="24"/>
                <w:szCs w:val="24"/>
                <w:highlight w:val="none"/>
                <w:lang w:val="en-US" w:eastAsia="zh-CN" w:bidi="zh-CN"/>
              </w:rPr>
            </w:pPr>
            <w:r>
              <w:rPr>
                <w:rFonts w:hint="eastAsia" w:ascii="宋体" w:hAnsi="宋体" w:eastAsia="宋体" w:cs="宋体"/>
                <w:snapToGrid w:val="0"/>
                <w:color w:val="000000"/>
                <w:kern w:val="0"/>
                <w:sz w:val="24"/>
                <w:szCs w:val="24"/>
                <w:highlight w:val="none"/>
                <w:lang w:val="en-US" w:eastAsia="zh-CN" w:bidi="zh-CN"/>
              </w:rPr>
              <w:t>合肥文旅博览集团野生动物园管理有限公司职工及其亲属不得参与此次招商。</w:t>
            </w:r>
          </w:p>
        </w:tc>
      </w:tr>
      <w:tr w14:paraId="147C4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6"/>
            <w:noWrap w:val="0"/>
            <w:vAlign w:val="center"/>
          </w:tcPr>
          <w:p w14:paraId="474881D1">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cs="宋体"/>
                <w:color w:val="000000"/>
                <w:sz w:val="24"/>
                <w:szCs w:val="24"/>
                <w:highlight w:val="none"/>
                <w:lang w:eastAsia="zh-CN"/>
              </w:rPr>
              <w:t>四</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合作</w:t>
            </w:r>
            <w:r>
              <w:rPr>
                <w:rFonts w:hint="eastAsia" w:ascii="宋体" w:hAnsi="宋体" w:eastAsia="宋体" w:cs="宋体"/>
                <w:color w:val="000000"/>
                <w:sz w:val="24"/>
                <w:szCs w:val="24"/>
                <w:highlight w:val="none"/>
              </w:rPr>
              <w:t>条件</w:t>
            </w:r>
          </w:p>
        </w:tc>
      </w:tr>
      <w:tr w14:paraId="31FB8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68" w:type="dxa"/>
            <w:gridSpan w:val="6"/>
            <w:noWrap w:val="0"/>
            <w:vAlign w:val="center"/>
          </w:tcPr>
          <w:p w14:paraId="670B91D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highlight w:val="none"/>
              </w:rPr>
            </w:pPr>
            <w:r>
              <w:rPr>
                <w:rFonts w:hint="eastAsia" w:ascii="宋体" w:hAnsi="宋体" w:eastAsia="宋体" w:cs="宋体"/>
                <w:kern w:val="2"/>
                <w:sz w:val="24"/>
                <w:szCs w:val="24"/>
                <w:highlight w:val="none"/>
                <w:lang w:val="en-US" w:eastAsia="en-US" w:bidi="ar-SA"/>
              </w:rPr>
              <w:t>1、</w:t>
            </w:r>
            <w:r>
              <w:rPr>
                <w:rFonts w:hint="eastAsia"/>
                <w:highlight w:val="none"/>
              </w:rPr>
              <w:t>合作方应在本公告期截止前现场踏勘招商标的，就招商标的相关情况主动向招商方咨询，自行了解使用该</w:t>
            </w:r>
            <w:r>
              <w:rPr>
                <w:rFonts w:hint="eastAsia"/>
                <w:highlight w:val="none"/>
                <w:lang w:val="en-US" w:eastAsia="zh-CN"/>
              </w:rPr>
              <w:t>项目</w:t>
            </w:r>
            <w:r>
              <w:rPr>
                <w:rFonts w:hint="eastAsia"/>
                <w:highlight w:val="none"/>
              </w:rPr>
              <w:t>可能涉及的相关法律法规及市政规定；完成登记的合作方都视同已实地踏勘招商标的，确认了标的位置、范围、面积和现状等并认可招商要求，自愿承担因上述原因导致的一切后果和法律责任。</w:t>
            </w:r>
          </w:p>
          <w:p w14:paraId="11BEA57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highlight w:val="none"/>
              </w:rPr>
            </w:pPr>
            <w:r>
              <w:rPr>
                <w:rFonts w:hint="eastAsia" w:ascii="宋体" w:hAnsi="宋体" w:eastAsia="宋体" w:cs="宋体"/>
                <w:kern w:val="2"/>
                <w:sz w:val="24"/>
                <w:szCs w:val="24"/>
                <w:highlight w:val="none"/>
                <w:lang w:val="en-US" w:eastAsia="en-US" w:bidi="ar-SA"/>
              </w:rPr>
              <w:t>2、</w:t>
            </w:r>
            <w:r>
              <w:rPr>
                <w:rFonts w:hint="eastAsia"/>
                <w:highlight w:val="none"/>
              </w:rPr>
              <w:t>公告所列示的标的</w:t>
            </w:r>
            <w:r>
              <w:rPr>
                <w:rFonts w:hint="eastAsia"/>
                <w:highlight w:val="none"/>
                <w:lang w:val="en-US" w:eastAsia="zh-CN"/>
              </w:rPr>
              <w:t>评估价</w:t>
            </w:r>
            <w:r>
              <w:rPr>
                <w:rFonts w:hint="eastAsia"/>
                <w:highlight w:val="none"/>
              </w:rPr>
              <w:t>仅作参考，不作为确定</w:t>
            </w:r>
            <w:r>
              <w:rPr>
                <w:rFonts w:hint="eastAsia"/>
                <w:highlight w:val="none"/>
                <w:lang w:eastAsia="zh-CN"/>
              </w:rPr>
              <w:t>经营权转让</w:t>
            </w:r>
            <w:r>
              <w:rPr>
                <w:rFonts w:hint="eastAsia"/>
                <w:highlight w:val="none"/>
              </w:rPr>
              <w:t>分成款的依据，最终以标的实际</w:t>
            </w:r>
            <w:r>
              <w:rPr>
                <w:rFonts w:hint="eastAsia"/>
                <w:highlight w:val="none"/>
                <w:lang w:val="en-US" w:eastAsia="zh-CN"/>
              </w:rPr>
              <w:t>价格</w:t>
            </w:r>
            <w:r>
              <w:rPr>
                <w:rFonts w:hint="eastAsia"/>
                <w:highlight w:val="none"/>
              </w:rPr>
              <w:t>为准。</w:t>
            </w:r>
          </w:p>
          <w:p w14:paraId="6BEBB67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highlight w:val="none"/>
                <w:lang w:val="en-US" w:eastAsia="zh-CN"/>
              </w:rPr>
            </w:pPr>
            <w:r>
              <w:rPr>
                <w:rFonts w:hint="eastAsia" w:cs="宋体"/>
                <w:highlight w:val="none"/>
                <w:lang w:val="en-US" w:eastAsia="zh-CN"/>
              </w:rPr>
              <w:t>3、</w:t>
            </w:r>
            <w:r>
              <w:rPr>
                <w:rFonts w:hint="eastAsia" w:ascii="宋体" w:hAnsi="宋体" w:eastAsia="宋体" w:cs="宋体"/>
                <w:highlight w:val="none"/>
                <w:lang w:val="en-US" w:eastAsia="zh-CN"/>
              </w:rPr>
              <w:t>合作方</w:t>
            </w:r>
            <w:r>
              <w:rPr>
                <w:rFonts w:hint="eastAsia"/>
                <w:highlight w:val="none"/>
                <w:lang w:val="en-US" w:eastAsia="zh-CN"/>
              </w:rPr>
              <w:t>负责观光车停车场、观光车车棚、售票服务点、各站点、观光车专用人行通道等的设备设施配置、装饰装修、建设施工、安全、维修，由此产生的审批、申请、验收等相关费用及流程所需各项费用全部均由合作方自行承担。其中观光车停车场区域配备微型消防站一个（含相关消防器材）、车辆能源补给装置（充电桩）若干，及时检查维修，定期翻新（至少一年一次）。</w:t>
            </w:r>
            <w:r>
              <w:rPr>
                <w:rFonts w:hint="eastAsia" w:ascii="宋体" w:hAnsi="宋体" w:eastAsia="宋体" w:cs="宋体"/>
                <w:highlight w:val="none"/>
                <w:lang w:val="en-US" w:eastAsia="zh-CN"/>
              </w:rPr>
              <w:t>合作方</w:t>
            </w:r>
            <w:r>
              <w:rPr>
                <w:rFonts w:hint="eastAsia"/>
                <w:highlight w:val="none"/>
                <w:lang w:val="en-US" w:eastAsia="zh-CN"/>
              </w:rPr>
              <w:t>投入的装修、装潢部分应在合作期限结束后无偿地移交给招商方。</w:t>
            </w:r>
          </w:p>
          <w:p w14:paraId="53836FF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highlight w:val="none"/>
                <w:lang w:val="en-US" w:eastAsia="zh-CN"/>
              </w:rPr>
            </w:pPr>
            <w:r>
              <w:rPr>
                <w:rFonts w:hint="eastAsia"/>
                <w:highlight w:val="none"/>
                <w:lang w:val="en-US" w:eastAsia="zh-CN"/>
              </w:rPr>
              <w:t>4、</w:t>
            </w:r>
            <w:r>
              <w:rPr>
                <w:rFonts w:hint="default"/>
                <w:highlight w:val="none"/>
                <w:lang w:val="en-US" w:eastAsia="zh-CN"/>
              </w:rPr>
              <w:t>合同期满或终止或经双方协商同意合同提前解除时，</w:t>
            </w:r>
            <w:r>
              <w:rPr>
                <w:rFonts w:hint="eastAsia"/>
                <w:highlight w:val="none"/>
                <w:lang w:val="en-US" w:eastAsia="zh-CN"/>
              </w:rPr>
              <w:t>合作</w:t>
            </w:r>
            <w:r>
              <w:rPr>
                <w:rFonts w:hint="default"/>
                <w:highlight w:val="none"/>
                <w:lang w:val="en-US" w:eastAsia="zh-CN"/>
              </w:rPr>
              <w:t>方不得对项目相关建(构)筑物、设施及房屋装饰装修进行擅自拆除，</w:t>
            </w:r>
            <w:r>
              <w:rPr>
                <w:rFonts w:hint="eastAsia"/>
                <w:highlight w:val="none"/>
                <w:lang w:val="en-US" w:eastAsia="zh-CN"/>
              </w:rPr>
              <w:t>在合作期限结束后无偿地移交给招商方。合作</w:t>
            </w:r>
            <w:r>
              <w:rPr>
                <w:rFonts w:hint="default"/>
                <w:highlight w:val="none"/>
                <w:lang w:val="en-US" w:eastAsia="zh-CN"/>
              </w:rPr>
              <w:t>方需在三天内</w:t>
            </w:r>
            <w:r>
              <w:rPr>
                <w:rFonts w:hint="eastAsia"/>
                <w:highlight w:val="none"/>
                <w:lang w:val="en-US" w:eastAsia="zh-CN"/>
              </w:rPr>
              <w:t>根据招商方安排</w:t>
            </w:r>
            <w:r>
              <w:rPr>
                <w:rFonts w:hint="default"/>
                <w:highlight w:val="none"/>
                <w:lang w:val="en-US" w:eastAsia="zh-CN"/>
              </w:rPr>
              <w:t>清理</w:t>
            </w:r>
            <w:r>
              <w:rPr>
                <w:rFonts w:hint="eastAsia"/>
                <w:highlight w:val="none"/>
                <w:lang w:val="en-US" w:eastAsia="zh-CN"/>
              </w:rPr>
              <w:t>车辆及</w:t>
            </w:r>
            <w:r>
              <w:rPr>
                <w:rFonts w:hint="default"/>
                <w:highlight w:val="none"/>
                <w:lang w:val="en-US" w:eastAsia="zh-CN"/>
              </w:rPr>
              <w:t>物品，并撤出场地，否则视为物品原权利人放弃一切权利，由</w:t>
            </w:r>
            <w:r>
              <w:rPr>
                <w:rFonts w:hint="eastAsia"/>
                <w:highlight w:val="none"/>
                <w:lang w:val="en-US" w:eastAsia="zh-CN"/>
              </w:rPr>
              <w:t>招商方</w:t>
            </w:r>
            <w:r>
              <w:rPr>
                <w:rFonts w:hint="default"/>
                <w:highlight w:val="none"/>
                <w:lang w:val="en-US" w:eastAsia="zh-CN"/>
              </w:rPr>
              <w:t>自行处置</w:t>
            </w:r>
            <w:r>
              <w:rPr>
                <w:rFonts w:hint="eastAsia"/>
                <w:highlight w:val="none"/>
                <w:lang w:val="en-US" w:eastAsia="zh-CN"/>
              </w:rPr>
              <w:t>。</w:t>
            </w:r>
          </w:p>
          <w:p w14:paraId="6EF4B6B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rPr>
                <w:rFonts w:hint="eastAsia"/>
                <w:highlight w:val="none"/>
              </w:rPr>
            </w:pPr>
            <w:r>
              <w:rPr>
                <w:rFonts w:hint="eastAsia"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en-US" w:bidi="ar-SA"/>
              </w:rPr>
              <w:t>、</w:t>
            </w:r>
            <w:r>
              <w:rPr>
                <w:rFonts w:hint="eastAsia"/>
                <w:highlight w:val="none"/>
                <w:lang w:val="en-US" w:eastAsia="zh-CN"/>
              </w:rPr>
              <w:t>观光车服务项目相关场所设施的装修、设计、布置、建设及工作人员公示由</w:t>
            </w:r>
            <w:r>
              <w:rPr>
                <w:rFonts w:hint="eastAsia" w:ascii="宋体" w:hAnsi="宋体" w:eastAsia="宋体" w:cs="宋体"/>
                <w:highlight w:val="none"/>
                <w:lang w:val="en-US" w:eastAsia="zh-CN"/>
              </w:rPr>
              <w:t>合作方</w:t>
            </w:r>
            <w:r>
              <w:rPr>
                <w:rFonts w:hint="eastAsia"/>
                <w:highlight w:val="none"/>
                <w:lang w:val="en-US" w:eastAsia="zh-CN"/>
              </w:rPr>
              <w:t>负责，设计方案须经招商方审核批准，相关布置在景区指导下按指定的规格、式样、色彩设计制作。</w:t>
            </w:r>
            <w:r>
              <w:rPr>
                <w:rFonts w:hint="eastAsia" w:ascii="宋体" w:hAnsi="宋体" w:eastAsia="宋体" w:cs="宋体"/>
                <w:highlight w:val="none"/>
                <w:lang w:val="en-US" w:eastAsia="zh-CN"/>
              </w:rPr>
              <w:t>合作方</w:t>
            </w:r>
            <w:r>
              <w:rPr>
                <w:rFonts w:hint="eastAsia"/>
                <w:highlight w:val="none"/>
                <w:lang w:val="en-US" w:eastAsia="zh-CN"/>
              </w:rPr>
              <w:t>应当对其装饰装修行为的合法性、安全性、可靠性、有效性负责，招商方的同意行为不视为对</w:t>
            </w:r>
            <w:r>
              <w:rPr>
                <w:rFonts w:hint="eastAsia" w:ascii="宋体" w:hAnsi="宋体" w:eastAsia="宋体" w:cs="宋体"/>
                <w:highlight w:val="none"/>
                <w:lang w:val="en-US" w:eastAsia="zh-CN"/>
              </w:rPr>
              <w:t>合作方</w:t>
            </w:r>
            <w:r>
              <w:rPr>
                <w:rFonts w:hint="eastAsia"/>
                <w:highlight w:val="none"/>
                <w:lang w:val="en-US" w:eastAsia="zh-CN"/>
              </w:rPr>
              <w:t>上述义务的减轻或者豁免。</w:t>
            </w:r>
            <w:r>
              <w:rPr>
                <w:rFonts w:hint="eastAsia"/>
                <w:highlight w:val="none"/>
                <w:lang w:val="en-US" w:eastAsia="zh-CN"/>
              </w:rPr>
              <w:br w:type="textWrapping"/>
            </w:r>
            <w:r>
              <w:rPr>
                <w:rFonts w:hint="eastAsia"/>
                <w:highlight w:val="none"/>
                <w:lang w:val="en-US" w:eastAsia="zh-CN"/>
              </w:rPr>
              <w:t>6、合作</w:t>
            </w:r>
            <w:r>
              <w:rPr>
                <w:rFonts w:hint="eastAsia"/>
                <w:highlight w:val="none"/>
              </w:rPr>
              <w:t>方应按项目服务要求聘用人员、开展人员培训、配备服务车辆</w:t>
            </w:r>
            <w:r>
              <w:rPr>
                <w:rFonts w:hint="eastAsia"/>
                <w:highlight w:val="none"/>
                <w:lang w:val="en-US" w:eastAsia="zh-CN"/>
              </w:rPr>
              <w:t>并</w:t>
            </w:r>
            <w:r>
              <w:rPr>
                <w:rFonts w:hint="eastAsia"/>
                <w:highlight w:val="none"/>
              </w:rPr>
              <w:t xml:space="preserve">提供出厂检验合格证、《中华人民共和国特种设备制造许可证》等相关材料），在签订合同后 </w:t>
            </w:r>
            <w:r>
              <w:rPr>
                <w:rFonts w:hint="eastAsia"/>
                <w:highlight w:val="none"/>
                <w:lang w:val="en-US" w:eastAsia="zh-CN"/>
              </w:rPr>
              <w:t>15</w:t>
            </w:r>
            <w:r>
              <w:rPr>
                <w:rFonts w:hint="eastAsia"/>
                <w:highlight w:val="none"/>
              </w:rPr>
              <w:t>天内将工作人员聘用情况（包括但不限于劳动合同、持证上岗材料）、车辆设备购置到场材料（包括但不限于车辆及相关设备权属</w:t>
            </w:r>
            <w:r>
              <w:rPr>
                <w:rFonts w:hint="eastAsia"/>
                <w:highlight w:val="none"/>
                <w:lang w:val="en-US" w:eastAsia="zh-CN"/>
              </w:rPr>
              <w:t>合作</w:t>
            </w:r>
            <w:r>
              <w:rPr>
                <w:rFonts w:hint="eastAsia"/>
                <w:highlight w:val="none"/>
              </w:rPr>
              <w:t>方的证明、车辆设备配置信息）交由</w:t>
            </w:r>
            <w:r>
              <w:rPr>
                <w:rFonts w:hint="eastAsia"/>
                <w:highlight w:val="none"/>
                <w:lang w:val="en-US" w:eastAsia="zh-CN"/>
              </w:rPr>
              <w:t>招商方</w:t>
            </w:r>
            <w:r>
              <w:rPr>
                <w:rFonts w:hint="eastAsia"/>
                <w:highlight w:val="none"/>
              </w:rPr>
              <w:t>审核，审核合格后</w:t>
            </w:r>
            <w:r>
              <w:rPr>
                <w:rFonts w:hint="eastAsia"/>
                <w:highlight w:val="none"/>
                <w:lang w:val="en-US" w:eastAsia="zh-CN"/>
              </w:rPr>
              <w:t>才可进场运营。</w:t>
            </w:r>
          </w:p>
          <w:p w14:paraId="2FE9664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default" w:ascii="宋体" w:hAnsi="宋体" w:eastAsia="宋体" w:cs="宋体"/>
                <w:highlight w:val="none"/>
                <w:lang w:val="en-US"/>
              </w:rPr>
            </w:pPr>
            <w:r>
              <w:rPr>
                <w:rFonts w:hint="eastAsia" w:cs="宋体"/>
                <w:kern w:val="2"/>
                <w:sz w:val="24"/>
                <w:szCs w:val="24"/>
                <w:highlight w:val="none"/>
                <w:lang w:val="en-US" w:eastAsia="zh-CN" w:bidi="ar-SA"/>
              </w:rPr>
              <w:t>7</w:t>
            </w:r>
            <w:r>
              <w:rPr>
                <w:rFonts w:hint="eastAsia" w:ascii="宋体" w:hAnsi="宋体" w:eastAsia="宋体" w:cs="宋体"/>
                <w:kern w:val="2"/>
                <w:sz w:val="24"/>
                <w:szCs w:val="24"/>
                <w:highlight w:val="none"/>
                <w:lang w:val="en-US" w:eastAsia="en-US" w:bidi="ar-SA"/>
              </w:rPr>
              <w:t>、</w:t>
            </w:r>
            <w:r>
              <w:rPr>
                <w:rFonts w:hint="eastAsia" w:ascii="宋体" w:hAnsi="宋体" w:eastAsia="宋体" w:cs="宋体"/>
                <w:highlight w:val="none"/>
                <w:lang w:val="en-US" w:eastAsia="zh-CN"/>
              </w:rPr>
              <w:t>合作方需安排一位项目负责人驻场处理现场事务，每月驻场时间不少于22天，不在项目现场时则需指定一位项目代理负责人处理现场事务</w:t>
            </w:r>
            <w:r>
              <w:rPr>
                <w:rFonts w:hint="eastAsia" w:cs="宋体"/>
                <w:highlight w:val="none"/>
                <w:lang w:val="en-US" w:eastAsia="zh-CN"/>
              </w:rPr>
              <w:t>，项目负责人岗位职责详见</w:t>
            </w:r>
            <w:r>
              <w:rPr>
                <w:rFonts w:hint="default" w:ascii="宋体" w:hAnsi="宋体" w:eastAsia="宋体" w:cs="宋体"/>
                <w:color w:val="000000"/>
                <w:sz w:val="24"/>
                <w:szCs w:val="24"/>
                <w:highlight w:val="none"/>
                <w:lang w:val="en-US" w:eastAsia="zh-CN" w:bidi="zh-CN"/>
              </w:rPr>
              <w:t>本</w:t>
            </w:r>
            <w:r>
              <w:rPr>
                <w:rFonts w:hint="eastAsia" w:ascii="宋体" w:hAnsi="宋体" w:eastAsia="宋体" w:cs="宋体"/>
                <w:color w:val="000000"/>
                <w:sz w:val="24"/>
                <w:szCs w:val="24"/>
                <w:highlight w:val="none"/>
                <w:lang w:val="en-US" w:eastAsia="zh-CN" w:bidi="zh-CN"/>
              </w:rPr>
              <w:t>公告中附件《</w:t>
            </w:r>
            <w:r>
              <w:rPr>
                <w:rFonts w:hint="default" w:ascii="宋体" w:hAnsi="宋体" w:eastAsia="宋体" w:cs="宋体"/>
                <w:color w:val="000000"/>
                <w:sz w:val="24"/>
                <w:szCs w:val="24"/>
                <w:highlight w:val="none"/>
                <w:lang w:val="en-US" w:eastAsia="zh-CN" w:bidi="zh-CN"/>
              </w:rPr>
              <w:t>合肥野生动物园观光车</w:t>
            </w:r>
            <w:r>
              <w:rPr>
                <w:rFonts w:hint="eastAsia" w:cs="宋体"/>
                <w:color w:val="000000"/>
                <w:sz w:val="24"/>
                <w:szCs w:val="24"/>
                <w:highlight w:val="none"/>
                <w:lang w:val="en-US" w:eastAsia="zh-CN" w:bidi="zh-CN"/>
              </w:rPr>
              <w:t>项目经营权转让</w:t>
            </w:r>
            <w:r>
              <w:rPr>
                <w:rFonts w:hint="default" w:ascii="宋体" w:hAnsi="宋体" w:eastAsia="宋体" w:cs="宋体"/>
                <w:color w:val="000000"/>
                <w:sz w:val="24"/>
                <w:szCs w:val="24"/>
                <w:highlight w:val="none"/>
                <w:lang w:val="en-US" w:eastAsia="zh-CN" w:bidi="zh-CN"/>
              </w:rPr>
              <w:t>合同</w:t>
            </w:r>
            <w:r>
              <w:rPr>
                <w:rFonts w:hint="eastAsia" w:ascii="宋体" w:hAnsi="宋体" w:eastAsia="宋体" w:cs="宋体"/>
                <w:color w:val="000000"/>
                <w:sz w:val="24"/>
                <w:szCs w:val="24"/>
                <w:highlight w:val="none"/>
                <w:lang w:val="en-US" w:eastAsia="zh-CN" w:bidi="zh-CN"/>
              </w:rPr>
              <w:t>》</w:t>
            </w:r>
            <w:r>
              <w:rPr>
                <w:rFonts w:hint="default" w:ascii="宋体" w:hAnsi="宋体" w:eastAsia="宋体" w:cs="宋体"/>
                <w:color w:val="000000"/>
                <w:sz w:val="24"/>
                <w:szCs w:val="24"/>
                <w:highlight w:val="none"/>
                <w:lang w:val="en-US" w:eastAsia="zh-CN" w:bidi="zh-CN"/>
              </w:rPr>
              <w:t>合同条款</w:t>
            </w:r>
            <w:r>
              <w:rPr>
                <w:rFonts w:hint="eastAsia" w:cs="宋体"/>
                <w:color w:val="000000"/>
                <w:sz w:val="24"/>
                <w:szCs w:val="24"/>
                <w:highlight w:val="none"/>
                <w:lang w:val="en-US" w:eastAsia="zh-CN" w:bidi="zh-CN"/>
              </w:rPr>
              <w:t>“</w:t>
            </w:r>
            <w:r>
              <w:rPr>
                <w:rFonts w:hint="default" w:ascii="宋体" w:hAnsi="宋体" w:eastAsia="宋体" w:cs="宋体"/>
                <w:color w:val="000000"/>
                <w:sz w:val="24"/>
                <w:szCs w:val="24"/>
                <w:highlight w:val="none"/>
                <w:lang w:val="en-US" w:eastAsia="zh-CN" w:bidi="zh-CN"/>
              </w:rPr>
              <w:t>第六条  服务质量监管</w:t>
            </w:r>
            <w:r>
              <w:rPr>
                <w:rFonts w:hint="eastAsia" w:cs="宋体"/>
                <w:color w:val="000000"/>
                <w:sz w:val="24"/>
                <w:szCs w:val="24"/>
                <w:highlight w:val="none"/>
                <w:lang w:val="en-US" w:eastAsia="zh-CN" w:bidi="zh-CN"/>
              </w:rPr>
              <w:t>”第2项。</w:t>
            </w:r>
          </w:p>
          <w:p w14:paraId="586AEB3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highlight w:val="none"/>
              </w:rPr>
            </w:pPr>
            <w:r>
              <w:rPr>
                <w:rFonts w:hint="eastAsia"/>
                <w:highlight w:val="none"/>
                <w:lang w:val="en-US" w:eastAsia="zh-CN"/>
              </w:rPr>
              <w:t>8、</w:t>
            </w:r>
            <w:r>
              <w:rPr>
                <w:rFonts w:hint="eastAsia"/>
                <w:highlight w:val="none"/>
                <w:lang w:eastAsia="zh-CN"/>
              </w:rPr>
              <w:t>合作方</w:t>
            </w:r>
            <w:r>
              <w:rPr>
                <w:rFonts w:hint="eastAsia"/>
                <w:highlight w:val="none"/>
              </w:rPr>
              <w:t>必须遵守物价、工商、税务、卫生、公安、消防、综合治理、城市管理、设备检验等法律法规合法经营，营业执照、税务登记等证照齐全，</w:t>
            </w:r>
            <w:r>
              <w:rPr>
                <w:rFonts w:hint="eastAsia"/>
                <w:highlight w:val="none"/>
                <w:lang w:eastAsia="zh-CN"/>
              </w:rPr>
              <w:t>合作方</w:t>
            </w:r>
            <w:r>
              <w:rPr>
                <w:rFonts w:hint="eastAsia"/>
                <w:highlight w:val="none"/>
              </w:rPr>
              <w:t>在经营活动中所发生的债权债务由</w:t>
            </w:r>
            <w:r>
              <w:rPr>
                <w:rFonts w:hint="eastAsia"/>
                <w:highlight w:val="none"/>
                <w:lang w:eastAsia="zh-CN"/>
              </w:rPr>
              <w:t>合作方</w:t>
            </w:r>
            <w:r>
              <w:rPr>
                <w:rFonts w:hint="eastAsia"/>
                <w:highlight w:val="none"/>
              </w:rPr>
              <w:t>自行承担、解决。</w:t>
            </w:r>
          </w:p>
          <w:p w14:paraId="395EDD3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rPr>
                <w:rFonts w:hint="eastAsia"/>
                <w:highlight w:val="none"/>
              </w:rPr>
            </w:pPr>
            <w:r>
              <w:rPr>
                <w:rFonts w:hint="eastAsia" w:cs="宋体"/>
                <w:highlight w:val="none"/>
                <w:lang w:val="en-US" w:eastAsia="zh-CN"/>
              </w:rPr>
              <w:t>9</w:t>
            </w:r>
            <w:r>
              <w:rPr>
                <w:rFonts w:hint="eastAsia" w:ascii="宋体" w:hAnsi="宋体" w:eastAsia="宋体" w:cs="宋体"/>
                <w:highlight w:val="none"/>
                <w:lang w:val="en-US" w:eastAsia="zh-CN"/>
              </w:rPr>
              <w:t>、</w:t>
            </w:r>
            <w:r>
              <w:rPr>
                <w:rFonts w:hint="eastAsia" w:ascii="宋体" w:hAnsi="宋体" w:eastAsia="宋体" w:cs="宋体"/>
                <w:highlight w:val="none"/>
              </w:rPr>
              <w:t>合同期内，</w:t>
            </w:r>
            <w:r>
              <w:rPr>
                <w:rFonts w:hint="eastAsia" w:ascii="宋体" w:hAnsi="宋体" w:eastAsia="宋体" w:cs="宋体"/>
                <w:highlight w:val="none"/>
                <w:lang w:val="en-US" w:eastAsia="zh-CN"/>
              </w:rPr>
              <w:t>运营期间所产生的</w:t>
            </w:r>
            <w:r>
              <w:rPr>
                <w:rFonts w:hint="eastAsia" w:ascii="宋体" w:hAnsi="宋体" w:eastAsia="宋体" w:cs="宋体"/>
                <w:highlight w:val="none"/>
              </w:rPr>
              <w:t>水、电、通讯（网络）</w:t>
            </w:r>
            <w:r>
              <w:rPr>
                <w:rFonts w:hint="eastAsia" w:ascii="宋体" w:hAnsi="宋体" w:eastAsia="宋体" w:cs="宋体"/>
                <w:highlight w:val="none"/>
                <w:lang w:val="en-US" w:eastAsia="zh-CN"/>
              </w:rPr>
              <w:t>等</w:t>
            </w:r>
            <w:r>
              <w:rPr>
                <w:rFonts w:hint="eastAsia" w:ascii="宋体" w:hAnsi="宋体" w:eastAsia="宋体" w:cs="宋体"/>
                <w:highlight w:val="none"/>
              </w:rPr>
              <w:t>相关费用按实结算，</w:t>
            </w:r>
            <w:r>
              <w:rPr>
                <w:rFonts w:hint="eastAsia" w:ascii="宋体" w:hAnsi="宋体" w:eastAsia="宋体" w:cs="宋体"/>
                <w:highlight w:val="none"/>
                <w:lang w:val="en-US" w:eastAsia="zh-CN"/>
              </w:rPr>
              <w:t>由</w:t>
            </w:r>
            <w:r>
              <w:rPr>
                <w:rFonts w:hint="eastAsia" w:ascii="宋体" w:hAnsi="宋体" w:eastAsia="宋体" w:cs="宋体"/>
                <w:highlight w:val="none"/>
              </w:rPr>
              <w:t>合作方</w:t>
            </w:r>
            <w:r>
              <w:rPr>
                <w:rFonts w:hint="eastAsia" w:ascii="宋体" w:hAnsi="宋体" w:eastAsia="宋体" w:cs="宋体"/>
                <w:highlight w:val="none"/>
                <w:lang w:val="en-US" w:eastAsia="zh-CN"/>
              </w:rPr>
              <w:t>承担</w:t>
            </w:r>
            <w:r>
              <w:rPr>
                <w:rFonts w:hint="eastAsia" w:cs="宋体"/>
                <w:highlight w:val="none"/>
                <w:lang w:val="en-US" w:eastAsia="zh-CN"/>
              </w:rPr>
              <w:t>。</w:t>
            </w:r>
            <w:r>
              <w:rPr>
                <w:rFonts w:hint="eastAsia"/>
                <w:highlight w:val="none"/>
                <w:lang w:val="en-US" w:eastAsia="zh-CN"/>
              </w:rPr>
              <w:t>10、合作</w:t>
            </w:r>
            <w:r>
              <w:rPr>
                <w:rFonts w:hint="eastAsia"/>
                <w:highlight w:val="none"/>
              </w:rPr>
              <w:t>方对于</w:t>
            </w:r>
            <w:r>
              <w:rPr>
                <w:rFonts w:hint="eastAsia"/>
                <w:highlight w:val="none"/>
                <w:lang w:eastAsia="zh-CN"/>
              </w:rPr>
              <w:t>园区</w:t>
            </w:r>
            <w:r>
              <w:rPr>
                <w:rFonts w:hint="eastAsia"/>
                <w:highlight w:val="none"/>
              </w:rPr>
              <w:t>观光车票价、站点、线路及服务车型的调整需要征得甲方同意，票价调整需报经相关部门批准后方可执行，同时无条件配合相关部门要求提供包含但不限于财务、营运等材料，并确保其真实性与合法性，否则按违约处理。</w:t>
            </w:r>
          </w:p>
          <w:p w14:paraId="29FA6DE6">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highlight w:val="none"/>
              </w:rPr>
            </w:pPr>
            <w:r>
              <w:rPr>
                <w:rFonts w:hint="eastAsia"/>
                <w:highlight w:val="none"/>
                <w:lang w:val="en-US" w:eastAsia="zh-CN"/>
              </w:rPr>
              <w:t>11、</w:t>
            </w:r>
            <w:r>
              <w:rPr>
                <w:rFonts w:hint="eastAsia"/>
                <w:highlight w:val="none"/>
              </w:rPr>
              <w:t>合同期内，</w:t>
            </w:r>
            <w:r>
              <w:rPr>
                <w:rFonts w:hint="eastAsia"/>
                <w:highlight w:val="none"/>
                <w:lang w:val="en-US" w:eastAsia="zh-CN"/>
              </w:rPr>
              <w:t>合作方</w:t>
            </w:r>
            <w:r>
              <w:rPr>
                <w:rFonts w:hint="eastAsia"/>
                <w:highlight w:val="none"/>
              </w:rPr>
              <w:t>按合同要求做好观光车服务项目，合作方在合同履约期限不得以任何形式</w:t>
            </w:r>
            <w:r>
              <w:rPr>
                <w:spacing w:val="-1"/>
                <w:w w:val="99"/>
                <w:highlight w:val="none"/>
              </w:rPr>
              <w:t>自转让</w:t>
            </w:r>
            <w:r>
              <w:rPr>
                <w:rFonts w:hint="eastAsia"/>
                <w:highlight w:val="none"/>
              </w:rPr>
              <w:t>、</w:t>
            </w:r>
            <w:r>
              <w:rPr>
                <w:rFonts w:hint="eastAsia"/>
                <w:highlight w:val="none"/>
                <w:lang w:val="en-US" w:eastAsia="zh-CN"/>
              </w:rPr>
              <w:t>出租、分包及</w:t>
            </w:r>
            <w:r>
              <w:rPr>
                <w:rFonts w:hint="eastAsia"/>
                <w:highlight w:val="none"/>
              </w:rPr>
              <w:t>与他人</w:t>
            </w:r>
            <w:r>
              <w:rPr>
                <w:rFonts w:hint="eastAsia"/>
                <w:highlight w:val="none"/>
                <w:lang w:eastAsia="zh-CN"/>
              </w:rPr>
              <w:t>经营权转让</w:t>
            </w:r>
            <w:r>
              <w:rPr>
                <w:rFonts w:hint="eastAsia"/>
                <w:highlight w:val="none"/>
              </w:rPr>
              <w:t>。如有发生则招商方有权终止合作。</w:t>
            </w:r>
          </w:p>
          <w:p w14:paraId="589856CF">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highlight w:val="none"/>
              </w:rPr>
            </w:pPr>
            <w:r>
              <w:rPr>
                <w:rFonts w:hint="eastAsia"/>
                <w:highlight w:val="none"/>
                <w:lang w:val="en-US" w:eastAsia="zh-CN"/>
              </w:rPr>
              <w:t>12、</w:t>
            </w:r>
            <w:r>
              <w:rPr>
                <w:rFonts w:hint="eastAsia"/>
                <w:highlight w:val="none"/>
              </w:rPr>
              <w:t>合同期内，发生一切安全事故，均由</w:t>
            </w:r>
            <w:r>
              <w:rPr>
                <w:rFonts w:hint="eastAsia"/>
                <w:highlight w:val="none"/>
                <w:lang w:val="en-US" w:eastAsia="zh-CN"/>
              </w:rPr>
              <w:t>合作</w:t>
            </w:r>
            <w:r>
              <w:rPr>
                <w:rFonts w:hint="eastAsia"/>
                <w:highlight w:val="none"/>
              </w:rPr>
              <w:t>方承担全部责任。</w:t>
            </w:r>
          </w:p>
          <w:p w14:paraId="2A3B998E">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highlight w:val="none"/>
                <w:lang w:val="en-US" w:eastAsia="zh-CN"/>
              </w:rPr>
            </w:pPr>
            <w:r>
              <w:rPr>
                <w:rFonts w:hint="eastAsia"/>
                <w:highlight w:val="none"/>
                <w:lang w:val="en-US" w:eastAsia="zh-CN"/>
              </w:rPr>
              <w:t>13</w:t>
            </w:r>
            <w:r>
              <w:rPr>
                <w:rFonts w:hint="default"/>
                <w:highlight w:val="none"/>
                <w:lang w:val="en-US" w:eastAsia="zh-CN"/>
              </w:rPr>
              <w:t>、</w:t>
            </w:r>
            <w:r>
              <w:rPr>
                <w:rFonts w:hint="eastAsia"/>
                <w:highlight w:val="none"/>
                <w:lang w:val="en-US" w:eastAsia="zh-CN"/>
              </w:rPr>
              <w:t>合作方应做好投诉处理，按照“四不放过（事故原因未查清不放过、责任人员未处理不放过、责任人和群众未受教育不放过、整改措施未落实不放过）”原则及时处理，并形成书面汇报（包括处理方案）上报招商方审核，投诉涉及车辆行驶相关问题的,合作</w:t>
            </w:r>
            <w:r>
              <w:rPr>
                <w:rFonts w:hint="eastAsia"/>
                <w:highlight w:val="none"/>
              </w:rPr>
              <w:t>方</w:t>
            </w:r>
            <w:r>
              <w:rPr>
                <w:rFonts w:hint="eastAsia"/>
                <w:highlight w:val="none"/>
                <w:lang w:val="en-US" w:eastAsia="zh-CN"/>
              </w:rPr>
              <w:t>须向招商方提供涉事车辆当期行驶真实数据（包括但不限于与时间、车速、定位、车内外影像录音等），如无法提供，按违约处理。对于信访投诉、媒体曝光等出现的问题在核实事实后，未及时依照相关法律、法规和制度进行处理，落实整改的，按违约处理。</w:t>
            </w:r>
          </w:p>
          <w:p w14:paraId="634EE5FE">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default"/>
                <w:highlight w:val="none"/>
                <w:lang w:val="en-US" w:eastAsia="zh-CN"/>
              </w:rPr>
            </w:pPr>
            <w:r>
              <w:rPr>
                <w:rFonts w:hint="default"/>
                <w:highlight w:val="none"/>
                <w:lang w:val="en-US" w:eastAsia="zh-CN"/>
              </w:rPr>
              <w:t>1</w:t>
            </w:r>
            <w:r>
              <w:rPr>
                <w:rFonts w:hint="eastAsia"/>
                <w:highlight w:val="none"/>
                <w:lang w:val="en-US" w:eastAsia="zh-CN"/>
              </w:rPr>
              <w:t>4</w:t>
            </w:r>
            <w:r>
              <w:rPr>
                <w:rFonts w:hint="default"/>
                <w:highlight w:val="none"/>
                <w:lang w:val="en-US" w:eastAsia="zh-CN"/>
              </w:rPr>
              <w:t>.合同期间，</w:t>
            </w:r>
            <w:r>
              <w:rPr>
                <w:rFonts w:hint="eastAsia"/>
                <w:highlight w:val="none"/>
                <w:lang w:val="en-US" w:eastAsia="zh-CN"/>
              </w:rPr>
              <w:t>合作</w:t>
            </w:r>
            <w:r>
              <w:rPr>
                <w:rFonts w:hint="default"/>
                <w:highlight w:val="none"/>
                <w:lang w:val="en-US" w:eastAsia="zh-CN"/>
              </w:rPr>
              <w:t>方不得以任何理由要求减免底价及分成款。如遇政府征用、城市建设和景区发展等</w:t>
            </w:r>
            <w:r>
              <w:rPr>
                <w:rFonts w:hint="eastAsia"/>
                <w:highlight w:val="none"/>
                <w:lang w:val="en-US" w:eastAsia="zh-CN"/>
              </w:rPr>
              <w:t>其他不可抗力因素</w:t>
            </w:r>
            <w:r>
              <w:rPr>
                <w:rFonts w:hint="default"/>
                <w:highlight w:val="none"/>
                <w:lang w:val="en-US" w:eastAsia="zh-CN"/>
              </w:rPr>
              <w:t>需要</w:t>
            </w:r>
            <w:r>
              <w:rPr>
                <w:rFonts w:hint="eastAsia"/>
                <w:highlight w:val="none"/>
                <w:lang w:val="en-US" w:eastAsia="zh-CN"/>
              </w:rPr>
              <w:t>更改车辆行驶路线、站点、停车场地或</w:t>
            </w:r>
            <w:r>
              <w:rPr>
                <w:rFonts w:hint="default"/>
                <w:highlight w:val="none"/>
                <w:lang w:val="en-US" w:eastAsia="zh-CN"/>
              </w:rPr>
              <w:t>收回项目经营场地时，</w:t>
            </w:r>
            <w:r>
              <w:rPr>
                <w:rFonts w:hint="eastAsia"/>
                <w:highlight w:val="none"/>
                <w:lang w:val="en-US" w:eastAsia="zh-CN"/>
              </w:rPr>
              <w:t>招商方</w:t>
            </w:r>
            <w:r>
              <w:rPr>
                <w:rFonts w:hint="default"/>
                <w:highlight w:val="none"/>
                <w:lang w:val="en-US" w:eastAsia="zh-CN"/>
              </w:rPr>
              <w:t>应提前通知</w:t>
            </w:r>
            <w:r>
              <w:rPr>
                <w:rFonts w:hint="eastAsia"/>
                <w:highlight w:val="none"/>
                <w:lang w:val="en-US" w:eastAsia="zh-CN"/>
              </w:rPr>
              <w:t>合作</w:t>
            </w:r>
            <w:r>
              <w:rPr>
                <w:rFonts w:hint="default"/>
                <w:highlight w:val="none"/>
                <w:lang w:val="en-US" w:eastAsia="zh-CN"/>
              </w:rPr>
              <w:t>方，</w:t>
            </w:r>
            <w:r>
              <w:rPr>
                <w:rFonts w:hint="eastAsia"/>
                <w:highlight w:val="none"/>
                <w:lang w:val="en-US" w:eastAsia="zh-CN"/>
              </w:rPr>
              <w:t>合作</w:t>
            </w:r>
            <w:r>
              <w:rPr>
                <w:rFonts w:hint="default"/>
                <w:highlight w:val="none"/>
                <w:lang w:val="en-US" w:eastAsia="zh-CN"/>
              </w:rPr>
              <w:t>方应无条件服从，互不承担对方损失</w:t>
            </w:r>
            <w:r>
              <w:rPr>
                <w:rFonts w:hint="eastAsia"/>
                <w:highlight w:val="none"/>
                <w:lang w:val="en-US" w:eastAsia="zh-CN"/>
              </w:rPr>
              <w:t>。</w:t>
            </w:r>
            <w:r>
              <w:rPr>
                <w:rFonts w:hint="default"/>
                <w:highlight w:val="none"/>
                <w:lang w:val="en-US" w:eastAsia="zh-CN"/>
              </w:rPr>
              <w:t>合同自然终止，底价及分成款按照实际合作时间计算，不足整月的按实际天数计算，多退少补。</w:t>
            </w:r>
          </w:p>
          <w:p w14:paraId="5891DC01">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highlight w:val="none"/>
              </w:rPr>
            </w:pPr>
            <w:r>
              <w:rPr>
                <w:rFonts w:hint="eastAsia"/>
                <w:highlight w:val="none"/>
                <w:lang w:val="en-US" w:eastAsia="zh-CN"/>
              </w:rPr>
              <w:t>15、</w:t>
            </w:r>
            <w:r>
              <w:rPr>
                <w:rFonts w:hint="eastAsia"/>
                <w:highlight w:val="none"/>
              </w:rPr>
              <w:t>合作方应在《招商结果通知书》发出之日起7个工作日内与招商方签订《</w:t>
            </w:r>
            <w:r>
              <w:rPr>
                <w:rFonts w:hint="eastAsia"/>
                <w:highlight w:val="none"/>
                <w:lang w:eastAsia="zh-CN"/>
              </w:rPr>
              <w:t>经营权转让</w:t>
            </w:r>
            <w:r>
              <w:rPr>
                <w:rFonts w:hint="eastAsia"/>
                <w:highlight w:val="none"/>
              </w:rPr>
              <w:t>合同》。</w:t>
            </w:r>
          </w:p>
          <w:p w14:paraId="26907673">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highlight w:val="none"/>
              </w:rPr>
            </w:pPr>
            <w:r>
              <w:rPr>
                <w:rFonts w:hint="eastAsia"/>
                <w:highlight w:val="none"/>
                <w:lang w:val="en-US" w:eastAsia="zh-CN"/>
              </w:rPr>
              <w:t>16、</w:t>
            </w:r>
            <w:r>
              <w:rPr>
                <w:rFonts w:hint="eastAsia"/>
                <w:highlight w:val="none"/>
              </w:rPr>
              <w:t>其他未尽事宜详见本公告附件《</w:t>
            </w:r>
            <w:r>
              <w:rPr>
                <w:rFonts w:hint="eastAsia"/>
                <w:highlight w:val="none"/>
                <w:lang w:eastAsia="zh-CN"/>
              </w:rPr>
              <w:t>经营权转让</w:t>
            </w:r>
            <w:r>
              <w:rPr>
                <w:rFonts w:hint="eastAsia"/>
                <w:highlight w:val="none"/>
              </w:rPr>
              <w:t>合同》。</w:t>
            </w:r>
          </w:p>
          <w:p w14:paraId="5BF2058B">
            <w:pPr>
              <w:pStyle w:val="15"/>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highlight w:val="none"/>
              </w:rPr>
            </w:pPr>
            <w:r>
              <w:rPr>
                <w:rFonts w:hint="eastAsia"/>
                <w:highlight w:val="none"/>
                <w:lang w:val="en-US" w:eastAsia="zh-CN"/>
              </w:rPr>
              <w:t>17、</w:t>
            </w:r>
            <w:r>
              <w:rPr>
                <w:rFonts w:hint="eastAsia"/>
                <w:highlight w:val="none"/>
              </w:rPr>
              <w:t>特别说明：</w:t>
            </w:r>
          </w:p>
          <w:p w14:paraId="76972153">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eastAsia="宋体"/>
                <w:highlight w:val="none"/>
                <w:lang w:val="en-US" w:eastAsia="zh-CN"/>
              </w:rPr>
            </w:pPr>
            <w:r>
              <w:rPr>
                <w:rFonts w:hint="eastAsia"/>
                <w:highlight w:val="none"/>
              </w:rPr>
              <w:t>合作方需自行评估参与本次招商的预期风险及收益，参与合肥文旅博览集团野生动物园管理有限公司招商视作认可合肥文旅博览集团野生动物园管理有限公司招商相关要求及规定，本招商公告最终解释权归合肥文旅博览集团野生动物园管理有限公司所有。</w:t>
            </w:r>
          </w:p>
        </w:tc>
      </w:tr>
    </w:tbl>
    <w:tbl>
      <w:tblPr>
        <w:tblStyle w:val="11"/>
        <w:tblW w:w="100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8"/>
      </w:tblGrid>
      <w:tr w14:paraId="461E2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10068" w:type="dxa"/>
            <w:noWrap w:val="0"/>
            <w:vAlign w:val="top"/>
          </w:tcPr>
          <w:p w14:paraId="332A58C1">
            <w:pPr>
              <w:pStyle w:val="17"/>
              <w:spacing w:before="66"/>
              <w:ind w:right="3024" w:firstLine="3600" w:firstLineChars="1500"/>
              <w:jc w:val="both"/>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五</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中标方</w:t>
            </w:r>
            <w:r>
              <w:rPr>
                <w:rFonts w:hint="eastAsia" w:ascii="宋体" w:hAnsi="宋体" w:eastAsia="宋体" w:cs="宋体"/>
                <w:color w:val="000000"/>
                <w:sz w:val="24"/>
                <w:szCs w:val="24"/>
                <w:highlight w:val="none"/>
              </w:rPr>
              <w:t xml:space="preserve">确定方式 </w:t>
            </w:r>
          </w:p>
        </w:tc>
      </w:tr>
      <w:tr w14:paraId="5F051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0068" w:type="dxa"/>
            <w:noWrap w:val="0"/>
            <w:vAlign w:val="top"/>
          </w:tcPr>
          <w:p w14:paraId="390C4FEB">
            <w:pPr>
              <w:pStyle w:val="15"/>
              <w:numPr>
                <w:ilvl w:val="0"/>
                <w:numId w:val="0"/>
              </w:numPr>
              <w:kinsoku w:val="0"/>
              <w:autoSpaceDE w:val="0"/>
              <w:autoSpaceDN w:val="0"/>
              <w:adjustRightInd w:val="0"/>
              <w:snapToGrid w:val="0"/>
              <w:spacing w:before="115" w:line="263" w:lineRule="auto"/>
              <w:ind w:right="70" w:rightChars="0" w:firstLine="480" w:firstLineChars="200"/>
              <w:jc w:val="left"/>
              <w:textAlignment w:val="baseline"/>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本项目采用</w:t>
            </w:r>
            <w:r>
              <w:rPr>
                <w:rFonts w:hint="eastAsia" w:cs="宋体"/>
                <w:b w:val="0"/>
                <w:bCs w:val="0"/>
                <w:color w:val="000000"/>
                <w:sz w:val="24"/>
                <w:szCs w:val="24"/>
                <w:highlight w:val="none"/>
                <w:lang w:val="en-US" w:eastAsia="zh-CN"/>
              </w:rPr>
              <w:t>综合评分法</w:t>
            </w:r>
            <w:r>
              <w:rPr>
                <w:rFonts w:hint="eastAsia" w:ascii="宋体" w:hAnsi="宋体" w:eastAsia="宋体" w:cs="宋体"/>
                <w:b w:val="0"/>
                <w:bCs w:val="0"/>
                <w:color w:val="000000"/>
                <w:sz w:val="24"/>
                <w:szCs w:val="24"/>
                <w:highlight w:val="none"/>
                <w:lang w:val="en-US" w:eastAsia="zh-CN"/>
              </w:rPr>
              <w:t>。</w:t>
            </w:r>
            <w:r>
              <w:rPr>
                <w:rFonts w:hint="eastAsia" w:cs="宋体"/>
                <w:b w:val="0"/>
                <w:bCs w:val="0"/>
                <w:color w:val="000000"/>
                <w:sz w:val="24"/>
                <w:szCs w:val="24"/>
                <w:highlight w:val="none"/>
                <w:lang w:val="en-US" w:eastAsia="zh-CN"/>
              </w:rPr>
              <w:t>得分</w:t>
            </w:r>
            <w:r>
              <w:rPr>
                <w:rFonts w:hint="eastAsia" w:ascii="宋体" w:hAnsi="宋体" w:eastAsia="宋体" w:cs="宋体"/>
                <w:b w:val="0"/>
                <w:bCs w:val="0"/>
                <w:color w:val="000000"/>
                <w:sz w:val="24"/>
                <w:szCs w:val="24"/>
                <w:highlight w:val="none"/>
                <w:lang w:val="en-US" w:eastAsia="zh-CN"/>
              </w:rPr>
              <w:t>最高者确定为本项目最终</w:t>
            </w:r>
            <w:r>
              <w:rPr>
                <w:rFonts w:hint="eastAsia" w:cs="宋体"/>
                <w:b w:val="0"/>
                <w:bCs w:val="0"/>
                <w:color w:val="000000"/>
                <w:sz w:val="24"/>
                <w:szCs w:val="24"/>
                <w:highlight w:val="none"/>
                <w:lang w:val="en-US" w:eastAsia="zh-CN"/>
              </w:rPr>
              <w:t>合作</w:t>
            </w:r>
            <w:r>
              <w:rPr>
                <w:rFonts w:hint="eastAsia" w:ascii="宋体" w:hAnsi="宋体" w:eastAsia="宋体" w:cs="宋体"/>
                <w:b w:val="0"/>
                <w:bCs w:val="0"/>
                <w:color w:val="000000"/>
                <w:sz w:val="24"/>
                <w:szCs w:val="24"/>
                <w:highlight w:val="none"/>
                <w:lang w:val="en-US" w:eastAsia="zh-CN"/>
              </w:rPr>
              <w:t>方。</w:t>
            </w:r>
            <w:r>
              <w:rPr>
                <w:rFonts w:hint="eastAsia"/>
                <w:highlight w:val="none"/>
                <w:lang w:eastAsia="zh-CN"/>
              </w:rPr>
              <w:t>若此次招商所有合作方综合得分均低于</w:t>
            </w:r>
            <w:r>
              <w:rPr>
                <w:rFonts w:hint="eastAsia"/>
                <w:highlight w:val="none"/>
                <w:lang w:val="en-US" w:eastAsia="zh-CN"/>
              </w:rPr>
              <w:t>60分，则本次招商无效。</w:t>
            </w:r>
          </w:p>
          <w:tbl>
            <w:tblPr>
              <w:tblStyle w:val="11"/>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100"/>
              <w:gridCol w:w="6772"/>
              <w:gridCol w:w="1336"/>
            </w:tblGrid>
            <w:tr w14:paraId="2477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78" w:type="dxa"/>
                  <w:gridSpan w:val="4"/>
                  <w:noWrap w:val="0"/>
                  <w:vAlign w:val="center"/>
                </w:tcPr>
                <w:p w14:paraId="27887F8E">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商务、技术部分详细评审表</w:t>
                  </w:r>
                </w:p>
              </w:tc>
            </w:tr>
            <w:tr w14:paraId="731A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70" w:type="dxa"/>
                  <w:shd w:val="clear" w:color="auto" w:fill="auto"/>
                  <w:noWrap w:val="0"/>
                  <w:vAlign w:val="center"/>
                </w:tcPr>
                <w:p w14:paraId="13D63B18">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序号</w:t>
                  </w:r>
                </w:p>
              </w:tc>
              <w:tc>
                <w:tcPr>
                  <w:tcW w:w="1100" w:type="dxa"/>
                  <w:shd w:val="clear" w:color="auto" w:fill="auto"/>
                  <w:noWrap w:val="0"/>
                  <w:vAlign w:val="center"/>
                </w:tcPr>
                <w:p w14:paraId="0EDCF3A8">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指标</w:t>
                  </w:r>
                </w:p>
              </w:tc>
              <w:tc>
                <w:tcPr>
                  <w:tcW w:w="6772" w:type="dxa"/>
                  <w:shd w:val="clear" w:color="auto" w:fill="auto"/>
                  <w:noWrap w:val="0"/>
                  <w:vAlign w:val="center"/>
                </w:tcPr>
                <w:p w14:paraId="06509C82">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指标描述</w:t>
                  </w:r>
                </w:p>
              </w:tc>
              <w:tc>
                <w:tcPr>
                  <w:tcW w:w="1336" w:type="dxa"/>
                  <w:shd w:val="clear" w:color="auto" w:fill="auto"/>
                  <w:noWrap w:val="0"/>
                  <w:vAlign w:val="center"/>
                </w:tcPr>
                <w:p w14:paraId="32EC54BB">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分值 </w:t>
                  </w:r>
                </w:p>
                <w:p w14:paraId="5EA29F8C">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Cs/>
                      <w:color w:val="000000"/>
                      <w:sz w:val="24"/>
                      <w:szCs w:val="24"/>
                      <w:highlight w:val="none"/>
                    </w:rPr>
                  </w:pPr>
                  <w:r>
                    <w:rPr>
                      <w:rFonts w:hint="eastAsia" w:ascii="宋体" w:hAnsi="宋体" w:cs="宋体"/>
                      <w:bCs/>
                      <w:color w:val="000000"/>
                      <w:sz w:val="24"/>
                      <w:szCs w:val="24"/>
                      <w:highlight w:val="none"/>
                    </w:rPr>
                    <w:t xml:space="preserve"> </w:t>
                  </w:r>
                  <w:r>
                    <w:rPr>
                      <w:rFonts w:hint="eastAsia" w:ascii="宋体" w:hAnsi="宋体" w:eastAsia="宋体" w:cs="宋体"/>
                      <w:bCs/>
                      <w:color w:val="000000"/>
                      <w:sz w:val="24"/>
                      <w:szCs w:val="24"/>
                      <w:highlight w:val="none"/>
                      <w:lang w:val="en-US" w:eastAsia="zh-CN"/>
                    </w:rPr>
                    <w:t xml:space="preserve"> </w:t>
                  </w:r>
                  <w:r>
                    <w:rPr>
                      <w:rFonts w:hint="eastAsia" w:ascii="宋体" w:hAnsi="宋体" w:cs="宋体"/>
                      <w:bCs/>
                      <w:color w:val="000000"/>
                      <w:sz w:val="24"/>
                      <w:szCs w:val="24"/>
                      <w:highlight w:val="none"/>
                    </w:rPr>
                    <w:t>范围</w:t>
                  </w:r>
                </w:p>
              </w:tc>
            </w:tr>
            <w:tr w14:paraId="396A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70" w:type="dxa"/>
                  <w:shd w:val="clear" w:color="auto" w:fill="auto"/>
                  <w:noWrap w:val="0"/>
                  <w:vAlign w:val="center"/>
                </w:tcPr>
                <w:p w14:paraId="06B23B61">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Arial" w:cs="宋体"/>
                      <w:bCs/>
                      <w:color w:val="000000"/>
                      <w:kern w:val="2"/>
                      <w:sz w:val="24"/>
                      <w:szCs w:val="24"/>
                      <w:highlight w:val="none"/>
                      <w:lang w:val="en-US" w:eastAsia="zh-CN" w:bidi="ar-SA"/>
                    </w:rPr>
                  </w:pPr>
                  <w:r>
                    <w:rPr>
                      <w:rFonts w:hint="eastAsia" w:ascii="宋体" w:hAnsi="宋体" w:cs="宋体"/>
                      <w:bCs/>
                      <w:color w:val="000000"/>
                      <w:kern w:val="2"/>
                      <w:sz w:val="24"/>
                      <w:szCs w:val="24"/>
                      <w:highlight w:val="none"/>
                      <w:lang w:val="en-US" w:eastAsia="zh-CN" w:bidi="ar-SA"/>
                    </w:rPr>
                    <w:t>1</w:t>
                  </w:r>
                </w:p>
              </w:tc>
              <w:tc>
                <w:tcPr>
                  <w:tcW w:w="1100" w:type="dxa"/>
                  <w:shd w:val="clear" w:color="auto" w:fill="auto"/>
                  <w:noWrap w:val="0"/>
                  <w:vAlign w:val="center"/>
                </w:tcPr>
                <w:p w14:paraId="71BA2690">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体系认证</w:t>
                  </w:r>
                </w:p>
              </w:tc>
              <w:tc>
                <w:tcPr>
                  <w:tcW w:w="6772" w:type="dxa"/>
                  <w:shd w:val="clear" w:color="auto" w:fill="auto"/>
                  <w:noWrap w:val="0"/>
                  <w:vAlign w:val="center"/>
                </w:tcPr>
                <w:p w14:paraId="7003A132">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投标人具有中国国家认证认可监督管理委员会（认监委）认可的认证机构颁发的有效质量管理体系认证证书、环境管理体系认证证书、职业健康安全管理体系认证证书进行打分，每提供一个证书得1分，满分3分。未提供或提供不符合要求的不得分。</w:t>
                  </w:r>
                </w:p>
                <w:p w14:paraId="0EB0249D">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注：投标文件中须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1336" w:type="dxa"/>
                  <w:shd w:val="clear" w:color="auto" w:fill="auto"/>
                  <w:noWrap w:val="0"/>
                  <w:vAlign w:val="center"/>
                </w:tcPr>
                <w:p w14:paraId="5C472CA4">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left"/>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0-3分</w:t>
                  </w:r>
                </w:p>
              </w:tc>
            </w:tr>
            <w:tr w14:paraId="2FC1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69E5296E">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2</w:t>
                  </w:r>
                </w:p>
              </w:tc>
              <w:tc>
                <w:tcPr>
                  <w:tcW w:w="1100" w:type="dxa"/>
                  <w:noWrap w:val="0"/>
                  <w:vAlign w:val="center"/>
                </w:tcPr>
                <w:p w14:paraId="3BBD4B00">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合作方业绩</w:t>
                  </w:r>
                </w:p>
              </w:tc>
              <w:tc>
                <w:tcPr>
                  <w:tcW w:w="6772" w:type="dxa"/>
                  <w:noWrap w:val="0"/>
                  <w:vAlign w:val="center"/>
                </w:tcPr>
                <w:p w14:paraId="7AF3FE87">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合作方提供2019年1月1日以来4A级及以上（含4A）景区观光车服务（合同签约方与投标人一致）业绩，每提供一个业绩证明得3分，最多得12分。未提供或提供不符合要求的不得分。</w:t>
                  </w:r>
                </w:p>
                <w:p w14:paraId="2732CDE8">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注：</w:t>
                  </w:r>
                  <w:r>
                    <w:rPr>
                      <w:rFonts w:hint="eastAsia" w:ascii="宋体" w:hAnsi="宋体" w:eastAsia="宋体" w:cs="Times New Roman"/>
                      <w:color w:val="000000"/>
                      <w:spacing w:val="3"/>
                      <w:sz w:val="24"/>
                      <w:highlight w:val="none"/>
                      <w:lang w:val="en-US" w:eastAsia="zh-CN"/>
                    </w:rPr>
                    <w:t>合作方</w:t>
                  </w:r>
                  <w:r>
                    <w:rPr>
                      <w:rFonts w:hint="default" w:ascii="宋体" w:hAnsi="宋体" w:eastAsia="宋体" w:cs="Times New Roman"/>
                      <w:color w:val="000000"/>
                      <w:spacing w:val="3"/>
                      <w:sz w:val="24"/>
                      <w:highlight w:val="none"/>
                      <w:lang w:val="en-US" w:eastAsia="zh-CN"/>
                    </w:rPr>
                    <w:t>须</w:t>
                  </w:r>
                  <w:r>
                    <w:rPr>
                      <w:rFonts w:hint="eastAsia" w:ascii="宋体" w:hAnsi="宋体" w:eastAsia="宋体" w:cs="Times New Roman"/>
                      <w:color w:val="auto"/>
                      <w:spacing w:val="3"/>
                      <w:sz w:val="24"/>
                      <w:highlight w:val="none"/>
                      <w:lang w:val="en-US" w:eastAsia="zh-CN"/>
                    </w:rPr>
                    <w:t>提供合同关键页复印件并加盖公章：合同首页、服务内容页、甲乙方盖章页、签订时间页。该业绩可与初审业绩共用。</w:t>
                  </w:r>
                </w:p>
              </w:tc>
              <w:tc>
                <w:tcPr>
                  <w:tcW w:w="1336" w:type="dxa"/>
                  <w:noWrap w:val="0"/>
                  <w:vAlign w:val="center"/>
                </w:tcPr>
                <w:p w14:paraId="4BF58EA7">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ascii="宋体" w:hAnsi="宋体" w:cs="宋体"/>
                      <w:bCs/>
                      <w:color w:val="000000"/>
                      <w:sz w:val="24"/>
                      <w:szCs w:val="24"/>
                      <w:highlight w:val="none"/>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12</w:t>
                  </w:r>
                  <w:r>
                    <w:rPr>
                      <w:rFonts w:hint="eastAsia" w:ascii="宋体" w:hAnsi="宋体" w:cs="宋体"/>
                      <w:bCs/>
                      <w:color w:val="auto"/>
                      <w:sz w:val="24"/>
                      <w:szCs w:val="24"/>
                      <w:highlight w:val="none"/>
                    </w:rPr>
                    <w:t>分</w:t>
                  </w:r>
                </w:p>
              </w:tc>
            </w:tr>
            <w:tr w14:paraId="7256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70" w:type="dxa"/>
                  <w:noWrap w:val="0"/>
                  <w:vAlign w:val="center"/>
                </w:tcPr>
                <w:p w14:paraId="57824B61">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bCs/>
                      <w:color w:val="000000"/>
                      <w:sz w:val="24"/>
                      <w:szCs w:val="24"/>
                      <w:highlight w:val="none"/>
                      <w:lang w:val="en-US" w:eastAsia="zh-CN"/>
                    </w:rPr>
                  </w:pPr>
                  <w:r>
                    <w:rPr>
                      <w:rFonts w:hint="eastAsia" w:ascii="宋体" w:hAnsi="宋体" w:eastAsia="宋体" w:cs="宋体"/>
                      <w:bCs/>
                      <w:color w:val="000000"/>
                      <w:sz w:val="24"/>
                      <w:szCs w:val="24"/>
                      <w:highlight w:val="none"/>
                      <w:lang w:val="en-US" w:eastAsia="zh-CN"/>
                    </w:rPr>
                    <w:t>3</w:t>
                  </w:r>
                </w:p>
              </w:tc>
              <w:tc>
                <w:tcPr>
                  <w:tcW w:w="1100" w:type="dxa"/>
                  <w:noWrap w:val="0"/>
                  <w:vAlign w:val="center"/>
                </w:tcPr>
                <w:p w14:paraId="51B18948">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项目经理业绩</w:t>
                  </w:r>
                </w:p>
              </w:tc>
              <w:tc>
                <w:tcPr>
                  <w:tcW w:w="6772" w:type="dxa"/>
                  <w:noWrap w:val="0"/>
                  <w:vAlign w:val="center"/>
                </w:tcPr>
                <w:p w14:paraId="44DA8B4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合作方提供拟配置的项目经理2019年1月1日以来4A级及以上景区观光车服务业绩，每提供一个业绩证明得2分，最多得6分。未提供或提供不符合要求的不得分。</w:t>
                  </w:r>
                </w:p>
                <w:p w14:paraId="08BA2EA3">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注：1、项目经理需在合同中有明确体现（提供合同关键页复印件并加盖公章：合同首页、服务内容页、甲乙方盖章页、签订时间页）或甲方提供的任职证明（需加盖公章）。该业绩可与初审业绩共用；项目经理必须为长期入驻本项目，如后期合作方擅自变化，则视为违约。</w:t>
                  </w:r>
                </w:p>
                <w:p w14:paraId="5147BC54">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50" w:right="0" w:right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2、</w:t>
                  </w:r>
                  <w:r>
                    <w:rPr>
                      <w:rFonts w:hint="eastAsia" w:ascii="宋体" w:hAnsi="宋体" w:eastAsia="宋体" w:cs="Times New Roman"/>
                      <w:color w:val="000000"/>
                      <w:spacing w:val="3"/>
                      <w:sz w:val="24"/>
                      <w:highlight w:val="none"/>
                      <w:lang w:val="en-US" w:eastAsia="zh-CN"/>
                    </w:rPr>
                    <w:t>合作方</w:t>
                  </w:r>
                  <w:r>
                    <w:rPr>
                      <w:rFonts w:hint="default" w:ascii="宋体" w:hAnsi="宋体" w:eastAsia="宋体" w:cs="Times New Roman"/>
                      <w:color w:val="000000"/>
                      <w:spacing w:val="3"/>
                      <w:sz w:val="24"/>
                      <w:highlight w:val="none"/>
                      <w:lang w:val="en-US" w:eastAsia="zh-CN"/>
                    </w:rPr>
                    <w:t>须提供在投标截止前三个月内任意一个月为上述人员缴纳的社保证明材料。</w:t>
                  </w:r>
                </w:p>
              </w:tc>
              <w:tc>
                <w:tcPr>
                  <w:tcW w:w="1336" w:type="dxa"/>
                  <w:noWrap w:val="0"/>
                  <w:vAlign w:val="center"/>
                </w:tcPr>
                <w:p w14:paraId="6FFBA9A7">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0-6分</w:t>
                  </w:r>
                </w:p>
              </w:tc>
            </w:tr>
            <w:tr w14:paraId="3691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jc w:val="center"/>
              </w:trPr>
              <w:tc>
                <w:tcPr>
                  <w:tcW w:w="870" w:type="dxa"/>
                  <w:noWrap w:val="0"/>
                  <w:vAlign w:val="center"/>
                </w:tcPr>
                <w:p w14:paraId="0E3F23F5">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4</w:t>
                  </w:r>
                </w:p>
              </w:tc>
              <w:tc>
                <w:tcPr>
                  <w:tcW w:w="1100" w:type="dxa"/>
                  <w:noWrap w:val="0"/>
                  <w:vAlign w:val="center"/>
                </w:tcPr>
                <w:p w14:paraId="3C2C1407">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项目</w:t>
                  </w:r>
                </w:p>
                <w:p w14:paraId="39040BD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团队</w:t>
                  </w:r>
                </w:p>
              </w:tc>
              <w:tc>
                <w:tcPr>
                  <w:tcW w:w="6772" w:type="dxa"/>
                  <w:noWrap w:val="0"/>
                  <w:vAlign w:val="center"/>
                </w:tcPr>
                <w:p w14:paraId="404E5A99">
                  <w:pPr>
                    <w:keepNext w:val="0"/>
                    <w:keepLines w:val="0"/>
                    <w:pageBreakBefore w:val="0"/>
                    <w:widowControl/>
                    <w:numPr>
                      <w:ilvl w:val="0"/>
                      <w:numId w:val="3"/>
                    </w:numPr>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b/>
                      <w:bCs/>
                      <w:color w:val="auto"/>
                      <w:spacing w:val="3"/>
                      <w:sz w:val="24"/>
                      <w:highlight w:val="none"/>
                      <w:lang w:val="en-US" w:eastAsia="zh-CN"/>
                    </w:rPr>
                    <w:t>安全管理：</w:t>
                  </w:r>
                  <w:r>
                    <w:rPr>
                      <w:rFonts w:hint="eastAsia" w:ascii="宋体" w:hAnsi="宋体" w:eastAsia="宋体" w:cs="Times New Roman"/>
                      <w:color w:val="auto"/>
                      <w:spacing w:val="3"/>
                      <w:sz w:val="24"/>
                      <w:highlight w:val="none"/>
                      <w:lang w:val="en-US" w:eastAsia="zh-CN"/>
                    </w:rPr>
                    <w:t>合作方须为项目至少配备一名</w:t>
                  </w:r>
                  <w:r>
                    <w:rPr>
                      <w:rFonts w:hint="default" w:ascii="宋体" w:hAnsi="宋体" w:eastAsia="宋体" w:cs="Times New Roman"/>
                      <w:color w:val="auto"/>
                      <w:spacing w:val="3"/>
                      <w:sz w:val="24"/>
                      <w:highlight w:val="none"/>
                      <w:lang w:val="en-US" w:eastAsia="zh-CN"/>
                    </w:rPr>
                    <w:t>具有特种设备安全管理</w:t>
                  </w:r>
                  <w:r>
                    <w:rPr>
                      <w:rFonts w:hint="eastAsia" w:ascii="宋体" w:hAnsi="宋体" w:eastAsia="宋体" w:cs="Times New Roman"/>
                      <w:color w:val="auto"/>
                      <w:spacing w:val="3"/>
                      <w:sz w:val="24"/>
                      <w:highlight w:val="none"/>
                      <w:lang w:val="en-US" w:eastAsia="zh-CN"/>
                    </w:rPr>
                    <w:t>A8证书</w:t>
                  </w:r>
                  <w:r>
                    <w:rPr>
                      <w:rFonts w:hint="default" w:ascii="宋体" w:hAnsi="宋体" w:eastAsia="宋体" w:cs="Times New Roman"/>
                      <w:color w:val="auto"/>
                      <w:spacing w:val="3"/>
                      <w:sz w:val="24"/>
                      <w:highlight w:val="none"/>
                      <w:lang w:val="en-US" w:eastAsia="zh-CN"/>
                    </w:rPr>
                    <w:t>的</w:t>
                  </w:r>
                  <w:r>
                    <w:rPr>
                      <w:rFonts w:hint="eastAsia" w:ascii="宋体" w:hAnsi="宋体" w:eastAsia="宋体" w:cs="Times New Roman"/>
                      <w:color w:val="auto"/>
                      <w:spacing w:val="3"/>
                      <w:sz w:val="24"/>
                      <w:highlight w:val="none"/>
                      <w:lang w:val="en-US" w:eastAsia="zh-CN"/>
                    </w:rPr>
                    <w:t>安全员，每多配备一个具有A8证书的安全员，</w:t>
                  </w:r>
                  <w:r>
                    <w:rPr>
                      <w:rFonts w:hint="default" w:ascii="宋体" w:hAnsi="宋体" w:eastAsia="宋体" w:cs="Times New Roman"/>
                      <w:color w:val="auto"/>
                      <w:spacing w:val="3"/>
                      <w:sz w:val="24"/>
                      <w:highlight w:val="none"/>
                      <w:lang w:val="en-US" w:eastAsia="zh-CN"/>
                    </w:rPr>
                    <w:t xml:space="preserve">得 </w:t>
                  </w:r>
                  <w:r>
                    <w:rPr>
                      <w:rFonts w:hint="eastAsia" w:ascii="宋体" w:hAnsi="宋体" w:eastAsia="宋体" w:cs="Times New Roman"/>
                      <w:color w:val="auto"/>
                      <w:spacing w:val="3"/>
                      <w:sz w:val="24"/>
                      <w:highlight w:val="none"/>
                      <w:lang w:val="en-US" w:eastAsia="zh-CN"/>
                    </w:rPr>
                    <w:t>2</w:t>
                  </w:r>
                  <w:r>
                    <w:rPr>
                      <w:rFonts w:hint="default" w:ascii="宋体" w:hAnsi="宋体" w:eastAsia="宋体" w:cs="Times New Roman"/>
                      <w:color w:val="auto"/>
                      <w:spacing w:val="3"/>
                      <w:sz w:val="24"/>
                      <w:highlight w:val="none"/>
                      <w:lang w:val="en-US" w:eastAsia="zh-CN"/>
                    </w:rPr>
                    <w:t>分，</w:t>
                  </w:r>
                  <w:r>
                    <w:rPr>
                      <w:rFonts w:hint="eastAsia" w:ascii="宋体" w:hAnsi="宋体" w:eastAsia="宋体" w:cs="Times New Roman"/>
                      <w:color w:val="auto"/>
                      <w:spacing w:val="3"/>
                      <w:sz w:val="24"/>
                      <w:highlight w:val="none"/>
                      <w:lang w:val="en-US" w:eastAsia="zh-CN"/>
                    </w:rPr>
                    <w:t>此项满分6分</w:t>
                  </w:r>
                  <w:r>
                    <w:rPr>
                      <w:rFonts w:hint="default" w:ascii="宋体" w:hAnsi="宋体" w:eastAsia="宋体" w:cs="Times New Roman"/>
                      <w:color w:val="auto"/>
                      <w:spacing w:val="3"/>
                      <w:sz w:val="24"/>
                      <w:highlight w:val="none"/>
                      <w:lang w:val="en-US" w:eastAsia="zh-CN"/>
                    </w:rPr>
                    <w:t>；未提供或提供不符合要求的不得分。</w:t>
                  </w:r>
                </w:p>
                <w:p w14:paraId="317C13C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auto"/>
                    <w:rPr>
                      <w:rFonts w:hint="eastAsia"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（该业绩可与初审业绩共用）</w:t>
                  </w:r>
                </w:p>
                <w:p w14:paraId="61F3EF38">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b/>
                      <w:bCs/>
                      <w:color w:val="auto"/>
                      <w:spacing w:val="3"/>
                      <w:sz w:val="24"/>
                      <w:highlight w:val="none"/>
                      <w:lang w:val="en-US" w:eastAsia="zh-CN"/>
                    </w:rPr>
                    <w:t>2.运营管理：</w:t>
                  </w:r>
                  <w:r>
                    <w:rPr>
                      <w:rFonts w:hint="eastAsia" w:ascii="宋体" w:hAnsi="宋体" w:eastAsia="宋体" w:cs="Times New Roman"/>
                      <w:color w:val="auto"/>
                      <w:spacing w:val="3"/>
                      <w:sz w:val="24"/>
                      <w:highlight w:val="none"/>
                      <w:lang w:val="en-US" w:eastAsia="zh-CN"/>
                    </w:rPr>
                    <w:t>合作方</w:t>
                  </w:r>
                  <w:r>
                    <w:rPr>
                      <w:rFonts w:hint="default" w:ascii="宋体" w:hAnsi="宋体" w:eastAsia="宋体" w:cs="Times New Roman"/>
                      <w:color w:val="auto"/>
                      <w:spacing w:val="3"/>
                      <w:sz w:val="24"/>
                      <w:highlight w:val="none"/>
                      <w:lang w:val="en-US" w:eastAsia="zh-CN"/>
                    </w:rPr>
                    <w:t>拟投入项目运营团队成员（含项目负责人</w:t>
                  </w:r>
                  <w:r>
                    <w:rPr>
                      <w:rFonts w:hint="eastAsia" w:ascii="宋体" w:hAnsi="宋体" w:eastAsia="宋体" w:cs="Times New Roman"/>
                      <w:color w:val="auto"/>
                      <w:spacing w:val="3"/>
                      <w:sz w:val="24"/>
                      <w:highlight w:val="none"/>
                      <w:lang w:val="en-US" w:eastAsia="zh-CN"/>
                    </w:rPr>
                    <w:t>和安全管理员</w:t>
                  </w:r>
                  <w:r>
                    <w:rPr>
                      <w:rFonts w:hint="default" w:ascii="宋体" w:hAnsi="宋体" w:eastAsia="宋体" w:cs="Times New Roman"/>
                      <w:color w:val="auto"/>
                      <w:spacing w:val="3"/>
                      <w:sz w:val="24"/>
                      <w:highlight w:val="none"/>
                      <w:lang w:val="en-US" w:eastAsia="zh-CN"/>
                    </w:rPr>
                    <w:t xml:space="preserve">）具有特种设备作业人员 </w:t>
                  </w:r>
                  <w:r>
                    <w:rPr>
                      <w:rFonts w:hint="eastAsia" w:ascii="宋体" w:hAnsi="宋体" w:eastAsia="宋体" w:cs="Times New Roman"/>
                      <w:color w:val="auto"/>
                      <w:spacing w:val="3"/>
                      <w:sz w:val="24"/>
                      <w:highlight w:val="none"/>
                      <w:lang w:val="en-US" w:eastAsia="zh-CN"/>
                    </w:rPr>
                    <w:t>N2</w:t>
                  </w:r>
                  <w:r>
                    <w:rPr>
                      <w:rFonts w:hint="default" w:ascii="宋体" w:hAnsi="宋体" w:eastAsia="宋体" w:cs="Times New Roman"/>
                      <w:color w:val="auto"/>
                      <w:spacing w:val="3"/>
                      <w:sz w:val="24"/>
                      <w:highlight w:val="none"/>
                      <w:lang w:val="en-US" w:eastAsia="zh-CN"/>
                    </w:rPr>
                    <w:t xml:space="preserve"> 证（特种设备</w:t>
                  </w:r>
                  <w:r>
                    <w:rPr>
                      <w:rFonts w:hint="eastAsia" w:ascii="宋体" w:hAnsi="宋体" w:eastAsia="宋体" w:cs="Times New Roman"/>
                      <w:color w:val="auto"/>
                      <w:spacing w:val="3"/>
                      <w:sz w:val="24"/>
                      <w:highlight w:val="none"/>
                      <w:lang w:val="en-US" w:eastAsia="zh-CN"/>
                    </w:rPr>
                    <w:t>操作证</w:t>
                  </w:r>
                  <w:r>
                    <w:rPr>
                      <w:rFonts w:hint="default" w:ascii="宋体" w:hAnsi="宋体" w:eastAsia="宋体" w:cs="Times New Roman"/>
                      <w:color w:val="auto"/>
                      <w:spacing w:val="3"/>
                      <w:sz w:val="24"/>
                      <w:highlight w:val="none"/>
                      <w:lang w:val="en-US" w:eastAsia="zh-CN"/>
                    </w:rPr>
                    <w:t>）的，</w:t>
                  </w:r>
                  <w:r>
                    <w:rPr>
                      <w:rFonts w:hint="eastAsia" w:ascii="宋体" w:hAnsi="宋体" w:eastAsia="宋体" w:cs="Times New Roman"/>
                      <w:color w:val="auto"/>
                      <w:spacing w:val="3"/>
                      <w:sz w:val="24"/>
                      <w:highlight w:val="none"/>
                      <w:lang w:val="en-US" w:eastAsia="zh-CN"/>
                    </w:rPr>
                    <w:t xml:space="preserve"> 每</w:t>
                  </w:r>
                  <w:r>
                    <w:rPr>
                      <w:rFonts w:hint="default" w:ascii="宋体" w:hAnsi="宋体" w:eastAsia="宋体" w:cs="Times New Roman"/>
                      <w:color w:val="auto"/>
                      <w:spacing w:val="3"/>
                      <w:sz w:val="24"/>
                      <w:highlight w:val="none"/>
                      <w:lang w:val="en-US" w:eastAsia="zh-CN"/>
                    </w:rPr>
                    <w:t xml:space="preserve">提供一个得 </w:t>
                  </w:r>
                  <w:r>
                    <w:rPr>
                      <w:rFonts w:hint="eastAsia" w:ascii="宋体" w:hAnsi="宋体" w:eastAsia="宋体" w:cs="Times New Roman"/>
                      <w:color w:val="auto"/>
                      <w:spacing w:val="3"/>
                      <w:sz w:val="24"/>
                      <w:highlight w:val="none"/>
                      <w:lang w:val="en-US" w:eastAsia="zh-CN"/>
                    </w:rPr>
                    <w:t>1</w:t>
                  </w:r>
                  <w:r>
                    <w:rPr>
                      <w:rFonts w:hint="default" w:ascii="宋体" w:hAnsi="宋体" w:eastAsia="宋体" w:cs="Times New Roman"/>
                      <w:color w:val="auto"/>
                      <w:spacing w:val="3"/>
                      <w:sz w:val="24"/>
                      <w:highlight w:val="none"/>
                      <w:lang w:val="en-US" w:eastAsia="zh-CN"/>
                    </w:rPr>
                    <w:t>分，</w:t>
                  </w:r>
                  <w:r>
                    <w:rPr>
                      <w:rFonts w:hint="eastAsia" w:ascii="宋体" w:hAnsi="宋体" w:eastAsia="宋体" w:cs="Times New Roman"/>
                      <w:color w:val="auto"/>
                      <w:spacing w:val="3"/>
                      <w:sz w:val="24"/>
                      <w:highlight w:val="none"/>
                      <w:lang w:val="en-US" w:eastAsia="zh-CN"/>
                    </w:rPr>
                    <w:t>此项满分3分</w:t>
                  </w:r>
                  <w:r>
                    <w:rPr>
                      <w:rFonts w:hint="default" w:ascii="宋体" w:hAnsi="宋体" w:eastAsia="宋体" w:cs="Times New Roman"/>
                      <w:color w:val="auto"/>
                      <w:spacing w:val="3"/>
                      <w:sz w:val="24"/>
                      <w:highlight w:val="none"/>
                      <w:lang w:val="en-US" w:eastAsia="zh-CN"/>
                    </w:rPr>
                    <w:t>；未提供或提供不符合要求的不得分。</w:t>
                  </w:r>
                </w:p>
                <w:p w14:paraId="4EA37A3D">
                  <w:pPr>
                    <w:keepNext w:val="0"/>
                    <w:keepLines w:val="0"/>
                    <w:pageBreakBefore w:val="0"/>
                    <w:widowControl/>
                    <w:kinsoku/>
                    <w:wordWrap/>
                    <w:overflowPunct/>
                    <w:topLinePunct w:val="0"/>
                    <w:autoSpaceDE/>
                    <w:autoSpaceDN/>
                    <w:bidi w:val="0"/>
                    <w:adjustRightInd/>
                    <w:snapToGrid/>
                    <w:spacing w:line="240" w:lineRule="auto"/>
                    <w:ind w:left="0" w:leftChars="0" w:right="0"/>
                    <w:jc w:val="both"/>
                    <w:textAlignment w:val="auto"/>
                    <w:rPr>
                      <w:rFonts w:hint="eastAsia" w:ascii="宋体" w:hAnsi="宋体" w:eastAsia="宋体" w:cs="Times New Roman"/>
                      <w:color w:val="auto"/>
                      <w:spacing w:val="3"/>
                      <w:sz w:val="24"/>
                      <w:highlight w:val="none"/>
                      <w:lang w:val="en-US" w:eastAsia="zh-CN"/>
                    </w:rPr>
                  </w:pPr>
                  <w:r>
                    <w:rPr>
                      <w:rFonts w:hint="default" w:ascii="宋体" w:hAnsi="宋体" w:eastAsia="宋体" w:cs="Times New Roman"/>
                      <w:color w:val="auto"/>
                      <w:spacing w:val="3"/>
                      <w:sz w:val="24"/>
                      <w:highlight w:val="none"/>
                      <w:lang w:val="en-US" w:eastAsia="zh-CN"/>
                    </w:rPr>
                    <w:t>注：</w:t>
                  </w:r>
                  <w:r>
                    <w:rPr>
                      <w:rFonts w:hint="eastAsia" w:ascii="宋体" w:hAnsi="宋体" w:eastAsia="宋体" w:cs="Times New Roman"/>
                      <w:color w:val="auto"/>
                      <w:spacing w:val="3"/>
                      <w:sz w:val="24"/>
                      <w:highlight w:val="none"/>
                      <w:lang w:val="en-US" w:eastAsia="zh-CN"/>
                    </w:rPr>
                    <w:t>1.合作方</w:t>
                  </w:r>
                  <w:r>
                    <w:rPr>
                      <w:rFonts w:hint="default" w:ascii="宋体" w:hAnsi="宋体" w:eastAsia="宋体" w:cs="Times New Roman"/>
                      <w:color w:val="auto"/>
                      <w:spacing w:val="3"/>
                      <w:sz w:val="24"/>
                      <w:highlight w:val="none"/>
                      <w:lang w:val="en-US" w:eastAsia="zh-CN"/>
                    </w:rPr>
                    <w:t>须提供相关人员清单，清单至少包含姓名、性别、身份证号及联系电话，并提供相应人员有效的身份证正反面复印件及特种设备安全管理证书</w:t>
                  </w:r>
                  <w:r>
                    <w:rPr>
                      <w:rFonts w:hint="eastAsia" w:ascii="宋体" w:hAnsi="宋体" w:eastAsia="宋体" w:cs="Times New Roman"/>
                      <w:color w:val="auto"/>
                      <w:spacing w:val="3"/>
                      <w:sz w:val="24"/>
                      <w:highlight w:val="none"/>
                      <w:lang w:val="en-US" w:eastAsia="zh-CN"/>
                    </w:rPr>
                    <w:t>（对应第1项）/</w:t>
                  </w:r>
                  <w:r>
                    <w:rPr>
                      <w:rFonts w:hint="default" w:ascii="宋体" w:hAnsi="宋体" w:eastAsia="宋体" w:cs="Times New Roman"/>
                      <w:color w:val="auto"/>
                      <w:spacing w:val="3"/>
                      <w:sz w:val="24"/>
                      <w:highlight w:val="none"/>
                      <w:lang w:val="en-US" w:eastAsia="zh-CN"/>
                    </w:rPr>
                    <w:t>特种设备</w:t>
                  </w:r>
                  <w:r>
                    <w:rPr>
                      <w:rFonts w:hint="eastAsia" w:ascii="宋体" w:hAnsi="宋体" w:eastAsia="宋体" w:cs="Times New Roman"/>
                      <w:color w:val="auto"/>
                      <w:spacing w:val="3"/>
                      <w:sz w:val="24"/>
                      <w:highlight w:val="none"/>
                      <w:lang w:val="en-US" w:eastAsia="zh-CN"/>
                    </w:rPr>
                    <w:t>操作</w:t>
                  </w:r>
                  <w:r>
                    <w:rPr>
                      <w:rFonts w:hint="default" w:ascii="宋体" w:hAnsi="宋体" w:eastAsia="宋体" w:cs="Times New Roman"/>
                      <w:color w:val="auto"/>
                      <w:spacing w:val="3"/>
                      <w:sz w:val="24"/>
                      <w:highlight w:val="none"/>
                      <w:lang w:val="en-US" w:eastAsia="zh-CN"/>
                    </w:rPr>
                    <w:t>证书</w:t>
                  </w:r>
                  <w:r>
                    <w:rPr>
                      <w:rFonts w:hint="eastAsia" w:ascii="宋体" w:hAnsi="宋体" w:eastAsia="宋体" w:cs="Times New Roman"/>
                      <w:color w:val="auto"/>
                      <w:spacing w:val="3"/>
                      <w:sz w:val="24"/>
                      <w:highlight w:val="none"/>
                      <w:lang w:val="en-US" w:eastAsia="zh-CN"/>
                    </w:rPr>
                    <w:t>（对应第2项）</w:t>
                  </w:r>
                  <w:r>
                    <w:rPr>
                      <w:rFonts w:hint="default" w:ascii="宋体" w:hAnsi="宋体" w:eastAsia="宋体" w:cs="Times New Roman"/>
                      <w:color w:val="auto"/>
                      <w:spacing w:val="3"/>
                      <w:sz w:val="24"/>
                      <w:highlight w:val="none"/>
                      <w:lang w:val="en-US" w:eastAsia="zh-CN"/>
                    </w:rPr>
                    <w:t>复印件，否则不予认定</w:t>
                  </w:r>
                  <w:r>
                    <w:rPr>
                      <w:rFonts w:hint="eastAsia" w:ascii="宋体" w:hAnsi="宋体" w:eastAsia="宋体" w:cs="Times New Roman"/>
                      <w:color w:val="auto"/>
                      <w:spacing w:val="3"/>
                      <w:sz w:val="24"/>
                      <w:highlight w:val="none"/>
                      <w:lang w:val="en-US" w:eastAsia="zh-CN"/>
                    </w:rPr>
                    <w:t>。</w:t>
                  </w:r>
                </w:p>
                <w:p w14:paraId="7450FB18">
                  <w:pPr>
                    <w:keepNext w:val="0"/>
                    <w:keepLines w:val="0"/>
                    <w:pageBreakBefore w:val="0"/>
                    <w:widowControl/>
                    <w:kinsoku/>
                    <w:wordWrap/>
                    <w:overflowPunct/>
                    <w:topLinePunct w:val="0"/>
                    <w:autoSpaceDE/>
                    <w:autoSpaceDN/>
                    <w:bidi w:val="0"/>
                    <w:adjustRightInd/>
                    <w:snapToGrid/>
                    <w:spacing w:line="240" w:lineRule="auto"/>
                    <w:ind w:left="0" w:leftChars="0" w:right="0"/>
                    <w:jc w:val="both"/>
                    <w:textAlignment w:val="auto"/>
                    <w:rPr>
                      <w:rFonts w:hint="default" w:ascii="宋体" w:hAnsi="宋体" w:eastAsia="宋体" w:cs="Times New Roman"/>
                      <w:color w:val="auto"/>
                      <w:spacing w:val="3"/>
                      <w:sz w:val="24"/>
                      <w:highlight w:val="none"/>
                      <w:lang w:val="en-US" w:eastAsia="zh-CN"/>
                    </w:rPr>
                  </w:pPr>
                  <w:r>
                    <w:rPr>
                      <w:rFonts w:hint="eastAsia" w:ascii="宋体" w:hAnsi="宋体" w:eastAsia="宋体" w:cs="Times New Roman"/>
                      <w:color w:val="auto"/>
                      <w:spacing w:val="3"/>
                      <w:sz w:val="24"/>
                      <w:highlight w:val="none"/>
                      <w:lang w:val="en-US" w:eastAsia="zh-CN"/>
                    </w:rPr>
                    <w:t>2.同时</w:t>
                  </w:r>
                  <w:r>
                    <w:rPr>
                      <w:rFonts w:hint="default" w:ascii="宋体" w:hAnsi="宋体" w:eastAsia="宋体" w:cs="Times New Roman"/>
                      <w:color w:val="auto"/>
                      <w:spacing w:val="3"/>
                      <w:sz w:val="24"/>
                      <w:highlight w:val="none"/>
                      <w:lang w:val="en-US" w:eastAsia="zh-CN"/>
                    </w:rPr>
                    <w:t>提供在投标截止前三个月内任意一个月为上述人员缴纳的社保证明材料。</w:t>
                  </w:r>
                </w:p>
              </w:tc>
              <w:tc>
                <w:tcPr>
                  <w:tcW w:w="1336" w:type="dxa"/>
                  <w:noWrap w:val="0"/>
                  <w:vAlign w:val="center"/>
                </w:tcPr>
                <w:p w14:paraId="49FC2C5D">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rPr>
                    <w:t>0-</w:t>
                  </w:r>
                  <w:r>
                    <w:rPr>
                      <w:rFonts w:hint="eastAsia" w:ascii="宋体" w:hAnsi="宋体" w:cs="宋体"/>
                      <w:bCs/>
                      <w:color w:val="auto"/>
                      <w:sz w:val="24"/>
                      <w:szCs w:val="24"/>
                      <w:highlight w:val="none"/>
                      <w:lang w:val="en-US" w:eastAsia="zh-CN"/>
                    </w:rPr>
                    <w:t>9</w:t>
                  </w:r>
                  <w:r>
                    <w:rPr>
                      <w:rFonts w:hint="eastAsia" w:ascii="宋体" w:hAnsi="宋体" w:cs="宋体"/>
                      <w:bCs/>
                      <w:color w:val="auto"/>
                      <w:sz w:val="24"/>
                      <w:szCs w:val="24"/>
                      <w:highlight w:val="none"/>
                    </w:rPr>
                    <w:t>分</w:t>
                  </w:r>
                </w:p>
              </w:tc>
            </w:tr>
            <w:tr w14:paraId="2614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5A76E8E9">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5</w:t>
                  </w:r>
                </w:p>
              </w:tc>
              <w:tc>
                <w:tcPr>
                  <w:tcW w:w="1100" w:type="dxa"/>
                  <w:noWrap w:val="0"/>
                  <w:vAlign w:val="center"/>
                </w:tcPr>
                <w:p w14:paraId="4698D1F0">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项目管理方案</w:t>
                  </w:r>
                </w:p>
              </w:tc>
              <w:tc>
                <w:tcPr>
                  <w:tcW w:w="6772" w:type="dxa"/>
                  <w:noWrap w:val="0"/>
                  <w:vAlign w:val="center"/>
                </w:tcPr>
                <w:p w14:paraId="04347D60">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 xml:space="preserve">根据投标人提供的整体项目实施方案包括运营方案、组织管理架构、人员配备及观光车服务制度、车辆监控管理方案、安全管理方案、舆情管理方案供评委进行综合评价： </w:t>
                  </w:r>
                </w:p>
                <w:p w14:paraId="64CA9D7F">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 xml:space="preserve">1.方案周密、科学、详尽、可实施性强、保障措施完善，充分满足项目实施需求的得4≤F≤6分。 </w:t>
                  </w:r>
                </w:p>
                <w:p w14:paraId="0C705D40">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 xml:space="preserve">2.方案较周密、较科学、较合理、可实施性强、保障措施基本满足项目要求的得2≤F&lt;4分。 </w:t>
                  </w:r>
                </w:p>
                <w:p w14:paraId="70B46BA6">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 xml:space="preserve">3.方案基本可行,细微存在不足的，人员安排不充分得0≤F&lt;2分。  </w:t>
                  </w:r>
                </w:p>
                <w:p w14:paraId="5F53C3F9">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olor w:val="000000"/>
                      <w:spacing w:val="3"/>
                      <w:sz w:val="24"/>
                      <w:highlight w:val="none"/>
                      <w:lang w:val="en-US" w:eastAsia="zh-CN"/>
                    </w:rPr>
                    <w:t>4.</w:t>
                  </w:r>
                  <w:r>
                    <w:rPr>
                      <w:rFonts w:hint="eastAsia" w:ascii="宋体" w:hAnsi="宋体" w:eastAsia="宋体" w:cs="Times New Roman"/>
                      <w:strike w:val="0"/>
                      <w:dstrike w:val="0"/>
                      <w:color w:val="000000"/>
                      <w:spacing w:val="3"/>
                      <w:sz w:val="24"/>
                      <w:highlight w:val="none"/>
                      <w:lang w:val="en-US" w:eastAsia="zh-CN"/>
                    </w:rPr>
                    <w:t>差或未提供的不得分。</w:t>
                  </w:r>
                </w:p>
              </w:tc>
              <w:tc>
                <w:tcPr>
                  <w:tcW w:w="1336" w:type="dxa"/>
                  <w:noWrap w:val="0"/>
                  <w:vAlign w:val="center"/>
                </w:tcPr>
                <w:p w14:paraId="25D37AC1">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default" w:ascii="宋体" w:hAnsi="宋体" w:eastAsia="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0-6分</w:t>
                  </w:r>
                </w:p>
              </w:tc>
            </w:tr>
            <w:tr w14:paraId="49D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870" w:type="dxa"/>
                  <w:noWrap w:val="0"/>
                  <w:vAlign w:val="center"/>
                </w:tcPr>
                <w:p w14:paraId="213659C4">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6</w:t>
                  </w:r>
                </w:p>
              </w:tc>
              <w:tc>
                <w:tcPr>
                  <w:tcW w:w="1100" w:type="dxa"/>
                  <w:noWrap w:val="0"/>
                  <w:vAlign w:val="center"/>
                </w:tcPr>
                <w:p w14:paraId="377C17C0">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车辆设计包装方案</w:t>
                  </w:r>
                </w:p>
              </w:tc>
              <w:tc>
                <w:tcPr>
                  <w:tcW w:w="6772" w:type="dxa"/>
                  <w:noWrap w:val="0"/>
                  <w:vAlign w:val="center"/>
                </w:tcPr>
                <w:p w14:paraId="67494A7F">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合作方需根据招商方需求设计合肥野生动物园观光车定制动物主题包装方案，方案包括动物IP选择（招商方指定设计一款小熊猫造型，另一款合作方自定）、车辆整体造型等供评委进行综合评价：</w:t>
                  </w:r>
                </w:p>
                <w:p w14:paraId="75BDC634">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color w:val="000000"/>
                      <w:spacing w:val="3"/>
                      <w:sz w:val="24"/>
                      <w:highlight w:val="none"/>
                    </w:rPr>
                  </w:pPr>
                  <w:r>
                    <w:rPr>
                      <w:rFonts w:hint="eastAsia" w:ascii="宋体" w:hAnsi="宋体" w:eastAsia="宋体" w:cs="Times New Roman"/>
                      <w:color w:val="000000"/>
                      <w:spacing w:val="3"/>
                      <w:sz w:val="24"/>
                      <w:highlight w:val="none"/>
                      <w:lang w:val="en-US" w:eastAsia="zh-CN"/>
                    </w:rPr>
                    <w:t>1.</w:t>
                  </w:r>
                  <w:r>
                    <w:rPr>
                      <w:rFonts w:hint="eastAsia" w:ascii="宋体" w:hAnsi="宋体"/>
                      <w:color w:val="000000"/>
                      <w:spacing w:val="3"/>
                      <w:sz w:val="24"/>
                      <w:highlight w:val="none"/>
                    </w:rPr>
                    <w:t>综合评价为优的，得</w:t>
                  </w:r>
                  <w:r>
                    <w:rPr>
                      <w:rFonts w:hint="eastAsia" w:ascii="宋体" w:hAnsi="宋体" w:eastAsia="宋体"/>
                      <w:color w:val="000000"/>
                      <w:spacing w:val="3"/>
                      <w:sz w:val="24"/>
                      <w:highlight w:val="none"/>
                      <w:lang w:val="en-US" w:eastAsia="zh-CN"/>
                    </w:rPr>
                    <w:t>7</w:t>
                  </w:r>
                  <w:r>
                    <w:rPr>
                      <w:rFonts w:hint="eastAsia" w:ascii="宋体" w:hAnsi="宋体"/>
                      <w:color w:val="000000"/>
                      <w:spacing w:val="3"/>
                      <w:sz w:val="24"/>
                      <w:highlight w:val="none"/>
                    </w:rPr>
                    <w:t>≤F≤</w:t>
                  </w:r>
                  <w:r>
                    <w:rPr>
                      <w:rFonts w:hint="eastAsia" w:ascii="宋体" w:hAnsi="宋体"/>
                      <w:color w:val="000000"/>
                      <w:spacing w:val="3"/>
                      <w:sz w:val="24"/>
                      <w:highlight w:val="none"/>
                      <w:lang w:val="en-US" w:eastAsia="zh-CN"/>
                    </w:rPr>
                    <w:t>10</w:t>
                  </w:r>
                  <w:r>
                    <w:rPr>
                      <w:rFonts w:hint="eastAsia" w:ascii="宋体" w:hAnsi="宋体"/>
                      <w:color w:val="000000"/>
                      <w:spacing w:val="3"/>
                      <w:sz w:val="24"/>
                      <w:highlight w:val="none"/>
                    </w:rPr>
                    <w:t>分；</w:t>
                  </w:r>
                </w:p>
                <w:p w14:paraId="73061A8D">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color w:val="000000"/>
                      <w:spacing w:val="3"/>
                      <w:sz w:val="24"/>
                      <w:highlight w:val="none"/>
                    </w:rPr>
                  </w:pPr>
                  <w:r>
                    <w:rPr>
                      <w:rFonts w:hint="eastAsia" w:ascii="宋体" w:hAnsi="宋体" w:eastAsia="宋体" w:cs="Times New Roman"/>
                      <w:color w:val="000000"/>
                      <w:spacing w:val="3"/>
                      <w:sz w:val="24"/>
                      <w:highlight w:val="none"/>
                      <w:lang w:val="en-US" w:eastAsia="zh-CN"/>
                    </w:rPr>
                    <w:t>2.</w:t>
                  </w:r>
                  <w:r>
                    <w:rPr>
                      <w:rFonts w:hint="eastAsia" w:ascii="宋体" w:hAnsi="宋体"/>
                      <w:color w:val="000000"/>
                      <w:spacing w:val="3"/>
                      <w:sz w:val="24"/>
                      <w:highlight w:val="none"/>
                    </w:rPr>
                    <w:t>综合评价为良的，得</w:t>
                  </w:r>
                  <w:r>
                    <w:rPr>
                      <w:rFonts w:hint="eastAsia" w:ascii="宋体" w:hAnsi="宋体" w:eastAsia="宋体"/>
                      <w:color w:val="000000"/>
                      <w:spacing w:val="3"/>
                      <w:sz w:val="24"/>
                      <w:highlight w:val="none"/>
                      <w:lang w:val="en-US" w:eastAsia="zh-CN"/>
                    </w:rPr>
                    <w:t>3</w:t>
                  </w:r>
                  <w:r>
                    <w:rPr>
                      <w:rFonts w:hint="eastAsia" w:ascii="宋体" w:hAnsi="宋体"/>
                      <w:color w:val="000000"/>
                      <w:spacing w:val="3"/>
                      <w:sz w:val="24"/>
                      <w:highlight w:val="none"/>
                    </w:rPr>
                    <w:t>≤F＜</w:t>
                  </w:r>
                  <w:r>
                    <w:rPr>
                      <w:rFonts w:hint="eastAsia" w:ascii="宋体" w:hAnsi="宋体" w:eastAsia="宋体"/>
                      <w:color w:val="000000"/>
                      <w:spacing w:val="3"/>
                      <w:sz w:val="24"/>
                      <w:highlight w:val="none"/>
                      <w:lang w:val="en-US" w:eastAsia="zh-CN"/>
                    </w:rPr>
                    <w:t>7</w:t>
                  </w:r>
                  <w:r>
                    <w:rPr>
                      <w:rFonts w:hint="eastAsia" w:ascii="宋体" w:hAnsi="宋体"/>
                      <w:color w:val="000000"/>
                      <w:spacing w:val="3"/>
                      <w:sz w:val="24"/>
                      <w:highlight w:val="none"/>
                    </w:rPr>
                    <w:t>分；</w:t>
                  </w:r>
                </w:p>
                <w:p w14:paraId="2F901657">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color w:val="000000"/>
                      <w:spacing w:val="3"/>
                      <w:sz w:val="24"/>
                      <w:highlight w:val="none"/>
                    </w:rPr>
                  </w:pPr>
                  <w:r>
                    <w:rPr>
                      <w:rFonts w:hint="eastAsia" w:ascii="宋体" w:hAnsi="宋体" w:eastAsia="宋体" w:cs="Times New Roman"/>
                      <w:color w:val="000000"/>
                      <w:spacing w:val="3"/>
                      <w:sz w:val="24"/>
                      <w:highlight w:val="none"/>
                      <w:lang w:val="en-US" w:eastAsia="zh-CN"/>
                    </w:rPr>
                    <w:t>3.</w:t>
                  </w:r>
                  <w:r>
                    <w:rPr>
                      <w:rFonts w:hint="eastAsia" w:ascii="宋体" w:hAnsi="宋体"/>
                      <w:color w:val="000000"/>
                      <w:spacing w:val="3"/>
                      <w:sz w:val="24"/>
                      <w:highlight w:val="none"/>
                    </w:rPr>
                    <w:t>综合评价一般的，得1≤F＜</w:t>
                  </w:r>
                  <w:r>
                    <w:rPr>
                      <w:rFonts w:hint="eastAsia" w:ascii="宋体" w:hAnsi="宋体" w:eastAsia="宋体"/>
                      <w:color w:val="000000"/>
                      <w:spacing w:val="3"/>
                      <w:sz w:val="24"/>
                      <w:highlight w:val="none"/>
                      <w:lang w:val="en-US" w:eastAsia="zh-CN"/>
                    </w:rPr>
                    <w:t>3</w:t>
                  </w:r>
                  <w:r>
                    <w:rPr>
                      <w:rFonts w:hint="eastAsia" w:ascii="宋体" w:hAnsi="宋体"/>
                      <w:color w:val="000000"/>
                      <w:spacing w:val="3"/>
                      <w:sz w:val="24"/>
                      <w:highlight w:val="none"/>
                    </w:rPr>
                    <w:t>分</w:t>
                  </w:r>
                </w:p>
                <w:p w14:paraId="7C9FBFA2">
                  <w:pPr>
                    <w:keepNext w:val="0"/>
                    <w:keepLines w:val="0"/>
                    <w:pageBreakBefore w:val="0"/>
                    <w:widowControl/>
                    <w:kinsoku/>
                    <w:wordWrap/>
                    <w:overflowPunct/>
                    <w:topLinePunct w:val="0"/>
                    <w:autoSpaceDE/>
                    <w:autoSpaceDN/>
                    <w:bidi w:val="0"/>
                    <w:adjustRightInd w:val="0"/>
                    <w:snapToGrid w:val="0"/>
                    <w:spacing w:line="240" w:lineRule="auto"/>
                    <w:ind w:right="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olor w:val="000000"/>
                      <w:spacing w:val="3"/>
                      <w:sz w:val="24"/>
                      <w:highlight w:val="none"/>
                      <w:lang w:val="en-US" w:eastAsia="zh-CN"/>
                    </w:rPr>
                    <w:t>4.</w:t>
                  </w:r>
                  <w:r>
                    <w:rPr>
                      <w:rFonts w:hint="eastAsia" w:ascii="宋体" w:hAnsi="宋体" w:eastAsia="宋体" w:cs="Times New Roman"/>
                      <w:strike w:val="0"/>
                      <w:dstrike w:val="0"/>
                      <w:color w:val="000000"/>
                      <w:spacing w:val="3"/>
                      <w:sz w:val="24"/>
                      <w:highlight w:val="none"/>
                      <w:lang w:val="en-US" w:eastAsia="zh-CN"/>
                    </w:rPr>
                    <w:t>差或未提供的不得分。</w:t>
                  </w:r>
                </w:p>
              </w:tc>
              <w:tc>
                <w:tcPr>
                  <w:tcW w:w="1336" w:type="dxa"/>
                  <w:noWrap w:val="0"/>
                  <w:vAlign w:val="center"/>
                </w:tcPr>
                <w:p w14:paraId="694D612D">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cs="宋体"/>
                      <w:b/>
                      <w:bCs/>
                      <w:szCs w:val="21"/>
                      <w:highlight w:val="none"/>
                    </w:rPr>
                  </w:pPr>
                  <w:r>
                    <w:rPr>
                      <w:rFonts w:hint="eastAsia" w:ascii="宋体" w:hAnsi="宋体" w:cs="宋体"/>
                      <w:bCs/>
                      <w:color w:val="000000"/>
                      <w:sz w:val="24"/>
                      <w:szCs w:val="24"/>
                      <w:highlight w:val="none"/>
                    </w:rPr>
                    <w:t>0-</w:t>
                  </w:r>
                  <w:r>
                    <w:rPr>
                      <w:rFonts w:hint="eastAsia" w:ascii="宋体" w:hAnsi="宋体" w:cs="宋体"/>
                      <w:bCs/>
                      <w:color w:val="000000"/>
                      <w:sz w:val="24"/>
                      <w:szCs w:val="24"/>
                      <w:highlight w:val="none"/>
                      <w:lang w:val="en-US" w:eastAsia="zh-CN"/>
                    </w:rPr>
                    <w:t>10</w:t>
                  </w:r>
                  <w:r>
                    <w:rPr>
                      <w:rFonts w:hint="eastAsia" w:ascii="宋体" w:hAnsi="宋体" w:cs="宋体"/>
                      <w:bCs/>
                      <w:color w:val="000000"/>
                      <w:sz w:val="24"/>
                      <w:szCs w:val="24"/>
                      <w:highlight w:val="none"/>
                    </w:rPr>
                    <w:t>分</w:t>
                  </w:r>
                </w:p>
              </w:tc>
            </w:tr>
            <w:tr w14:paraId="22FC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noWrap w:val="0"/>
                  <w:vAlign w:val="center"/>
                </w:tcPr>
                <w:p w14:paraId="5B4DBB77">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宋体"/>
                      <w:bCs/>
                      <w:color w:val="000000"/>
                      <w:sz w:val="24"/>
                      <w:szCs w:val="24"/>
                      <w:highlight w:val="none"/>
                      <w:lang w:eastAsia="zh-CN"/>
                    </w:rPr>
                  </w:pPr>
                  <w:r>
                    <w:rPr>
                      <w:rFonts w:hint="eastAsia" w:ascii="宋体" w:hAnsi="宋体" w:cs="宋体"/>
                      <w:bCs/>
                      <w:color w:val="000000"/>
                      <w:sz w:val="24"/>
                      <w:szCs w:val="24"/>
                      <w:highlight w:val="none"/>
                      <w:lang w:val="en-US" w:eastAsia="zh-CN"/>
                    </w:rPr>
                    <w:t>7</w:t>
                  </w:r>
                </w:p>
              </w:tc>
              <w:tc>
                <w:tcPr>
                  <w:tcW w:w="1100" w:type="dxa"/>
                  <w:noWrap w:val="0"/>
                  <w:vAlign w:val="center"/>
                </w:tcPr>
                <w:p w14:paraId="68627195">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strike w:val="0"/>
                      <w:dstrike w:val="0"/>
                      <w:color w:val="000000"/>
                      <w:spacing w:val="3"/>
                      <w:sz w:val="24"/>
                      <w:highlight w:val="none"/>
                      <w:lang w:val="en-US" w:eastAsia="zh-CN"/>
                    </w:rPr>
                  </w:pPr>
                  <w:r>
                    <w:rPr>
                      <w:rFonts w:hint="eastAsia" w:ascii="宋体" w:hAnsi="宋体" w:eastAsia="宋体" w:cs="Times New Roman"/>
                      <w:strike w:val="0"/>
                      <w:dstrike w:val="0"/>
                      <w:color w:val="000000"/>
                      <w:spacing w:val="3"/>
                      <w:sz w:val="24"/>
                      <w:highlight w:val="none"/>
                      <w:lang w:val="en-US" w:eastAsia="zh-CN"/>
                    </w:rPr>
                    <w:t>服务</w:t>
                  </w:r>
                </w:p>
                <w:p w14:paraId="2517198D">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Times New Roman"/>
                      <w:strike w:val="0"/>
                      <w:dstrike w:val="0"/>
                      <w:color w:val="000000"/>
                      <w:spacing w:val="3"/>
                      <w:sz w:val="24"/>
                      <w:highlight w:val="none"/>
                      <w:lang w:val="en-US" w:eastAsia="zh-CN"/>
                    </w:rPr>
                  </w:pPr>
                  <w:r>
                    <w:rPr>
                      <w:rFonts w:hint="eastAsia" w:ascii="宋体" w:hAnsi="宋体" w:eastAsia="宋体" w:cs="Times New Roman"/>
                      <w:strike w:val="0"/>
                      <w:dstrike w:val="0"/>
                      <w:color w:val="000000"/>
                      <w:spacing w:val="3"/>
                      <w:sz w:val="24"/>
                      <w:highlight w:val="none"/>
                      <w:lang w:val="en-US" w:eastAsia="zh-CN"/>
                    </w:rPr>
                    <w:t>方案</w:t>
                  </w:r>
                </w:p>
                <w:p w14:paraId="080F06FE">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Times New Roman"/>
                      <w:strike w:val="0"/>
                      <w:dstrike w:val="0"/>
                      <w:color w:val="000000"/>
                      <w:spacing w:val="3"/>
                      <w:sz w:val="24"/>
                      <w:highlight w:val="none"/>
                      <w:lang w:val="en-US" w:eastAsia="zh-CN"/>
                    </w:rPr>
                  </w:pPr>
                </w:p>
              </w:tc>
              <w:tc>
                <w:tcPr>
                  <w:tcW w:w="6772" w:type="dxa"/>
                  <w:noWrap w:val="0"/>
                  <w:vAlign w:val="center"/>
                </w:tcPr>
                <w:p w14:paraId="0A46CB8E">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strike w:val="0"/>
                      <w:dstrike w:val="0"/>
                      <w:color w:val="000000"/>
                      <w:spacing w:val="3"/>
                      <w:sz w:val="24"/>
                      <w:highlight w:val="none"/>
                      <w:lang w:val="en-US" w:eastAsia="zh-CN"/>
                    </w:rPr>
                  </w:pPr>
                  <w:r>
                    <w:rPr>
                      <w:rFonts w:hint="eastAsia" w:ascii="宋体" w:hAnsi="宋体" w:eastAsia="宋体" w:cs="Times New Roman"/>
                      <w:strike w:val="0"/>
                      <w:dstrike w:val="0"/>
                      <w:color w:val="000000"/>
                      <w:spacing w:val="3"/>
                      <w:sz w:val="24"/>
                      <w:highlight w:val="none"/>
                      <w:lang w:val="en-US" w:eastAsia="zh-CN"/>
                    </w:rPr>
                    <w:t xml:space="preserve">合作方需提出针对本项目服务方案，包括管理措施、服务意识、安全生产及文明服务的设想及管理学前沿理论的掌握和运用进行综合评审： </w:t>
                  </w:r>
                </w:p>
                <w:p w14:paraId="655A600E">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strike w:val="0"/>
                      <w:dstrike w:val="0"/>
                      <w:color w:val="000000"/>
                      <w:spacing w:val="3"/>
                      <w:sz w:val="24"/>
                      <w:highlight w:val="none"/>
                      <w:lang w:val="en-US" w:eastAsia="zh-CN"/>
                    </w:rPr>
                  </w:pPr>
                  <w:r>
                    <w:rPr>
                      <w:rFonts w:hint="eastAsia" w:ascii="宋体" w:hAnsi="宋体" w:eastAsia="宋体" w:cs="Times New Roman"/>
                      <w:strike w:val="0"/>
                      <w:dstrike w:val="0"/>
                      <w:color w:val="000000"/>
                      <w:spacing w:val="3"/>
                      <w:sz w:val="24"/>
                      <w:highlight w:val="none"/>
                      <w:lang w:val="en-US" w:eastAsia="zh-CN"/>
                    </w:rPr>
                    <w:t>1.服务措施覆盖全面，服务内容完整详实、表述清晰、服务意识超前的，得6≤F≤8分；</w:t>
                  </w:r>
                </w:p>
                <w:p w14:paraId="41CFF1D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strike w:val="0"/>
                      <w:dstrike w:val="0"/>
                      <w:color w:val="000000"/>
                      <w:spacing w:val="3"/>
                      <w:sz w:val="24"/>
                      <w:highlight w:val="none"/>
                      <w:lang w:val="en-US" w:eastAsia="zh-CN"/>
                    </w:rPr>
                  </w:pPr>
                  <w:r>
                    <w:rPr>
                      <w:rFonts w:hint="eastAsia" w:ascii="宋体" w:hAnsi="宋体" w:eastAsia="宋体" w:cs="Times New Roman"/>
                      <w:strike w:val="0"/>
                      <w:dstrike w:val="0"/>
                      <w:color w:val="000000"/>
                      <w:spacing w:val="3"/>
                      <w:sz w:val="24"/>
                      <w:highlight w:val="none"/>
                      <w:lang w:val="en-US" w:eastAsia="zh-CN"/>
                    </w:rPr>
                    <w:t>2.服务措施覆盖较全面，服务方案内容较完整详实，表述较清晰的，得3≤F&lt;6分；</w:t>
                  </w:r>
                </w:p>
                <w:p w14:paraId="138A938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default" w:ascii="宋体" w:hAnsi="宋体" w:eastAsia="宋体" w:cs="Times New Roman"/>
                      <w:strike w:val="0"/>
                      <w:dstrike w:val="0"/>
                      <w:color w:val="000000"/>
                      <w:spacing w:val="3"/>
                      <w:sz w:val="24"/>
                      <w:highlight w:val="none"/>
                      <w:lang w:val="en-US" w:eastAsia="zh-CN"/>
                    </w:rPr>
                  </w:pPr>
                  <w:r>
                    <w:rPr>
                      <w:rFonts w:hint="eastAsia" w:ascii="宋体" w:hAnsi="宋体" w:eastAsia="宋体" w:cs="Times New Roman"/>
                      <w:strike w:val="0"/>
                      <w:dstrike w:val="0"/>
                      <w:color w:val="000000"/>
                      <w:spacing w:val="3"/>
                      <w:sz w:val="24"/>
                      <w:highlight w:val="none"/>
                      <w:lang w:val="en-US" w:eastAsia="zh-CN"/>
                    </w:rPr>
                    <w:t>3.服务措施、服务方案、服务意识有待提升完善的，得1≤F＜3分；</w:t>
                  </w:r>
                </w:p>
                <w:p w14:paraId="6E0BA1FE">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strike w:val="0"/>
                      <w:dstrike w:val="0"/>
                      <w:color w:val="000000"/>
                      <w:spacing w:val="3"/>
                      <w:sz w:val="24"/>
                      <w:highlight w:val="none"/>
                      <w:lang w:val="en-US" w:eastAsia="zh-CN"/>
                    </w:rPr>
                  </w:pPr>
                  <w:r>
                    <w:rPr>
                      <w:rFonts w:hint="eastAsia" w:ascii="宋体" w:hAnsi="宋体" w:eastAsia="宋体" w:cs="Times New Roman"/>
                      <w:strike w:val="0"/>
                      <w:dstrike w:val="0"/>
                      <w:color w:val="000000"/>
                      <w:spacing w:val="3"/>
                      <w:sz w:val="24"/>
                      <w:highlight w:val="none"/>
                      <w:lang w:val="en-US" w:eastAsia="zh-CN"/>
                    </w:rPr>
                    <w:t>4.差或未提供的不得分。</w:t>
                  </w:r>
                </w:p>
              </w:tc>
              <w:tc>
                <w:tcPr>
                  <w:tcW w:w="1336" w:type="dxa"/>
                  <w:noWrap w:val="0"/>
                  <w:vAlign w:val="center"/>
                </w:tcPr>
                <w:p w14:paraId="1DA76C64">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eastAsia" w:ascii="宋体" w:hAnsi="宋体" w:cs="宋体"/>
                      <w:bCs/>
                      <w:color w:val="000000"/>
                      <w:sz w:val="24"/>
                      <w:szCs w:val="24"/>
                      <w:highlight w:val="none"/>
                      <w:lang w:val="zh-CN"/>
                    </w:rPr>
                  </w:pPr>
                  <w:r>
                    <w:rPr>
                      <w:rFonts w:hint="eastAsia" w:ascii="宋体" w:hAnsi="宋体" w:cs="宋体"/>
                      <w:bCs/>
                      <w:color w:val="000000"/>
                      <w:sz w:val="24"/>
                      <w:szCs w:val="24"/>
                      <w:highlight w:val="none"/>
                    </w:rPr>
                    <w:t>0-</w:t>
                  </w:r>
                  <w:r>
                    <w:rPr>
                      <w:rFonts w:hint="eastAsia" w:ascii="宋体" w:hAnsi="宋体" w:eastAsia="宋体" w:cs="宋体"/>
                      <w:bCs/>
                      <w:color w:val="000000"/>
                      <w:sz w:val="24"/>
                      <w:szCs w:val="24"/>
                      <w:highlight w:val="none"/>
                      <w:lang w:val="en-US" w:eastAsia="zh-CN"/>
                    </w:rPr>
                    <w:t>8</w:t>
                  </w:r>
                  <w:r>
                    <w:rPr>
                      <w:rFonts w:hint="eastAsia" w:ascii="宋体" w:hAnsi="宋体" w:cs="宋体"/>
                      <w:bCs/>
                      <w:color w:val="000000"/>
                      <w:sz w:val="24"/>
                      <w:szCs w:val="24"/>
                      <w:highlight w:val="none"/>
                    </w:rPr>
                    <w:t>分</w:t>
                  </w:r>
                </w:p>
              </w:tc>
            </w:tr>
            <w:tr w14:paraId="69F9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shd w:val="clear" w:color="auto" w:fill="auto"/>
                  <w:noWrap w:val="0"/>
                  <w:vAlign w:val="center"/>
                </w:tcPr>
                <w:p w14:paraId="32D1FD41">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en-US" w:eastAsia="zh-CN"/>
                    </w:rPr>
                    <w:t>8</w:t>
                  </w:r>
                </w:p>
              </w:tc>
              <w:tc>
                <w:tcPr>
                  <w:tcW w:w="1100" w:type="dxa"/>
                  <w:shd w:val="clear" w:color="auto" w:fill="auto"/>
                  <w:noWrap w:val="0"/>
                  <w:vAlign w:val="center"/>
                </w:tcPr>
                <w:p w14:paraId="4F9D635B">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应急预</w:t>
                  </w:r>
                </w:p>
                <w:p w14:paraId="330A1671">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案和投</w:t>
                  </w:r>
                </w:p>
                <w:p w14:paraId="6F52CB4C">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诉处理</w:t>
                  </w:r>
                </w:p>
                <w:p w14:paraId="7C8D2C28">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方案</w:t>
                  </w:r>
                </w:p>
                <w:p w14:paraId="7971FFFF">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宋体" w:cs="Times New Roman"/>
                      <w:color w:val="000000"/>
                      <w:spacing w:val="3"/>
                      <w:kern w:val="2"/>
                      <w:sz w:val="24"/>
                      <w:szCs w:val="24"/>
                      <w:highlight w:val="none"/>
                      <w:lang w:val="en-US" w:eastAsia="zh-CN" w:bidi="ar-SA"/>
                    </w:rPr>
                  </w:pPr>
                </w:p>
              </w:tc>
              <w:tc>
                <w:tcPr>
                  <w:tcW w:w="6772" w:type="dxa"/>
                  <w:shd w:val="clear" w:color="auto" w:fill="auto"/>
                  <w:noWrap w:val="0"/>
                  <w:vAlign w:val="center"/>
                </w:tcPr>
                <w:p w14:paraId="495145D1">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 xml:space="preserve">合作方需根据本项目特点提出可能出现的突发事件应急处置预案（如：交通事故应急预案；车辆故障应急预案；客流高峰、火灾、极端天气、游客受伤等突发事件应急预案；游客投诉和舆情事件应急方案等），评标委员会根据方案的科学性、合理性、可行性进行综合评审：  </w:t>
                  </w:r>
                </w:p>
                <w:p w14:paraId="7DC320B5">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1.方案具有针对性、实用性、可操作性，有全方位贴心服务的意识和应急处置的措施，内容完整详实，表述清晰，得3≤F≤5分；</w:t>
                  </w:r>
                </w:p>
                <w:p w14:paraId="4AF8622C">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2.方案具有一定的合理性和可行性的，得2≤F&lt;3分；</w:t>
                  </w:r>
                </w:p>
                <w:p w14:paraId="5BBEFFC7">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3.方案基本满足项目需求，可行性和操作性不强的，得1≤F＜2分；</w:t>
                  </w:r>
                </w:p>
                <w:p w14:paraId="46E8D741">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Times New Roman"/>
                      <w:color w:val="000000"/>
                      <w:spacing w:val="3"/>
                      <w:kern w:val="2"/>
                      <w:sz w:val="24"/>
                      <w:szCs w:val="24"/>
                      <w:highlight w:val="none"/>
                      <w:lang w:val="en-US" w:eastAsia="zh-CN" w:bidi="ar-SA"/>
                    </w:rPr>
                  </w:pPr>
                  <w:r>
                    <w:rPr>
                      <w:rFonts w:hint="eastAsia" w:ascii="宋体" w:hAnsi="宋体" w:eastAsia="宋体" w:cs="Times New Roman"/>
                      <w:color w:val="000000"/>
                      <w:spacing w:val="3"/>
                      <w:sz w:val="24"/>
                      <w:highlight w:val="none"/>
                      <w:lang w:val="en-US" w:eastAsia="zh-CN"/>
                    </w:rPr>
                    <w:t>4.</w:t>
                  </w:r>
                  <w:r>
                    <w:rPr>
                      <w:rFonts w:hint="eastAsia" w:ascii="宋体" w:hAnsi="宋体" w:eastAsia="宋体" w:cs="Times New Roman"/>
                      <w:strike w:val="0"/>
                      <w:dstrike w:val="0"/>
                      <w:color w:val="000000"/>
                      <w:spacing w:val="3"/>
                      <w:sz w:val="24"/>
                      <w:highlight w:val="none"/>
                      <w:lang w:val="en-US" w:eastAsia="zh-CN"/>
                    </w:rPr>
                    <w:t>差或未提供的不得分。</w:t>
                  </w:r>
                  <w:r>
                    <w:rPr>
                      <w:rFonts w:hint="eastAsia" w:ascii="宋体" w:hAnsi="宋体" w:eastAsia="宋体" w:cs="Times New Roman"/>
                      <w:color w:val="000000"/>
                      <w:spacing w:val="3"/>
                      <w:sz w:val="24"/>
                      <w:highlight w:val="none"/>
                      <w:lang w:val="en-US" w:eastAsia="zh-CN"/>
                    </w:rPr>
                    <w:t xml:space="preserve"> </w:t>
                  </w:r>
                </w:p>
              </w:tc>
              <w:tc>
                <w:tcPr>
                  <w:tcW w:w="1336" w:type="dxa"/>
                  <w:shd w:val="clear" w:color="auto" w:fill="auto"/>
                  <w:noWrap w:val="0"/>
                  <w:vAlign w:val="center"/>
                </w:tcPr>
                <w:p w14:paraId="7F083009">
                  <w:pPr>
                    <w:pStyle w:val="10"/>
                    <w:keepNext w:val="0"/>
                    <w:keepLines w:val="0"/>
                    <w:pageBreakBefore w:val="0"/>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Cs/>
                      <w:color w:val="000000"/>
                      <w:kern w:val="2"/>
                      <w:sz w:val="24"/>
                      <w:szCs w:val="24"/>
                      <w:highlight w:val="none"/>
                      <w:lang w:val="en-US" w:eastAsia="zh-CN" w:bidi="ar-SA"/>
                    </w:rPr>
                  </w:pPr>
                  <w:r>
                    <w:rPr>
                      <w:rFonts w:hint="eastAsia" w:ascii="宋体" w:hAnsi="宋体" w:cs="宋体"/>
                      <w:bCs/>
                      <w:color w:val="000000"/>
                      <w:sz w:val="24"/>
                      <w:szCs w:val="24"/>
                      <w:highlight w:val="none"/>
                    </w:rPr>
                    <w:t>0-</w:t>
                  </w:r>
                  <w:r>
                    <w:rPr>
                      <w:rFonts w:hint="eastAsia" w:ascii="宋体" w:hAnsi="宋体" w:cs="宋体"/>
                      <w:bCs/>
                      <w:color w:val="000000"/>
                      <w:sz w:val="24"/>
                      <w:szCs w:val="24"/>
                      <w:highlight w:val="none"/>
                      <w:lang w:val="en-US" w:eastAsia="zh-CN"/>
                    </w:rPr>
                    <w:t>5</w:t>
                  </w:r>
                  <w:r>
                    <w:rPr>
                      <w:rFonts w:hint="eastAsia" w:ascii="宋体" w:hAnsi="宋体" w:cs="宋体"/>
                      <w:bCs/>
                      <w:color w:val="000000"/>
                      <w:sz w:val="24"/>
                      <w:szCs w:val="24"/>
                      <w:highlight w:val="none"/>
                    </w:rPr>
                    <w:t>分</w:t>
                  </w:r>
                </w:p>
              </w:tc>
            </w:tr>
            <w:tr w14:paraId="450A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870" w:type="dxa"/>
                  <w:noWrap w:val="0"/>
                  <w:vAlign w:val="center"/>
                </w:tcPr>
                <w:p w14:paraId="0566052C">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9</w:t>
                  </w:r>
                </w:p>
              </w:tc>
              <w:tc>
                <w:tcPr>
                  <w:tcW w:w="1100" w:type="dxa"/>
                  <w:noWrap w:val="0"/>
                  <w:vAlign w:val="center"/>
                </w:tcPr>
                <w:p w14:paraId="77BD4177">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保底报价</w:t>
                  </w:r>
                </w:p>
                <w:p w14:paraId="5FFC88E8">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（要求不少于61万元）</w:t>
                  </w:r>
                </w:p>
              </w:tc>
              <w:tc>
                <w:tcPr>
                  <w:tcW w:w="6772" w:type="dxa"/>
                  <w:noWrap w:val="0"/>
                  <w:vAlign w:val="center"/>
                </w:tcPr>
                <w:p w14:paraId="07BBF778">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eastAsia="宋体" w:cs="Times New Roman"/>
                      <w:color w:val="000000"/>
                      <w:spacing w:val="3"/>
                      <w:sz w:val="24"/>
                      <w:highlight w:val="none"/>
                    </w:rPr>
                  </w:pPr>
                  <w:r>
                    <w:rPr>
                      <w:rFonts w:hint="eastAsia" w:ascii="宋体" w:hAnsi="宋体" w:eastAsia="宋体" w:cs="Times New Roman"/>
                      <w:color w:val="000000"/>
                      <w:spacing w:val="3"/>
                      <w:sz w:val="24"/>
                      <w:highlight w:val="none"/>
                      <w:lang w:val="en-US" w:eastAsia="zh-CN"/>
                    </w:rPr>
                    <w:t>合作方</w:t>
                  </w:r>
                  <w:r>
                    <w:rPr>
                      <w:rFonts w:hint="eastAsia" w:ascii="宋体" w:hAnsi="宋体" w:eastAsia="宋体" w:cs="Times New Roman"/>
                      <w:color w:val="000000"/>
                      <w:spacing w:val="3"/>
                      <w:sz w:val="24"/>
                      <w:highlight w:val="none"/>
                    </w:rPr>
                    <w:t>应</w:t>
                  </w:r>
                  <w:r>
                    <w:rPr>
                      <w:rFonts w:hint="eastAsia" w:ascii="宋体" w:hAnsi="宋体" w:eastAsia="宋体" w:cs="Times New Roman"/>
                      <w:color w:val="000000"/>
                      <w:spacing w:val="3"/>
                      <w:sz w:val="24"/>
                      <w:highlight w:val="none"/>
                      <w:lang w:eastAsia="zh-CN"/>
                    </w:rPr>
                    <w:t>根据</w:t>
                  </w:r>
                  <w:r>
                    <w:rPr>
                      <w:rFonts w:hint="eastAsia" w:ascii="宋体" w:hAnsi="宋体" w:eastAsia="宋体" w:cs="Times New Roman"/>
                      <w:color w:val="000000"/>
                      <w:spacing w:val="3"/>
                      <w:sz w:val="24"/>
                      <w:highlight w:val="none"/>
                    </w:rPr>
                    <w:t>自身综合能力，</w:t>
                  </w:r>
                  <w:r>
                    <w:rPr>
                      <w:rFonts w:hint="eastAsia" w:ascii="宋体" w:hAnsi="宋体" w:eastAsia="宋体" w:cs="Times New Roman"/>
                      <w:color w:val="000000"/>
                      <w:spacing w:val="3"/>
                      <w:sz w:val="24"/>
                      <w:highlight w:val="none"/>
                      <w:lang w:val="en-US" w:eastAsia="zh-CN"/>
                    </w:rPr>
                    <w:t>对招商方年度能获得的保底分成额</w:t>
                  </w:r>
                  <w:r>
                    <w:rPr>
                      <w:rFonts w:hint="eastAsia" w:ascii="宋体" w:hAnsi="宋体" w:eastAsia="宋体" w:cs="Times New Roman"/>
                      <w:color w:val="000000"/>
                      <w:spacing w:val="3"/>
                      <w:sz w:val="24"/>
                      <w:highlight w:val="none"/>
                    </w:rPr>
                    <w:t>做出</w:t>
                  </w:r>
                  <w:r>
                    <w:rPr>
                      <w:rFonts w:hint="eastAsia" w:ascii="宋体" w:hAnsi="宋体" w:eastAsia="宋体" w:cs="Times New Roman"/>
                      <w:color w:val="000000"/>
                      <w:spacing w:val="3"/>
                      <w:sz w:val="24"/>
                      <w:highlight w:val="none"/>
                      <w:lang w:val="en-US" w:eastAsia="zh-CN"/>
                    </w:rPr>
                    <w:t>报价</w:t>
                  </w:r>
                  <w:r>
                    <w:rPr>
                      <w:rFonts w:hint="eastAsia" w:ascii="宋体" w:hAnsi="宋体" w:eastAsia="宋体" w:cs="Times New Roman"/>
                      <w:color w:val="000000"/>
                      <w:spacing w:val="3"/>
                      <w:sz w:val="24"/>
                      <w:highlight w:val="none"/>
                    </w:rPr>
                    <w:t>，</w:t>
                  </w:r>
                  <w:r>
                    <w:rPr>
                      <w:rFonts w:hint="eastAsia" w:ascii="宋体" w:hAnsi="宋体" w:eastAsia="宋体" w:cs="Times New Roman"/>
                      <w:color w:val="000000"/>
                      <w:spacing w:val="3"/>
                      <w:sz w:val="24"/>
                      <w:highlight w:val="none"/>
                      <w:lang w:val="en-US" w:eastAsia="zh-CN"/>
                    </w:rPr>
                    <w:t>报价</w:t>
                  </w:r>
                  <w:r>
                    <w:rPr>
                      <w:rFonts w:hint="eastAsia" w:ascii="宋体" w:hAnsi="宋体" w:eastAsia="宋体" w:cs="Times New Roman"/>
                      <w:color w:val="000000"/>
                      <w:spacing w:val="3"/>
                      <w:sz w:val="24"/>
                      <w:highlight w:val="none"/>
                    </w:rPr>
                    <w:t>需</w:t>
                  </w:r>
                  <w:r>
                    <w:rPr>
                      <w:rFonts w:hint="eastAsia" w:ascii="宋体" w:hAnsi="宋体" w:eastAsia="宋体" w:cs="Times New Roman"/>
                      <w:color w:val="000000"/>
                      <w:spacing w:val="3"/>
                      <w:sz w:val="24"/>
                      <w:highlight w:val="none"/>
                      <w:lang w:eastAsia="zh-CN"/>
                    </w:rPr>
                    <w:t>不少于</w:t>
                  </w:r>
                  <w:r>
                    <w:rPr>
                      <w:rFonts w:hint="eastAsia" w:ascii="宋体" w:hAnsi="宋体" w:eastAsia="宋体" w:cs="Times New Roman"/>
                      <w:color w:val="000000"/>
                      <w:spacing w:val="3"/>
                      <w:sz w:val="24"/>
                      <w:highlight w:val="none"/>
                      <w:lang w:val="en-US" w:eastAsia="zh-CN"/>
                    </w:rPr>
                    <w:t>项目评估底价</w:t>
                  </w:r>
                  <w:r>
                    <w:rPr>
                      <w:rFonts w:hint="eastAsia" w:ascii="宋体" w:hAnsi="宋体" w:eastAsia="宋体" w:cs="Times New Roman"/>
                      <w:color w:val="000000"/>
                      <w:spacing w:val="3"/>
                      <w:sz w:val="24"/>
                      <w:highlight w:val="none"/>
                    </w:rPr>
                    <w:t>。</w:t>
                  </w:r>
                  <w:r>
                    <w:rPr>
                      <w:rFonts w:hint="eastAsia" w:ascii="宋体" w:hAnsi="宋体" w:eastAsia="宋体" w:cs="Times New Roman"/>
                      <w:color w:val="000000"/>
                      <w:spacing w:val="3"/>
                      <w:sz w:val="24"/>
                      <w:highlight w:val="none"/>
                      <w:lang w:val="en-US" w:eastAsia="zh-CN"/>
                    </w:rPr>
                    <w:t>以满足文件要求的有效最高保底报价作为基准价，得分15分，其他报价得分=</w:t>
                  </w:r>
                  <w:r>
                    <w:rPr>
                      <w:rFonts w:hint="eastAsia" w:ascii="宋体" w:hAnsi="宋体" w:eastAsia="宋体" w:cs="Times New Roman"/>
                      <w:color w:val="000000"/>
                      <w:spacing w:val="3"/>
                      <w:sz w:val="24"/>
                      <w:highlight w:val="none"/>
                    </w:rPr>
                    <w:t>（其他报价</w:t>
                  </w:r>
                  <w:r>
                    <w:rPr>
                      <w:rFonts w:hint="eastAsia" w:ascii="宋体" w:hAnsi="宋体" w:eastAsia="宋体" w:cs="Times New Roman"/>
                      <w:color w:val="000000"/>
                      <w:spacing w:val="3"/>
                      <w:sz w:val="24"/>
                      <w:highlight w:val="none"/>
                      <w:lang w:val="en-US" w:eastAsia="zh-CN"/>
                    </w:rPr>
                    <w:t>/</w:t>
                  </w:r>
                  <w:r>
                    <w:rPr>
                      <w:rFonts w:hint="eastAsia" w:ascii="宋体" w:hAnsi="宋体" w:eastAsia="宋体" w:cs="Times New Roman"/>
                      <w:color w:val="000000"/>
                      <w:spacing w:val="3"/>
                      <w:sz w:val="24"/>
                      <w:highlight w:val="none"/>
                    </w:rPr>
                    <w:t>基准价）×</w:t>
                  </w:r>
                  <w:r>
                    <w:rPr>
                      <w:rFonts w:hint="eastAsia" w:ascii="宋体" w:hAnsi="宋体" w:eastAsia="宋体" w:cs="Times New Roman"/>
                      <w:color w:val="000000"/>
                      <w:spacing w:val="3"/>
                      <w:sz w:val="24"/>
                      <w:highlight w:val="none"/>
                      <w:lang w:val="en-US" w:eastAsia="zh-CN"/>
                    </w:rPr>
                    <w:t>15</w:t>
                  </w:r>
                  <w:r>
                    <w:rPr>
                      <w:rFonts w:hint="eastAsia" w:ascii="宋体" w:hAnsi="宋体" w:eastAsia="宋体" w:cs="Times New Roman"/>
                      <w:color w:val="000000"/>
                      <w:spacing w:val="3"/>
                      <w:sz w:val="24"/>
                      <w:highlight w:val="none"/>
                    </w:rPr>
                    <w:t>%×100（保留至小数点后两位）。</w:t>
                  </w:r>
                </w:p>
                <w:p w14:paraId="4EEB0762">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000000"/>
                      <w:spacing w:val="3"/>
                      <w:sz w:val="24"/>
                      <w:highlight w:val="none"/>
                    </w:rPr>
                  </w:pPr>
                  <w:r>
                    <w:rPr>
                      <w:rFonts w:hint="eastAsia" w:ascii="宋体" w:hAnsi="宋体" w:eastAsia="宋体" w:cs="Times New Roman"/>
                      <w:color w:val="000000"/>
                      <w:spacing w:val="3"/>
                      <w:sz w:val="24"/>
                      <w:highlight w:val="none"/>
                    </w:rPr>
                    <w:t>注意：</w:t>
                  </w:r>
                </w:p>
                <w:p w14:paraId="04E4B232">
                  <w:pPr>
                    <w:keepNext w:val="0"/>
                    <w:keepLines w:val="0"/>
                    <w:pageBreakBefore w:val="0"/>
                    <w:widowControl/>
                    <w:kinsoku/>
                    <w:wordWrap/>
                    <w:overflowPunct/>
                    <w:topLinePunct w:val="0"/>
                    <w:autoSpaceDE/>
                    <w:autoSpaceDN/>
                    <w:bidi w:val="0"/>
                    <w:adjustRightInd/>
                    <w:snapToGrid/>
                    <w:spacing w:line="240" w:lineRule="auto"/>
                    <w:ind w:left="0" w:leftChars="0" w:right="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rPr>
                    <w:t>招商方全年分成总和大于保底报价时，招商方按照分成总和收取</w:t>
                  </w:r>
                  <w:r>
                    <w:rPr>
                      <w:rFonts w:hint="eastAsia" w:ascii="宋体" w:hAnsi="宋体" w:eastAsia="宋体" w:cs="Times New Roman"/>
                      <w:color w:val="000000"/>
                      <w:spacing w:val="3"/>
                      <w:sz w:val="24"/>
                      <w:highlight w:val="none"/>
                      <w:lang w:eastAsia="zh-CN"/>
                    </w:rPr>
                    <w:t>经营权转让</w:t>
                  </w:r>
                  <w:r>
                    <w:rPr>
                      <w:rFonts w:hint="eastAsia" w:ascii="宋体" w:hAnsi="宋体" w:eastAsia="宋体" w:cs="Times New Roman"/>
                      <w:color w:val="000000"/>
                      <w:spacing w:val="3"/>
                      <w:sz w:val="24"/>
                      <w:highlight w:val="none"/>
                    </w:rPr>
                    <w:t>款，招商方全年分成总和小于等于保底报价时，招商方按照保底报价收取</w:t>
                  </w:r>
                  <w:r>
                    <w:rPr>
                      <w:rFonts w:hint="eastAsia" w:ascii="宋体" w:hAnsi="宋体" w:eastAsia="宋体" w:cs="Times New Roman"/>
                      <w:color w:val="000000"/>
                      <w:spacing w:val="3"/>
                      <w:sz w:val="24"/>
                      <w:highlight w:val="none"/>
                      <w:lang w:eastAsia="zh-CN"/>
                    </w:rPr>
                    <w:t>经营权转让</w:t>
                  </w:r>
                  <w:r>
                    <w:rPr>
                      <w:rFonts w:hint="eastAsia" w:ascii="宋体" w:hAnsi="宋体" w:eastAsia="宋体" w:cs="Times New Roman"/>
                      <w:color w:val="000000"/>
                      <w:spacing w:val="3"/>
                      <w:sz w:val="24"/>
                      <w:highlight w:val="none"/>
                    </w:rPr>
                    <w:t>款</w:t>
                  </w:r>
                  <w:r>
                    <w:rPr>
                      <w:rFonts w:hint="eastAsia" w:ascii="宋体" w:hAnsi="宋体" w:eastAsia="宋体" w:cs="Times New Roman"/>
                      <w:color w:val="000000"/>
                      <w:spacing w:val="3"/>
                      <w:sz w:val="24"/>
                      <w:highlight w:val="none"/>
                      <w:lang w:val="en-US" w:eastAsia="zh-CN"/>
                    </w:rPr>
                    <w:t>，</w:t>
                  </w:r>
                  <w:r>
                    <w:rPr>
                      <w:rFonts w:hint="eastAsia" w:ascii="宋体" w:hAnsi="宋体" w:eastAsia="宋体" w:cs="Times New Roman"/>
                      <w:color w:val="000000"/>
                      <w:spacing w:val="3"/>
                      <w:sz w:val="24"/>
                      <w:highlight w:val="none"/>
                    </w:rPr>
                    <w:t>请</w:t>
                  </w:r>
                  <w:r>
                    <w:rPr>
                      <w:rFonts w:hint="eastAsia" w:ascii="宋体" w:hAnsi="宋体" w:eastAsia="宋体" w:cs="Times New Roman"/>
                      <w:color w:val="000000"/>
                      <w:spacing w:val="3"/>
                      <w:sz w:val="24"/>
                      <w:highlight w:val="none"/>
                      <w:lang w:val="en-US" w:eastAsia="zh-CN"/>
                    </w:rPr>
                    <w:t>合作方</w:t>
                  </w:r>
                  <w:r>
                    <w:rPr>
                      <w:rFonts w:hint="eastAsia" w:ascii="宋体" w:hAnsi="宋体" w:eastAsia="宋体" w:cs="Times New Roman"/>
                      <w:color w:val="000000"/>
                      <w:spacing w:val="3"/>
                      <w:sz w:val="24"/>
                      <w:highlight w:val="none"/>
                    </w:rPr>
                    <w:t>谨慎对待，慎重</w:t>
                  </w:r>
                  <w:r>
                    <w:rPr>
                      <w:rFonts w:hint="eastAsia" w:ascii="宋体" w:hAnsi="宋体" w:eastAsia="宋体" w:cs="Times New Roman"/>
                      <w:color w:val="000000"/>
                      <w:spacing w:val="3"/>
                      <w:sz w:val="24"/>
                      <w:highlight w:val="none"/>
                      <w:lang w:val="en-US" w:eastAsia="zh-CN"/>
                    </w:rPr>
                    <w:t>报价</w:t>
                  </w:r>
                  <w:r>
                    <w:rPr>
                      <w:rFonts w:hint="eastAsia" w:ascii="宋体" w:hAnsi="宋体" w:eastAsia="宋体" w:cs="Times New Roman"/>
                      <w:color w:val="000000"/>
                      <w:spacing w:val="3"/>
                      <w:sz w:val="24"/>
                      <w:highlight w:val="none"/>
                    </w:rPr>
                    <w:t>。</w:t>
                  </w:r>
                </w:p>
              </w:tc>
              <w:tc>
                <w:tcPr>
                  <w:tcW w:w="1336" w:type="dxa"/>
                  <w:noWrap w:val="0"/>
                  <w:vAlign w:val="center"/>
                </w:tcPr>
                <w:p w14:paraId="7572CD13">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eastAsia" w:ascii="宋体" w:hAnsi="宋体" w:eastAsia="宋体" w:cs="Times New Roman"/>
                      <w:color w:val="000000"/>
                      <w:spacing w:val="3"/>
                      <w:sz w:val="24"/>
                      <w:highlight w:val="none"/>
                      <w:lang w:val="en-US" w:eastAsia="zh-CN"/>
                    </w:rPr>
                  </w:pPr>
                  <w:r>
                    <w:rPr>
                      <w:rFonts w:hint="eastAsia" w:ascii="宋体" w:hAnsi="宋体" w:cs="宋体"/>
                      <w:bCs/>
                      <w:color w:val="000000"/>
                      <w:sz w:val="24"/>
                      <w:szCs w:val="24"/>
                      <w:highlight w:val="none"/>
                      <w:lang w:val="en-US" w:eastAsia="zh-CN"/>
                    </w:rPr>
                    <w:t>0-15分</w:t>
                  </w:r>
                </w:p>
              </w:tc>
            </w:tr>
            <w:tr w14:paraId="4666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70" w:type="dxa"/>
                  <w:noWrap w:val="0"/>
                  <w:vAlign w:val="center"/>
                </w:tcPr>
                <w:p w14:paraId="59753F69">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10</w:t>
                  </w:r>
                </w:p>
              </w:tc>
              <w:tc>
                <w:tcPr>
                  <w:tcW w:w="1100" w:type="dxa"/>
                  <w:noWrap w:val="0"/>
                  <w:vAlign w:val="center"/>
                </w:tcPr>
                <w:p w14:paraId="7ACE6422">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基础分成比例报价</w:t>
                  </w:r>
                  <w:r>
                    <w:rPr>
                      <w:rFonts w:hint="eastAsia" w:ascii="宋体" w:hAnsi="宋体" w:cs="宋体"/>
                      <w:color w:val="auto"/>
                      <w:sz w:val="24"/>
                      <w:szCs w:val="24"/>
                      <w:highlight w:val="none"/>
                      <w:lang w:val="en-US" w:eastAsia="zh-CN"/>
                    </w:rPr>
                    <w:t>（要求不少于35%）</w:t>
                  </w:r>
                </w:p>
              </w:tc>
              <w:tc>
                <w:tcPr>
                  <w:tcW w:w="6772" w:type="dxa"/>
                  <w:noWrap w:val="0"/>
                  <w:vAlign w:val="center"/>
                </w:tcPr>
                <w:p w14:paraId="7D2FA763">
                  <w:pPr>
                    <w:keepNext w:val="0"/>
                    <w:keepLines w:val="0"/>
                    <w:pageBreakBefore w:val="0"/>
                    <w:widowControl/>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default"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招商方基础分成比例最低不得少于35%</w:t>
                  </w:r>
                  <w:r>
                    <w:rPr>
                      <w:rFonts w:hint="eastAsia" w:ascii="宋体" w:hAnsi="宋体" w:eastAsia="宋体" w:cs="Times New Roman"/>
                      <w:color w:val="000000"/>
                      <w:spacing w:val="3"/>
                      <w:sz w:val="24"/>
                      <w:highlight w:val="none"/>
                      <w:lang w:eastAsia="zh-CN"/>
                    </w:rPr>
                    <w:t>，</w:t>
                  </w:r>
                  <w:r>
                    <w:rPr>
                      <w:rFonts w:hint="eastAsia" w:ascii="宋体" w:hAnsi="宋体" w:eastAsia="宋体" w:cs="Times New Roman"/>
                      <w:color w:val="000000"/>
                      <w:spacing w:val="3"/>
                      <w:sz w:val="24"/>
                      <w:highlight w:val="none"/>
                    </w:rPr>
                    <w:t>以满足文件要求的有效最</w:t>
                  </w:r>
                  <w:r>
                    <w:rPr>
                      <w:rFonts w:hint="eastAsia" w:ascii="宋体" w:hAnsi="宋体" w:eastAsia="宋体" w:cs="Times New Roman"/>
                      <w:color w:val="000000"/>
                      <w:spacing w:val="3"/>
                      <w:sz w:val="24"/>
                      <w:highlight w:val="none"/>
                      <w:lang w:val="en-US" w:eastAsia="zh-CN"/>
                    </w:rPr>
                    <w:t>高招商方基础分成比例报价</w:t>
                  </w:r>
                  <w:r>
                    <w:rPr>
                      <w:rFonts w:hint="eastAsia" w:ascii="宋体" w:hAnsi="宋体" w:eastAsia="宋体" w:cs="Times New Roman"/>
                      <w:color w:val="000000"/>
                      <w:spacing w:val="3"/>
                      <w:sz w:val="24"/>
                      <w:highlight w:val="none"/>
                    </w:rPr>
                    <w:t>为基准价</w:t>
                  </w:r>
                  <w:r>
                    <w:rPr>
                      <w:rFonts w:hint="eastAsia" w:ascii="宋体" w:hAnsi="宋体" w:eastAsia="宋体" w:cs="Times New Roman"/>
                      <w:color w:val="000000"/>
                      <w:spacing w:val="3"/>
                      <w:sz w:val="24"/>
                      <w:highlight w:val="none"/>
                      <w:lang w:eastAsia="zh-CN"/>
                    </w:rPr>
                    <w:t>（</w:t>
                  </w:r>
                  <w:r>
                    <w:rPr>
                      <w:rFonts w:hint="eastAsia" w:ascii="宋体" w:hAnsi="宋体" w:eastAsia="宋体" w:cs="Times New Roman"/>
                      <w:color w:val="000000"/>
                      <w:spacing w:val="3"/>
                      <w:sz w:val="24"/>
                      <w:highlight w:val="none"/>
                      <w:lang w:val="en-US" w:eastAsia="zh-CN"/>
                    </w:rPr>
                    <w:t>A分成比例报价</w:t>
                  </w:r>
                  <w:r>
                    <w:rPr>
                      <w:rFonts w:hint="eastAsia" w:ascii="宋体" w:hAnsi="宋体" w:eastAsia="宋体" w:cs="Times New Roman"/>
                      <w:color w:val="000000"/>
                      <w:spacing w:val="3"/>
                      <w:sz w:val="24"/>
                      <w:highlight w:val="none"/>
                      <w:lang w:eastAsia="zh-CN"/>
                    </w:rPr>
                    <w:t>）</w:t>
                  </w:r>
                  <w:r>
                    <w:rPr>
                      <w:rFonts w:hint="eastAsia" w:ascii="宋体" w:hAnsi="宋体" w:eastAsia="宋体" w:cs="Times New Roman"/>
                      <w:color w:val="000000"/>
                      <w:spacing w:val="3"/>
                      <w:sz w:val="24"/>
                      <w:highlight w:val="none"/>
                    </w:rPr>
                    <w:t>，得</w:t>
                  </w:r>
                  <w:r>
                    <w:rPr>
                      <w:rFonts w:hint="eastAsia" w:ascii="宋体" w:hAnsi="宋体" w:eastAsia="宋体" w:cs="Times New Roman"/>
                      <w:color w:val="000000"/>
                      <w:spacing w:val="3"/>
                      <w:sz w:val="24"/>
                      <w:highlight w:val="none"/>
                      <w:lang w:val="en-US" w:eastAsia="zh-CN"/>
                    </w:rPr>
                    <w:t>20</w:t>
                  </w:r>
                  <w:r>
                    <w:rPr>
                      <w:rFonts w:hint="eastAsia" w:ascii="宋体" w:hAnsi="宋体" w:eastAsia="宋体" w:cs="Times New Roman"/>
                      <w:color w:val="000000"/>
                      <w:spacing w:val="3"/>
                      <w:sz w:val="24"/>
                      <w:highlight w:val="none"/>
                    </w:rPr>
                    <w:t>分，其他报价得分=（其他报价</w:t>
                  </w:r>
                  <w:r>
                    <w:rPr>
                      <w:rFonts w:hint="eastAsia" w:ascii="宋体" w:hAnsi="宋体" w:eastAsia="宋体" w:cs="Times New Roman"/>
                      <w:color w:val="000000"/>
                      <w:spacing w:val="3"/>
                      <w:sz w:val="24"/>
                      <w:highlight w:val="none"/>
                      <w:lang w:val="en-US" w:eastAsia="zh-CN"/>
                    </w:rPr>
                    <w:t>/</w:t>
                  </w:r>
                  <w:r>
                    <w:rPr>
                      <w:rFonts w:hint="eastAsia" w:ascii="宋体" w:hAnsi="宋体" w:eastAsia="宋体" w:cs="Times New Roman"/>
                      <w:color w:val="000000"/>
                      <w:spacing w:val="3"/>
                      <w:sz w:val="24"/>
                      <w:highlight w:val="none"/>
                    </w:rPr>
                    <w:t>基准价）×</w:t>
                  </w:r>
                  <w:r>
                    <w:rPr>
                      <w:rFonts w:hint="eastAsia" w:ascii="宋体" w:hAnsi="宋体" w:eastAsia="宋体" w:cs="Times New Roman"/>
                      <w:color w:val="000000"/>
                      <w:spacing w:val="3"/>
                      <w:sz w:val="24"/>
                      <w:highlight w:val="none"/>
                      <w:lang w:val="en-US" w:eastAsia="zh-CN"/>
                    </w:rPr>
                    <w:t>20</w:t>
                  </w:r>
                  <w:r>
                    <w:rPr>
                      <w:rFonts w:hint="eastAsia" w:ascii="宋体" w:hAnsi="宋体" w:eastAsia="宋体" w:cs="Times New Roman"/>
                      <w:color w:val="000000"/>
                      <w:spacing w:val="3"/>
                      <w:sz w:val="24"/>
                      <w:highlight w:val="none"/>
                    </w:rPr>
                    <w:t>%×100（保留至小数点后两位）。</w:t>
                  </w:r>
                </w:p>
              </w:tc>
              <w:tc>
                <w:tcPr>
                  <w:tcW w:w="1336" w:type="dxa"/>
                  <w:noWrap w:val="0"/>
                  <w:vAlign w:val="center"/>
                </w:tcPr>
                <w:p w14:paraId="069F61DF">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default" w:ascii="宋体" w:hAnsi="宋体" w:cs="宋体"/>
                      <w:bCs/>
                      <w:color w:val="000000"/>
                      <w:sz w:val="24"/>
                      <w:szCs w:val="24"/>
                      <w:highlight w:val="none"/>
                      <w:lang w:val="en-US" w:eastAsia="zh-CN"/>
                    </w:rPr>
                  </w:pPr>
                  <w:r>
                    <w:rPr>
                      <w:rFonts w:hint="eastAsia" w:ascii="宋体" w:hAnsi="宋体" w:cs="宋体"/>
                      <w:bCs/>
                      <w:color w:val="000000"/>
                      <w:sz w:val="24"/>
                      <w:szCs w:val="24"/>
                      <w:highlight w:val="none"/>
                      <w:lang w:val="en-US" w:eastAsia="zh-CN"/>
                    </w:rPr>
                    <w:t>0-20分</w:t>
                  </w:r>
                </w:p>
              </w:tc>
            </w:tr>
            <w:tr w14:paraId="357A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70" w:type="dxa"/>
                  <w:shd w:val="clear" w:color="auto" w:fill="auto"/>
                  <w:noWrap w:val="0"/>
                  <w:vAlign w:val="center"/>
                </w:tcPr>
                <w:p w14:paraId="35A19977">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Arial"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en-US" w:eastAsia="zh-CN"/>
                    </w:rPr>
                    <w:t>11</w:t>
                  </w:r>
                </w:p>
              </w:tc>
              <w:tc>
                <w:tcPr>
                  <w:tcW w:w="1100" w:type="dxa"/>
                  <w:shd w:val="clear" w:color="auto" w:fill="auto"/>
                  <w:noWrap w:val="0"/>
                  <w:vAlign w:val="center"/>
                </w:tcPr>
                <w:p w14:paraId="70D28FBE">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ascii="宋体" w:hAnsi="宋体" w:eastAsia="宋体" w:cs="Times New Roman"/>
                      <w:color w:val="000000"/>
                      <w:spacing w:val="3"/>
                      <w:sz w:val="24"/>
                      <w:highlight w:val="none"/>
                      <w:lang w:val="en-US" w:eastAsia="zh-CN"/>
                    </w:rPr>
                  </w:pPr>
                  <w:r>
                    <w:rPr>
                      <w:rFonts w:hint="eastAsia" w:ascii="宋体" w:hAnsi="宋体" w:eastAsia="宋体" w:cs="Times New Roman"/>
                      <w:color w:val="000000"/>
                      <w:spacing w:val="3"/>
                      <w:sz w:val="24"/>
                      <w:highlight w:val="none"/>
                      <w:lang w:val="en-US" w:eastAsia="zh-CN"/>
                    </w:rPr>
                    <w:t>阶梯分成比例报价（要求高于A分成比例报价）</w:t>
                  </w:r>
                </w:p>
              </w:tc>
              <w:tc>
                <w:tcPr>
                  <w:tcW w:w="6772" w:type="dxa"/>
                  <w:shd w:val="clear" w:color="auto" w:fill="auto"/>
                  <w:noWrap w:val="0"/>
                  <w:vAlign w:val="center"/>
                </w:tcPr>
                <w:p w14:paraId="7D681E59">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default" w:ascii="Arial" w:hAnsi="Arial" w:eastAsia="Arial" w:cs="Arial"/>
                      <w:kern w:val="2"/>
                      <w:sz w:val="21"/>
                      <w:szCs w:val="24"/>
                      <w:highlight w:val="none"/>
                      <w:lang w:val="en-US" w:eastAsia="zh-CN" w:bidi="ar-SA"/>
                    </w:rPr>
                  </w:pPr>
                  <w:r>
                    <w:rPr>
                      <w:rFonts w:hint="eastAsia" w:ascii="宋体" w:hAnsi="宋体" w:eastAsia="宋体" w:cs="Times New Roman"/>
                      <w:color w:val="000000"/>
                      <w:spacing w:val="3"/>
                      <w:sz w:val="24"/>
                      <w:highlight w:val="none"/>
                      <w:lang w:val="en-US" w:eastAsia="zh-CN"/>
                    </w:rPr>
                    <w:t>当年总营收超出300万元（按年150万客流，票价20元/人，转化率10%测算分界点）以上部分，招商方阶梯分成比例高于A分成比例报价（即有效最高招商方基础分成比例报价）的，每高出一个百分点得0.6分，最高得6分。低于A分成比例报价的不得分。</w:t>
                  </w:r>
                </w:p>
              </w:tc>
              <w:tc>
                <w:tcPr>
                  <w:tcW w:w="1336" w:type="dxa"/>
                  <w:shd w:val="clear" w:color="auto" w:fill="auto"/>
                  <w:noWrap w:val="0"/>
                  <w:vAlign w:val="center"/>
                </w:tcPr>
                <w:p w14:paraId="3703C78C">
                  <w:pPr>
                    <w:keepNext w:val="0"/>
                    <w:keepLines w:val="0"/>
                    <w:pageBreakBefore w:val="0"/>
                    <w:kinsoku/>
                    <w:wordWrap/>
                    <w:overflowPunct/>
                    <w:topLinePunct w:val="0"/>
                    <w:autoSpaceDE/>
                    <w:autoSpaceDN/>
                    <w:bidi w:val="0"/>
                    <w:adjustRightInd w:val="0"/>
                    <w:snapToGrid w:val="0"/>
                    <w:spacing w:line="240" w:lineRule="auto"/>
                    <w:ind w:left="105" w:leftChars="50" w:right="0" w:rightChars="0" w:firstLine="0" w:firstLineChars="0"/>
                    <w:jc w:val="both"/>
                    <w:textAlignment w:val="auto"/>
                    <w:rPr>
                      <w:rFonts w:hint="eastAsia" w:ascii="宋体" w:hAnsi="宋体" w:eastAsia="Arial" w:cs="宋体"/>
                      <w:bCs/>
                      <w:color w:val="000000"/>
                      <w:kern w:val="2"/>
                      <w:sz w:val="24"/>
                      <w:szCs w:val="24"/>
                      <w:highlight w:val="none"/>
                      <w:lang w:val="en-US" w:eastAsia="zh-CN" w:bidi="ar-SA"/>
                    </w:rPr>
                  </w:pPr>
                  <w:r>
                    <w:rPr>
                      <w:rFonts w:hint="eastAsia" w:ascii="宋体" w:hAnsi="宋体" w:cs="宋体"/>
                      <w:bCs/>
                      <w:color w:val="000000"/>
                      <w:sz w:val="24"/>
                      <w:szCs w:val="24"/>
                      <w:highlight w:val="none"/>
                      <w:lang w:val="en-US" w:eastAsia="zh-CN"/>
                    </w:rPr>
                    <w:t>0-6分</w:t>
                  </w:r>
                </w:p>
              </w:tc>
            </w:tr>
            <w:tr w14:paraId="7BA7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870" w:type="dxa"/>
                  <w:noWrap w:val="0"/>
                  <w:vAlign w:val="center"/>
                </w:tcPr>
                <w:p w14:paraId="006C51A2">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center"/>
                    <w:textAlignment w:val="auto"/>
                    <w:rPr>
                      <w:rFonts w:hint="default" w:ascii="宋体" w:hAnsi="宋体" w:eastAsia="宋体" w:cs="宋体"/>
                      <w:b/>
                      <w:bCs/>
                      <w:color w:val="000000"/>
                      <w:sz w:val="24"/>
                      <w:szCs w:val="24"/>
                      <w:highlight w:val="none"/>
                      <w:lang w:val="en-US" w:eastAsia="zh-CN"/>
                    </w:rPr>
                  </w:pPr>
                </w:p>
              </w:tc>
              <w:tc>
                <w:tcPr>
                  <w:tcW w:w="7872" w:type="dxa"/>
                  <w:gridSpan w:val="2"/>
                  <w:noWrap w:val="0"/>
                  <w:vAlign w:val="center"/>
                </w:tcPr>
                <w:p w14:paraId="446099FE">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合计（1</w:t>
                  </w:r>
                  <w:r>
                    <w:rPr>
                      <w:rFonts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11</w:t>
                  </w:r>
                  <w:r>
                    <w:rPr>
                      <w:rFonts w:hint="eastAsia" w:ascii="宋体" w:hAnsi="宋体" w:cs="宋体"/>
                      <w:b/>
                      <w:bCs/>
                      <w:color w:val="000000"/>
                      <w:sz w:val="24"/>
                      <w:szCs w:val="24"/>
                      <w:highlight w:val="none"/>
                    </w:rPr>
                    <w:t>项）</w:t>
                  </w:r>
                </w:p>
              </w:tc>
              <w:tc>
                <w:tcPr>
                  <w:tcW w:w="1336" w:type="dxa"/>
                  <w:noWrap w:val="0"/>
                  <w:vAlign w:val="center"/>
                </w:tcPr>
                <w:p w14:paraId="4291B970">
                  <w:pPr>
                    <w:keepNext w:val="0"/>
                    <w:keepLines w:val="0"/>
                    <w:pageBreakBefore w:val="0"/>
                    <w:kinsoku/>
                    <w:wordWrap/>
                    <w:overflowPunct/>
                    <w:topLinePunct w:val="0"/>
                    <w:autoSpaceDE/>
                    <w:autoSpaceDN/>
                    <w:bidi w:val="0"/>
                    <w:adjustRightInd w:val="0"/>
                    <w:snapToGrid w:val="0"/>
                    <w:spacing w:line="240" w:lineRule="auto"/>
                    <w:ind w:left="105" w:leftChars="50" w:right="0" w:firstLine="0" w:firstLineChars="0"/>
                    <w:jc w:val="both"/>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lang w:val="en-US" w:eastAsia="zh-CN"/>
                    </w:rPr>
                    <w:t>100</w:t>
                  </w:r>
                  <w:r>
                    <w:rPr>
                      <w:rFonts w:hint="eastAsia" w:ascii="宋体" w:hAnsi="宋体" w:cs="宋体"/>
                      <w:b/>
                      <w:bCs/>
                      <w:color w:val="000000"/>
                      <w:sz w:val="24"/>
                      <w:szCs w:val="24"/>
                      <w:highlight w:val="none"/>
                    </w:rPr>
                    <w:t>分</w:t>
                  </w:r>
                </w:p>
              </w:tc>
            </w:tr>
          </w:tbl>
          <w:p w14:paraId="162380E7">
            <w:pPr>
              <w:pStyle w:val="15"/>
              <w:numPr>
                <w:ilvl w:val="0"/>
                <w:numId w:val="0"/>
              </w:numPr>
              <w:kinsoku w:val="0"/>
              <w:autoSpaceDE w:val="0"/>
              <w:autoSpaceDN w:val="0"/>
              <w:adjustRightInd w:val="0"/>
              <w:snapToGrid w:val="0"/>
              <w:spacing w:before="115" w:line="263" w:lineRule="auto"/>
              <w:ind w:right="70" w:rightChars="0" w:firstLine="480" w:firstLineChars="200"/>
              <w:jc w:val="left"/>
              <w:textAlignment w:val="baseline"/>
              <w:rPr>
                <w:rFonts w:hint="eastAsia" w:ascii="宋体" w:hAnsi="宋体" w:eastAsia="宋体" w:cs="宋体"/>
                <w:color w:val="000000"/>
                <w:w w:val="100"/>
                <w:sz w:val="24"/>
                <w:szCs w:val="24"/>
                <w:highlight w:val="none"/>
                <w:lang w:eastAsia="zh-CN"/>
              </w:rPr>
            </w:pPr>
            <w:r>
              <w:rPr>
                <w:rFonts w:hint="eastAsia" w:ascii="宋体" w:hAnsi="宋体" w:eastAsia="宋体" w:cs="宋体"/>
                <w:b w:val="0"/>
                <w:bCs w:val="0"/>
                <w:color w:val="000000"/>
                <w:sz w:val="24"/>
                <w:szCs w:val="24"/>
                <w:highlight w:val="none"/>
                <w:lang w:val="zh-CN" w:eastAsia="zh-CN"/>
              </w:rPr>
              <w:t>最终成交结果以</w:t>
            </w:r>
            <w:r>
              <w:rPr>
                <w:rFonts w:hint="eastAsia" w:cs="宋体"/>
                <w:b w:val="0"/>
                <w:bCs w:val="0"/>
                <w:color w:val="000000"/>
                <w:sz w:val="24"/>
                <w:szCs w:val="24"/>
                <w:highlight w:val="none"/>
                <w:lang w:val="zh-CN" w:eastAsia="zh-CN"/>
              </w:rPr>
              <w:t>招商结果公告</w:t>
            </w:r>
            <w:r>
              <w:rPr>
                <w:rFonts w:hint="eastAsia" w:ascii="宋体" w:hAnsi="宋体" w:eastAsia="宋体" w:cs="宋体"/>
                <w:b w:val="0"/>
                <w:bCs w:val="0"/>
                <w:color w:val="000000"/>
                <w:sz w:val="24"/>
                <w:szCs w:val="24"/>
                <w:highlight w:val="none"/>
                <w:lang w:val="zh-CN" w:eastAsia="zh-CN"/>
              </w:rPr>
              <w:t>为准。</w:t>
            </w:r>
            <w:r>
              <w:rPr>
                <w:rFonts w:hint="eastAsia" w:cs="宋体"/>
                <w:b w:val="0"/>
                <w:bCs w:val="0"/>
                <w:color w:val="000000"/>
                <w:sz w:val="24"/>
                <w:szCs w:val="24"/>
                <w:highlight w:val="none"/>
                <w:lang w:val="zh-CN" w:eastAsia="zh-CN"/>
              </w:rPr>
              <w:t>同等分值下，原合作方享有优先合作权。</w:t>
            </w:r>
          </w:p>
        </w:tc>
      </w:tr>
      <w:tr w14:paraId="64EE2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0068" w:type="dxa"/>
            <w:noWrap w:val="0"/>
            <w:vAlign w:val="top"/>
          </w:tcPr>
          <w:p w14:paraId="07BE23FA">
            <w:pPr>
              <w:pStyle w:val="17"/>
              <w:spacing w:before="2" w:line="310" w:lineRule="atLeast"/>
              <w:ind w:right="95"/>
              <w:jc w:val="center"/>
              <w:rPr>
                <w:rFonts w:hint="eastAsia" w:ascii="宋体" w:hAnsi="宋体" w:eastAsia="宋体" w:cs="宋体"/>
                <w:b/>
                <w:color w:val="000000"/>
                <w:sz w:val="24"/>
                <w:szCs w:val="24"/>
                <w:highlight w:val="none"/>
              </w:rPr>
            </w:pPr>
            <w:r>
              <w:rPr>
                <w:rFonts w:hint="eastAsia" w:cs="宋体"/>
                <w:color w:val="000000"/>
                <w:sz w:val="24"/>
                <w:szCs w:val="24"/>
                <w:highlight w:val="none"/>
                <w:lang w:eastAsia="zh-CN"/>
              </w:rPr>
              <w:t>六</w:t>
            </w:r>
            <w:r>
              <w:rPr>
                <w:rFonts w:hint="eastAsia" w:ascii="宋体" w:hAnsi="宋体" w:eastAsia="宋体" w:cs="宋体"/>
                <w:color w:val="000000"/>
                <w:sz w:val="24"/>
                <w:szCs w:val="24"/>
                <w:highlight w:val="none"/>
              </w:rPr>
              <w:t>、</w:t>
            </w:r>
            <w:r>
              <w:rPr>
                <w:rFonts w:hint="eastAsia" w:cs="宋体"/>
                <w:color w:val="000000"/>
                <w:sz w:val="24"/>
                <w:szCs w:val="24"/>
                <w:highlight w:val="none"/>
                <w:lang w:eastAsia="zh-CN"/>
              </w:rPr>
              <w:t>投标方</w:t>
            </w:r>
            <w:r>
              <w:rPr>
                <w:rFonts w:hint="eastAsia" w:ascii="宋体" w:hAnsi="宋体" w:eastAsia="宋体" w:cs="宋体"/>
                <w:color w:val="000000"/>
                <w:sz w:val="24"/>
                <w:szCs w:val="24"/>
                <w:highlight w:val="none"/>
              </w:rPr>
              <w:t>参与方式</w:t>
            </w:r>
          </w:p>
        </w:tc>
      </w:tr>
      <w:tr w14:paraId="0CB6E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068" w:type="dxa"/>
            <w:noWrap w:val="0"/>
            <w:vAlign w:val="center"/>
          </w:tcPr>
          <w:p w14:paraId="10D696F5">
            <w:pPr>
              <w:pStyle w:val="17"/>
              <w:spacing w:before="2" w:line="310" w:lineRule="atLeast"/>
              <w:ind w:right="95"/>
              <w:jc w:val="left"/>
              <w:rPr>
                <w:rFonts w:hint="eastAsia" w:cs="宋体"/>
                <w:color w:val="000000"/>
                <w:sz w:val="24"/>
                <w:szCs w:val="24"/>
                <w:highlight w:val="none"/>
                <w:lang w:eastAsia="zh-CN"/>
              </w:rPr>
            </w:pPr>
            <w:r>
              <w:rPr>
                <w:rFonts w:hint="eastAsia" w:ascii="宋体" w:hAnsi="宋体" w:eastAsia="宋体" w:cs="宋体"/>
                <w:b w:val="0"/>
                <w:bCs w:val="0"/>
                <w:color w:val="000000"/>
                <w:sz w:val="24"/>
                <w:szCs w:val="24"/>
                <w:highlight w:val="none"/>
                <w:lang w:val="en-US" w:eastAsia="zh-CN" w:bidi="zh-CN"/>
              </w:rPr>
              <w:t>登录合肥文旅博览集团网站</w:t>
            </w:r>
            <w:r>
              <w:rPr>
                <w:rFonts w:hint="eastAsia" w:ascii="宋体" w:hAnsi="宋体"/>
                <w:bCs/>
                <w:color w:val="000000"/>
                <w:sz w:val="24"/>
                <w:szCs w:val="24"/>
                <w:highlight w:val="none"/>
              </w:rPr>
              <w:t>http://www.zwzcgl.com/index/lists/008002</w:t>
            </w:r>
            <w:r>
              <w:rPr>
                <w:rFonts w:hint="eastAsia" w:ascii="宋体" w:hAnsi="宋体" w:eastAsia="宋体" w:cs="宋体"/>
                <w:b w:val="0"/>
                <w:bCs w:val="0"/>
                <w:color w:val="000000"/>
                <w:sz w:val="24"/>
                <w:szCs w:val="24"/>
                <w:highlight w:val="none"/>
                <w:lang w:val="en-US" w:eastAsia="zh-CN" w:bidi="zh-CN"/>
              </w:rPr>
              <w:t>下载附件</w:t>
            </w:r>
            <w:r>
              <w:rPr>
                <w:rFonts w:hint="eastAsia" w:ascii="宋体" w:hAnsi="宋体" w:eastAsia="宋体" w:cs="宋体"/>
                <w:b/>
                <w:bCs/>
                <w:color w:val="000000"/>
                <w:sz w:val="24"/>
                <w:szCs w:val="24"/>
                <w:highlight w:val="none"/>
                <w:lang w:val="en-US" w:eastAsia="zh-CN" w:bidi="zh-CN"/>
              </w:rPr>
              <w:t>《招商报名信息表》</w:t>
            </w:r>
            <w:r>
              <w:rPr>
                <w:rFonts w:hint="eastAsia" w:ascii="宋体" w:hAnsi="宋体" w:eastAsia="宋体" w:cs="宋体"/>
                <w:b w:val="0"/>
                <w:bCs w:val="0"/>
                <w:color w:val="000000"/>
                <w:sz w:val="24"/>
                <w:szCs w:val="24"/>
                <w:highlight w:val="none"/>
                <w:lang w:val="en-US" w:eastAsia="zh-CN" w:bidi="zh-CN"/>
              </w:rPr>
              <w:t>完整填写信息，在公告期内（202</w:t>
            </w:r>
            <w:r>
              <w:rPr>
                <w:rFonts w:hint="eastAsia" w:cs="宋体"/>
                <w:b w:val="0"/>
                <w:bCs w:val="0"/>
                <w:color w:val="000000"/>
                <w:sz w:val="24"/>
                <w:szCs w:val="24"/>
                <w:highlight w:val="none"/>
                <w:lang w:val="en-US" w:eastAsia="zh-CN" w:bidi="zh-CN"/>
              </w:rPr>
              <w:t>5</w:t>
            </w:r>
            <w:r>
              <w:rPr>
                <w:rFonts w:hint="eastAsia" w:ascii="宋体" w:hAnsi="宋体" w:eastAsia="宋体" w:cs="宋体"/>
                <w:b w:val="0"/>
                <w:bCs w:val="0"/>
                <w:color w:val="000000"/>
                <w:sz w:val="24"/>
                <w:szCs w:val="24"/>
                <w:highlight w:val="none"/>
                <w:lang w:val="en-US" w:eastAsia="zh-CN" w:bidi="zh-CN"/>
              </w:rPr>
              <w:t>年</w:t>
            </w:r>
            <w:r>
              <w:rPr>
                <w:rFonts w:hint="eastAsia" w:cs="宋体"/>
                <w:b w:val="0"/>
                <w:bCs w:val="0"/>
                <w:color w:val="000000"/>
                <w:sz w:val="24"/>
                <w:szCs w:val="24"/>
                <w:highlight w:val="none"/>
                <w:lang w:val="en-US" w:eastAsia="zh-CN" w:bidi="zh-CN"/>
              </w:rPr>
              <w:t>2月25日17：00</w:t>
            </w:r>
            <w:r>
              <w:rPr>
                <w:rFonts w:hint="eastAsia" w:ascii="宋体" w:hAnsi="宋体" w:eastAsia="宋体" w:cs="宋体"/>
                <w:b w:val="0"/>
                <w:bCs w:val="0"/>
                <w:color w:val="000000"/>
                <w:sz w:val="24"/>
                <w:szCs w:val="24"/>
                <w:highlight w:val="none"/>
                <w:lang w:val="en-US" w:eastAsia="zh-CN" w:bidi="zh-CN"/>
              </w:rPr>
              <w:t>前）发送至邮箱</w:t>
            </w:r>
            <w:r>
              <w:rPr>
                <w:rFonts w:hint="eastAsia" w:ascii="宋体" w:hAnsi="宋体" w:eastAsia="宋体" w:cs="宋体"/>
                <w:b w:val="0"/>
                <w:bCs w:val="0"/>
                <w:color w:val="000000"/>
                <w:sz w:val="24"/>
                <w:szCs w:val="24"/>
                <w:highlight w:val="none"/>
                <w:u w:val="none"/>
                <w:lang w:val="en-US" w:eastAsia="zh-CN" w:bidi="zh-CN"/>
              </w:rPr>
              <w:t>：</w:t>
            </w:r>
            <w:r>
              <w:rPr>
                <w:rFonts w:hint="eastAsia" w:cs="宋体"/>
                <w:b w:val="0"/>
                <w:bCs w:val="0"/>
                <w:color w:val="000000"/>
                <w:sz w:val="24"/>
                <w:szCs w:val="24"/>
                <w:highlight w:val="none"/>
                <w:u w:val="single"/>
                <w:lang w:val="en-US" w:eastAsia="zh-CN" w:bidi="zh-CN"/>
              </w:rPr>
              <w:t>510785072</w:t>
            </w:r>
            <w:r>
              <w:rPr>
                <w:rFonts w:hint="eastAsia" w:ascii="宋体" w:hAnsi="宋体" w:eastAsia="宋体" w:cs="宋体"/>
                <w:b w:val="0"/>
                <w:bCs w:val="0"/>
                <w:color w:val="000000"/>
                <w:sz w:val="24"/>
                <w:szCs w:val="24"/>
                <w:highlight w:val="none"/>
                <w:u w:val="single"/>
                <w:lang w:val="en-US" w:eastAsia="zh-CN" w:bidi="zh-CN"/>
              </w:rPr>
              <w:t>@qq.com</w:t>
            </w:r>
          </w:p>
        </w:tc>
      </w:tr>
    </w:tbl>
    <w:tbl>
      <w:tblPr>
        <w:tblStyle w:val="16"/>
        <w:tblW w:w="1006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5"/>
        <w:gridCol w:w="8643"/>
      </w:tblGrid>
      <w:tr w14:paraId="4D346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068" w:type="dxa"/>
            <w:gridSpan w:val="2"/>
            <w:noWrap w:val="0"/>
            <w:vAlign w:val="center"/>
          </w:tcPr>
          <w:p w14:paraId="4E05725E">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center"/>
              <w:textAlignment w:val="auto"/>
              <w:rPr>
                <w:highlight w:val="none"/>
              </w:rPr>
            </w:pPr>
            <w:r>
              <w:rPr>
                <w:rFonts w:hint="eastAsia"/>
                <w:spacing w:val="-2"/>
                <w:highlight w:val="none"/>
                <w:lang w:eastAsia="zh-CN"/>
              </w:rPr>
              <w:t>七</w:t>
            </w:r>
            <w:r>
              <w:rPr>
                <w:spacing w:val="-2"/>
                <w:highlight w:val="none"/>
              </w:rPr>
              <w:t>、</w:t>
            </w:r>
            <w:r>
              <w:rPr>
                <w:rFonts w:hint="eastAsia" w:cs="宋体"/>
                <w:color w:val="000000"/>
                <w:sz w:val="24"/>
                <w:szCs w:val="24"/>
                <w:highlight w:val="none"/>
                <w:lang w:val="en-US" w:eastAsia="zh-CN" w:bidi="zh-CN"/>
              </w:rPr>
              <w:t>投标方</w:t>
            </w:r>
            <w:r>
              <w:rPr>
                <w:rFonts w:hint="eastAsia" w:ascii="宋体" w:hAnsi="宋体" w:eastAsia="宋体" w:cs="宋体"/>
                <w:color w:val="000000"/>
                <w:sz w:val="24"/>
                <w:szCs w:val="24"/>
                <w:highlight w:val="none"/>
                <w:lang w:val="en-US" w:eastAsia="zh-CN" w:bidi="zh-CN"/>
              </w:rPr>
              <w:t>需提供的材料</w:t>
            </w:r>
          </w:p>
        </w:tc>
      </w:tr>
      <w:tr w14:paraId="3BE3D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425" w:type="dxa"/>
            <w:noWrap w:val="0"/>
            <w:vAlign w:val="center"/>
          </w:tcPr>
          <w:p w14:paraId="7D98FFA6">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center"/>
              <w:textAlignment w:val="auto"/>
              <w:rPr>
                <w:highlight w:val="none"/>
              </w:rPr>
            </w:pPr>
            <w:r>
              <w:rPr>
                <w:rFonts w:hint="eastAsia" w:ascii="宋体" w:hAnsi="宋体" w:eastAsia="宋体" w:cs="宋体"/>
                <w:color w:val="000000"/>
                <w:sz w:val="24"/>
                <w:szCs w:val="24"/>
                <w:highlight w:val="none"/>
                <w:lang w:eastAsia="zh-CN"/>
              </w:rPr>
              <w:t>报送材料</w:t>
            </w:r>
          </w:p>
        </w:tc>
        <w:tc>
          <w:tcPr>
            <w:tcW w:w="8643" w:type="dxa"/>
            <w:noWrap w:val="0"/>
            <w:vAlign w:val="center"/>
          </w:tcPr>
          <w:p w14:paraId="2F18904E">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（一）合作方应提供的材料，包含但不限于以下内容：</w:t>
            </w:r>
          </w:p>
          <w:p w14:paraId="6A7886F4">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1.主体资格证明文件：</w:t>
            </w:r>
          </w:p>
          <w:p w14:paraId="4BEB2A82">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（1）企业法人登记证书副本复印件或营业执照副本复印件；</w:t>
            </w:r>
          </w:p>
          <w:p w14:paraId="0076D644">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（2）法定代表人或委托代理人身份证复印件及授权委托书；</w:t>
            </w:r>
          </w:p>
          <w:p w14:paraId="5BAC663F">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（3）合作方认为必要的其他证明资料，例如合作方信用承诺等。  </w:t>
            </w:r>
          </w:p>
          <w:p w14:paraId="06AC6B4F">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 xml:space="preserve">2、业绩证明材料及各类设计方案或样品；                                      </w:t>
            </w:r>
          </w:p>
          <w:p w14:paraId="16661DDC">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3.报价单（报价单须加盖单位公章）。</w:t>
            </w:r>
          </w:p>
          <w:p w14:paraId="46A3A21E">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eastAsia" w:ascii="宋体" w:hAnsi="宋体" w:eastAsia="宋体" w:cs="宋体"/>
                <w:i w:val="0"/>
                <w:iCs w:val="0"/>
                <w:caps w:val="0"/>
                <w:color w:val="000000"/>
                <w:spacing w:val="0"/>
                <w:sz w:val="24"/>
                <w:szCs w:val="24"/>
                <w:highlight w:val="none"/>
                <w:shd w:val="clear" w:color="auto" w:fill="FFFFFF"/>
                <w:lang w:eastAsia="zh-CN"/>
              </w:rPr>
            </w:pPr>
            <w:r>
              <w:rPr>
                <w:rFonts w:hint="eastAsia" w:ascii="宋体" w:hAnsi="宋体" w:cs="宋体"/>
                <w:i w:val="0"/>
                <w:iCs w:val="0"/>
                <w:caps w:val="0"/>
                <w:color w:val="000000"/>
                <w:spacing w:val="0"/>
                <w:sz w:val="24"/>
                <w:szCs w:val="24"/>
                <w:highlight w:val="none"/>
                <w:shd w:val="clear" w:color="auto" w:fill="FFFFFF"/>
                <w:lang w:eastAsia="zh-CN"/>
              </w:rPr>
              <w:t>所有材料必须</w:t>
            </w:r>
            <w:r>
              <w:rPr>
                <w:rFonts w:hint="eastAsia" w:ascii="宋体" w:hAnsi="宋体" w:eastAsia="宋体" w:cs="宋体"/>
                <w:i w:val="0"/>
                <w:iCs w:val="0"/>
                <w:caps w:val="0"/>
                <w:color w:val="000000"/>
                <w:spacing w:val="0"/>
                <w:sz w:val="24"/>
                <w:szCs w:val="24"/>
                <w:highlight w:val="none"/>
                <w:shd w:val="clear" w:color="auto" w:fill="FFFFFF"/>
              </w:rPr>
              <w:t>密封包装</w:t>
            </w:r>
            <w:r>
              <w:rPr>
                <w:rFonts w:hint="eastAsia" w:ascii="宋体" w:hAnsi="宋体" w:eastAsia="宋体" w:cs="宋体"/>
                <w:i w:val="0"/>
                <w:iCs w:val="0"/>
                <w:caps w:val="0"/>
                <w:color w:val="000000"/>
                <w:spacing w:val="0"/>
                <w:sz w:val="24"/>
                <w:szCs w:val="24"/>
                <w:highlight w:val="none"/>
                <w:shd w:val="clear" w:color="auto" w:fill="FFFFFF"/>
                <w:lang w:eastAsia="zh-CN"/>
              </w:rPr>
              <w:t>，</w:t>
            </w:r>
            <w:r>
              <w:rPr>
                <w:rFonts w:hint="eastAsia" w:ascii="宋体" w:hAnsi="宋体" w:eastAsia="宋体" w:cs="宋体"/>
                <w:i w:val="0"/>
                <w:iCs w:val="0"/>
                <w:caps w:val="0"/>
                <w:color w:val="000000"/>
                <w:spacing w:val="0"/>
                <w:sz w:val="24"/>
                <w:szCs w:val="24"/>
                <w:highlight w:val="none"/>
                <w:shd w:val="clear" w:color="auto" w:fill="FFFFFF"/>
              </w:rPr>
              <w:t>包装上标注“合肥野生动物园观光车经营权转让项目”字样并清楚标明意向</w:t>
            </w:r>
            <w:r>
              <w:rPr>
                <w:rFonts w:hint="eastAsia" w:ascii="宋体" w:hAnsi="宋体" w:eastAsia="宋体" w:cs="宋体"/>
                <w:i w:val="0"/>
                <w:iCs w:val="0"/>
                <w:caps w:val="0"/>
                <w:color w:val="000000"/>
                <w:spacing w:val="0"/>
                <w:sz w:val="24"/>
                <w:szCs w:val="24"/>
                <w:highlight w:val="none"/>
                <w:shd w:val="clear" w:color="auto" w:fill="FFFFFF"/>
                <w:lang w:eastAsia="zh-CN"/>
              </w:rPr>
              <w:t>承租</w:t>
            </w:r>
            <w:r>
              <w:rPr>
                <w:rFonts w:hint="eastAsia" w:ascii="宋体" w:hAnsi="宋体" w:eastAsia="宋体" w:cs="宋体"/>
                <w:i w:val="0"/>
                <w:iCs w:val="0"/>
                <w:caps w:val="0"/>
                <w:color w:val="000000"/>
                <w:spacing w:val="0"/>
                <w:sz w:val="24"/>
                <w:szCs w:val="24"/>
                <w:highlight w:val="none"/>
                <w:shd w:val="clear" w:color="auto" w:fill="FFFFFF"/>
              </w:rPr>
              <w:t>方的名称及联系方式，同时加盖单位公章</w:t>
            </w:r>
            <w:r>
              <w:rPr>
                <w:rFonts w:hint="eastAsia" w:ascii="宋体" w:hAnsi="宋体" w:eastAsia="宋体" w:cs="宋体"/>
                <w:i w:val="0"/>
                <w:iCs w:val="0"/>
                <w:caps w:val="0"/>
                <w:color w:val="000000"/>
                <w:spacing w:val="0"/>
                <w:sz w:val="24"/>
                <w:szCs w:val="24"/>
                <w:highlight w:val="none"/>
                <w:shd w:val="clear" w:color="auto" w:fill="FFFFFF"/>
                <w:lang w:eastAsia="zh-CN"/>
              </w:rPr>
              <w:t>。</w:t>
            </w:r>
          </w:p>
          <w:p w14:paraId="4C7CA24E">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firstLineChars="0"/>
              <w:jc w:val="both"/>
              <w:textAlignment w:val="auto"/>
              <w:rPr>
                <w:rFonts w:hint="default"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4.</w:t>
            </w:r>
            <w:r>
              <w:rPr>
                <w:rFonts w:hint="eastAsia" w:ascii="宋体" w:hAnsi="宋体" w:eastAsia="宋体" w:cs="宋体"/>
                <w:i w:val="0"/>
                <w:iCs w:val="0"/>
                <w:caps w:val="0"/>
                <w:color w:val="000000"/>
                <w:spacing w:val="0"/>
                <w:sz w:val="24"/>
                <w:szCs w:val="24"/>
                <w:highlight w:val="none"/>
                <w:shd w:val="clear" w:color="auto" w:fill="FFFFFF"/>
                <w:lang w:val="en-US" w:eastAsia="zh-CN"/>
              </w:rPr>
              <w:t>报价材料的送达地点：合肥市</w:t>
            </w:r>
            <w:r>
              <w:rPr>
                <w:rFonts w:hint="eastAsia" w:ascii="宋体" w:hAnsi="宋体" w:cs="宋体"/>
                <w:i w:val="0"/>
                <w:iCs w:val="0"/>
                <w:caps w:val="0"/>
                <w:color w:val="000000"/>
                <w:spacing w:val="0"/>
                <w:sz w:val="24"/>
                <w:szCs w:val="24"/>
                <w:highlight w:val="none"/>
                <w:shd w:val="clear" w:color="auto" w:fill="FFFFFF"/>
                <w:lang w:val="en-US" w:eastAsia="zh-CN"/>
              </w:rPr>
              <w:t>高新区望江西路600号合肥野生动物园商业管理部，报送截止时间为：2025年2月26日14：30前。</w:t>
            </w:r>
          </w:p>
          <w:p w14:paraId="191815C0">
            <w:pPr>
              <w:pStyle w:val="15"/>
              <w:keepNext w:val="0"/>
              <w:keepLines w:val="0"/>
              <w:pageBreakBefore w:val="0"/>
              <w:widowControl w:val="0"/>
              <w:kinsoku/>
              <w:wordWrap/>
              <w:overflowPunct/>
              <w:topLinePunct w:val="0"/>
              <w:autoSpaceDE/>
              <w:autoSpaceDN/>
              <w:bidi w:val="0"/>
              <w:adjustRightInd w:val="0"/>
              <w:snapToGrid w:val="0"/>
              <w:spacing w:line="240" w:lineRule="auto"/>
              <w:ind w:left="105" w:leftChars="50" w:firstLine="0" w:firstLineChars="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在本公告要求提交材料的截止时间之后送达或未封装的报价材料，</w:t>
            </w:r>
            <w:r>
              <w:rPr>
                <w:rFonts w:hint="eastAsia" w:cs="宋体"/>
                <w:i w:val="0"/>
                <w:iCs w:val="0"/>
                <w:caps w:val="0"/>
                <w:color w:val="000000"/>
                <w:spacing w:val="0"/>
                <w:sz w:val="24"/>
                <w:szCs w:val="24"/>
                <w:highlight w:val="none"/>
                <w:shd w:val="clear" w:color="auto" w:fill="FFFFFF"/>
                <w:lang w:val="en-US" w:eastAsia="zh-CN"/>
              </w:rPr>
              <w:t>合肥文旅博览集团野生动物园管理有限公司</w:t>
            </w:r>
            <w:r>
              <w:rPr>
                <w:rFonts w:hint="eastAsia" w:ascii="宋体" w:hAnsi="宋体" w:eastAsia="宋体" w:cs="宋体"/>
                <w:i w:val="0"/>
                <w:iCs w:val="0"/>
                <w:caps w:val="0"/>
                <w:color w:val="000000"/>
                <w:spacing w:val="0"/>
                <w:sz w:val="24"/>
                <w:szCs w:val="24"/>
                <w:highlight w:val="none"/>
                <w:shd w:val="clear" w:color="auto" w:fill="FFFFFF"/>
                <w:lang w:val="en-US" w:eastAsia="zh-CN"/>
              </w:rPr>
              <w:t>拒绝接收。</w:t>
            </w:r>
            <w:r>
              <w:rPr>
                <w:rFonts w:hint="eastAsia" w:ascii="宋体" w:hAnsi="宋体" w:eastAsia="宋体" w:cs="宋体"/>
                <w:color w:val="000000"/>
                <w:spacing w:val="-6"/>
                <w:sz w:val="24"/>
                <w:szCs w:val="24"/>
                <w:highlight w:val="none"/>
              </w:rPr>
              <w:t>联系人：</w:t>
            </w:r>
            <w:r>
              <w:rPr>
                <w:rFonts w:hint="eastAsia" w:cs="宋体"/>
                <w:color w:val="000000"/>
                <w:spacing w:val="-6"/>
                <w:sz w:val="24"/>
                <w:szCs w:val="24"/>
                <w:highlight w:val="none"/>
                <w:lang w:eastAsia="zh-CN"/>
              </w:rPr>
              <w:t>王</w:t>
            </w:r>
            <w:r>
              <w:rPr>
                <w:rFonts w:hint="eastAsia" w:ascii="宋体" w:hAnsi="宋体" w:eastAsia="宋体" w:cs="宋体"/>
                <w:color w:val="000000"/>
                <w:spacing w:val="-6"/>
                <w:sz w:val="24"/>
                <w:szCs w:val="24"/>
                <w:highlight w:val="none"/>
                <w:lang w:eastAsia="zh-CN"/>
              </w:rPr>
              <w:t>工</w:t>
            </w:r>
            <w:r>
              <w:rPr>
                <w:rFonts w:hint="eastAsia" w:ascii="宋体" w:hAnsi="宋体" w:eastAsia="宋体" w:cs="宋体"/>
                <w:color w:val="000000"/>
                <w:spacing w:val="-6"/>
                <w:sz w:val="24"/>
                <w:szCs w:val="24"/>
                <w:highlight w:val="none"/>
              </w:rPr>
              <w:t xml:space="preserve">，联系电话： </w:t>
            </w:r>
            <w:r>
              <w:rPr>
                <w:rFonts w:hint="eastAsia" w:ascii="宋体" w:hAnsi="宋体" w:eastAsia="宋体" w:cs="宋体"/>
                <w:color w:val="000000"/>
                <w:sz w:val="24"/>
                <w:szCs w:val="24"/>
                <w:highlight w:val="none"/>
              </w:rPr>
              <w:t>0551-</w:t>
            </w:r>
            <w:r>
              <w:rPr>
                <w:rFonts w:hint="eastAsia" w:cs="宋体"/>
                <w:color w:val="000000"/>
                <w:sz w:val="24"/>
                <w:szCs w:val="24"/>
                <w:highlight w:val="none"/>
                <w:lang w:val="en-US" w:eastAsia="zh-CN"/>
              </w:rPr>
              <w:t>65395636</w:t>
            </w:r>
            <w:r>
              <w:rPr>
                <w:rFonts w:hint="eastAsia" w:ascii="宋体" w:hAnsi="宋体" w:eastAsia="宋体" w:cs="宋体"/>
                <w:color w:val="000000"/>
                <w:sz w:val="24"/>
                <w:szCs w:val="24"/>
                <w:highlight w:val="none"/>
                <w:lang w:val="en-US" w:eastAsia="zh-CN"/>
              </w:rPr>
              <w:t>。</w:t>
            </w:r>
          </w:p>
        </w:tc>
      </w:tr>
    </w:tbl>
    <w:tbl>
      <w:tblPr>
        <w:tblStyle w:val="11"/>
        <w:tblW w:w="100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5"/>
        <w:gridCol w:w="8721"/>
      </w:tblGrid>
      <w:tr w14:paraId="21065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14:paraId="46B142DD">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color w:val="000000"/>
                <w:sz w:val="24"/>
                <w:szCs w:val="24"/>
                <w:highlight w:val="none"/>
                <w:lang w:eastAsia="zh-CN"/>
              </w:rPr>
              <w:t>八</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eastAsia="zh-CN"/>
              </w:rPr>
              <w:t>招商</w:t>
            </w:r>
            <w:r>
              <w:rPr>
                <w:rFonts w:hint="eastAsia" w:ascii="宋体" w:hAnsi="宋体" w:eastAsia="宋体" w:cs="宋体"/>
                <w:color w:val="000000"/>
                <w:sz w:val="24"/>
                <w:szCs w:val="24"/>
                <w:highlight w:val="none"/>
              </w:rPr>
              <w:t>结束后相关程序</w:t>
            </w:r>
          </w:p>
        </w:tc>
      </w:tr>
      <w:tr w14:paraId="23623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14:paraId="6E0DBE85">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ascii="宋体" w:hAnsi="宋体" w:cs="宋体"/>
                <w:color w:val="000000"/>
                <w:sz w:val="24"/>
                <w:szCs w:val="24"/>
                <w:highlight w:val="none"/>
                <w:lang w:val="en-US" w:eastAsia="zh-CN" w:bidi="zh-CN"/>
              </w:rPr>
              <w:t>招商结果公告</w:t>
            </w:r>
          </w:p>
        </w:tc>
        <w:tc>
          <w:tcPr>
            <w:tcW w:w="8721" w:type="dxa"/>
            <w:tcBorders>
              <w:top w:val="single" w:color="auto" w:sz="4" w:space="0"/>
              <w:left w:val="single" w:color="auto" w:sz="4" w:space="0"/>
              <w:bottom w:val="single" w:color="auto" w:sz="4" w:space="0"/>
              <w:right w:val="single" w:color="auto" w:sz="4" w:space="0"/>
            </w:tcBorders>
            <w:noWrap w:val="0"/>
            <w:vAlign w:val="center"/>
          </w:tcPr>
          <w:p w14:paraId="2C0E2671">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cs="宋体"/>
                <w:i w:val="0"/>
                <w:iCs w:val="0"/>
                <w:caps w:val="0"/>
                <w:color w:val="000000"/>
                <w:spacing w:val="0"/>
                <w:sz w:val="24"/>
                <w:szCs w:val="24"/>
                <w:highlight w:val="none"/>
                <w:shd w:val="clear" w:color="auto" w:fill="FFFFFF"/>
                <w:lang w:val="en-US" w:eastAsia="zh-CN"/>
              </w:rPr>
              <w:t>招商结束且无异常情况，合肥文旅博览集团野生动物园管理有限公司将在合肥文旅博览集团官网发布招商结果公告，公示期3个工作日。</w:t>
            </w:r>
          </w:p>
        </w:tc>
      </w:tr>
      <w:tr w14:paraId="50363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14:paraId="1CA23E55">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color w:val="000000"/>
                <w:sz w:val="24"/>
                <w:szCs w:val="24"/>
                <w:highlight w:val="none"/>
                <w:lang w:val="en-US" w:eastAsia="zh-CN" w:bidi="zh-CN"/>
              </w:rPr>
            </w:pPr>
            <w:r>
              <w:rPr>
                <w:rFonts w:hint="eastAsia" w:ascii="宋体" w:hAnsi="宋体" w:eastAsia="宋体" w:cs="宋体"/>
                <w:color w:val="000000"/>
                <w:sz w:val="24"/>
                <w:szCs w:val="24"/>
                <w:highlight w:val="none"/>
                <w:lang w:val="en-US" w:eastAsia="zh-CN" w:bidi="zh-CN"/>
              </w:rPr>
              <w:t>签订合同</w:t>
            </w:r>
          </w:p>
        </w:tc>
        <w:tc>
          <w:tcPr>
            <w:tcW w:w="8721" w:type="dxa"/>
            <w:tcBorders>
              <w:top w:val="single" w:color="auto" w:sz="4" w:space="0"/>
              <w:left w:val="single" w:color="auto" w:sz="4" w:space="0"/>
              <w:bottom w:val="single" w:color="auto" w:sz="4" w:space="0"/>
              <w:right w:val="single" w:color="auto" w:sz="4" w:space="0"/>
            </w:tcBorders>
            <w:noWrap w:val="0"/>
            <w:vAlign w:val="center"/>
          </w:tcPr>
          <w:p w14:paraId="5CF8BD51">
            <w:pPr>
              <w:pStyle w:val="10"/>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rPr>
            </w:pPr>
            <w:r>
              <w:rPr>
                <w:rFonts w:hint="eastAsia" w:ascii="宋体" w:hAnsi="宋体" w:eastAsia="宋体" w:cs="宋体"/>
                <w:i w:val="0"/>
                <w:iCs w:val="0"/>
                <w:caps w:val="0"/>
                <w:color w:val="000000"/>
                <w:spacing w:val="0"/>
                <w:sz w:val="24"/>
                <w:szCs w:val="24"/>
                <w:highlight w:val="none"/>
                <w:shd w:val="clear" w:color="auto" w:fill="FFFFFF"/>
                <w:lang w:val="en-US" w:eastAsia="zh-CN"/>
              </w:rPr>
              <w:t>中标</w:t>
            </w:r>
            <w:r>
              <w:rPr>
                <w:rFonts w:hint="eastAsia" w:ascii="宋体" w:hAnsi="宋体" w:cs="宋体"/>
                <w:i w:val="0"/>
                <w:iCs w:val="0"/>
                <w:caps w:val="0"/>
                <w:color w:val="000000"/>
                <w:spacing w:val="0"/>
                <w:sz w:val="24"/>
                <w:szCs w:val="24"/>
                <w:highlight w:val="none"/>
                <w:shd w:val="clear" w:color="auto" w:fill="FFFFFF"/>
                <w:lang w:val="en-US" w:eastAsia="zh-CN"/>
              </w:rPr>
              <w:t>合作方</w:t>
            </w:r>
            <w:r>
              <w:rPr>
                <w:rFonts w:hint="eastAsia" w:ascii="宋体" w:hAnsi="宋体" w:eastAsia="宋体" w:cs="宋体"/>
                <w:i w:val="0"/>
                <w:iCs w:val="0"/>
                <w:caps w:val="0"/>
                <w:color w:val="000000"/>
                <w:spacing w:val="0"/>
                <w:sz w:val="24"/>
                <w:szCs w:val="24"/>
                <w:highlight w:val="none"/>
                <w:shd w:val="clear" w:color="auto" w:fill="FFFFFF"/>
                <w:lang w:val="en-US" w:eastAsia="zh-CN"/>
              </w:rPr>
              <w:t>请于招商结果公告期结束日起 7 个工作日内前来我司签订</w:t>
            </w:r>
            <w:r>
              <w:rPr>
                <w:rFonts w:hint="eastAsia" w:ascii="宋体" w:hAnsi="宋体" w:cs="宋体"/>
                <w:i w:val="0"/>
                <w:iCs w:val="0"/>
                <w:caps w:val="0"/>
                <w:color w:val="000000"/>
                <w:spacing w:val="0"/>
                <w:sz w:val="24"/>
                <w:szCs w:val="24"/>
                <w:highlight w:val="none"/>
                <w:shd w:val="clear" w:color="auto" w:fill="FFFFFF"/>
                <w:lang w:val="en-US" w:eastAsia="zh-CN"/>
              </w:rPr>
              <w:t>经营权转让</w:t>
            </w:r>
            <w:r>
              <w:rPr>
                <w:rFonts w:hint="eastAsia" w:ascii="宋体" w:hAnsi="宋体" w:eastAsia="宋体" w:cs="宋体"/>
                <w:i w:val="0"/>
                <w:iCs w:val="0"/>
                <w:caps w:val="0"/>
                <w:color w:val="000000"/>
                <w:spacing w:val="0"/>
                <w:sz w:val="24"/>
                <w:szCs w:val="24"/>
                <w:highlight w:val="none"/>
                <w:shd w:val="clear" w:color="auto" w:fill="FFFFFF"/>
                <w:lang w:val="en-US" w:eastAsia="zh-CN"/>
              </w:rPr>
              <w:t>合同。公司地址：合肥市高新区望江西路600号合肥野生动物园。</w:t>
            </w:r>
          </w:p>
        </w:tc>
      </w:tr>
      <w:tr w14:paraId="29C2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2"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14:paraId="58C9010F">
            <w:pPr>
              <w:pStyle w:val="10"/>
              <w:keepNext w:val="0"/>
              <w:keepLines w:val="0"/>
              <w:pageBreakBefore w:val="0"/>
              <w:widowControl w:val="0"/>
              <w:kinsoku/>
              <w:wordWrap/>
              <w:overflowPunct/>
              <w:topLinePunct w:val="0"/>
              <w:autoSpaceDE/>
              <w:autoSpaceDN/>
              <w:bidi w:val="0"/>
              <w:adjustRightInd w:val="0"/>
              <w:snapToGrid w:val="0"/>
              <w:spacing w:after="0" w:line="240" w:lineRule="auto"/>
              <w:ind w:left="105" w:leftChars="50" w:right="0" w:firstLine="0" w:firstLineChars="0"/>
              <w:jc w:val="center"/>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color w:val="000000"/>
                <w:sz w:val="24"/>
                <w:szCs w:val="24"/>
                <w:highlight w:val="none"/>
                <w:lang w:val="en-US" w:eastAsia="zh-CN" w:bidi="zh-CN"/>
              </w:rPr>
              <w:t>异议处理</w:t>
            </w:r>
          </w:p>
        </w:tc>
        <w:tc>
          <w:tcPr>
            <w:tcW w:w="8721" w:type="dxa"/>
            <w:tcBorders>
              <w:top w:val="single" w:color="auto" w:sz="4" w:space="0"/>
              <w:left w:val="single" w:color="auto" w:sz="4" w:space="0"/>
              <w:bottom w:val="single" w:color="auto" w:sz="4" w:space="0"/>
              <w:right w:val="single" w:color="auto" w:sz="4" w:space="0"/>
            </w:tcBorders>
            <w:noWrap w:val="0"/>
            <w:vAlign w:val="center"/>
          </w:tcPr>
          <w:p w14:paraId="65240925">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若对</w:t>
            </w:r>
            <w:r>
              <w:rPr>
                <w:rFonts w:hint="eastAsia" w:cs="宋体"/>
                <w:i w:val="0"/>
                <w:iCs w:val="0"/>
                <w:caps w:val="0"/>
                <w:color w:val="000000"/>
                <w:spacing w:val="0"/>
                <w:sz w:val="24"/>
                <w:szCs w:val="24"/>
                <w:highlight w:val="none"/>
                <w:shd w:val="clear" w:color="auto" w:fill="FFFFFF"/>
                <w:lang w:val="en-US" w:eastAsia="zh-CN" w:bidi="zh-CN"/>
              </w:rPr>
              <w:t>招商结果公告</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有异议，可自</w:t>
            </w:r>
            <w:r>
              <w:rPr>
                <w:rFonts w:hint="eastAsia" w:cs="宋体"/>
                <w:i w:val="0"/>
                <w:iCs w:val="0"/>
                <w:caps w:val="0"/>
                <w:color w:val="000000"/>
                <w:spacing w:val="0"/>
                <w:sz w:val="24"/>
                <w:szCs w:val="24"/>
                <w:highlight w:val="none"/>
                <w:shd w:val="clear" w:color="auto" w:fill="FFFFFF"/>
                <w:lang w:val="en-US" w:eastAsia="zh-CN" w:bidi="zh-CN"/>
              </w:rPr>
              <w:t>招商结果公告</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发布</w:t>
            </w:r>
            <w:r>
              <w:rPr>
                <w:rFonts w:hint="eastAsia" w:cs="宋体"/>
                <w:i w:val="0"/>
                <w:iCs w:val="0"/>
                <w:caps w:val="0"/>
                <w:color w:val="000000"/>
                <w:spacing w:val="0"/>
                <w:sz w:val="24"/>
                <w:szCs w:val="24"/>
                <w:highlight w:val="none"/>
                <w:shd w:val="clear" w:color="auto" w:fill="FFFFFF"/>
                <w:lang w:val="en-US" w:eastAsia="zh-CN" w:bidi="zh-CN"/>
              </w:rPr>
              <w:t>之日</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起</w:t>
            </w:r>
            <w:r>
              <w:rPr>
                <w:rFonts w:hint="eastAsia" w:cs="宋体"/>
                <w:i w:val="0"/>
                <w:iCs w:val="0"/>
                <w:caps w:val="0"/>
                <w:color w:val="000000"/>
                <w:spacing w:val="0"/>
                <w:sz w:val="24"/>
                <w:szCs w:val="24"/>
                <w:highlight w:val="none"/>
                <w:shd w:val="clear" w:color="auto" w:fill="FFFFFF"/>
                <w:lang w:val="en-US" w:eastAsia="zh-CN" w:bidi="zh-CN"/>
              </w:rPr>
              <w:t>3</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个工作日内，以书面形式向</w:t>
            </w:r>
            <w:r>
              <w:rPr>
                <w:rFonts w:hint="eastAsia" w:cs="宋体"/>
                <w:i w:val="0"/>
                <w:iCs w:val="0"/>
                <w:caps w:val="0"/>
                <w:color w:val="000000"/>
                <w:spacing w:val="0"/>
                <w:sz w:val="24"/>
                <w:szCs w:val="24"/>
                <w:highlight w:val="none"/>
                <w:shd w:val="clear" w:color="auto" w:fill="FFFFFF"/>
                <w:lang w:val="en-US" w:eastAsia="zh-CN" w:bidi="zh-CN"/>
              </w:rPr>
              <w:t>合肥文旅博览集团野生动物园管理有限公司</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提出异议，异议材料递交地址：合肥</w:t>
            </w:r>
            <w:r>
              <w:rPr>
                <w:rFonts w:hint="eastAsia" w:cs="宋体"/>
                <w:i w:val="0"/>
                <w:iCs w:val="0"/>
                <w:caps w:val="0"/>
                <w:color w:val="000000"/>
                <w:spacing w:val="0"/>
                <w:sz w:val="24"/>
                <w:szCs w:val="24"/>
                <w:highlight w:val="none"/>
                <w:shd w:val="clear" w:color="auto" w:fill="FFFFFF"/>
                <w:lang w:val="en-US" w:eastAsia="zh-CN" w:bidi="zh-CN"/>
              </w:rPr>
              <w:t>市高新区望江西路600号合肥野生动物园。</w:t>
            </w:r>
          </w:p>
          <w:p w14:paraId="6ED8F7AA">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联系电话：0551-</w:t>
            </w:r>
            <w:r>
              <w:rPr>
                <w:rFonts w:hint="eastAsia" w:cs="宋体"/>
                <w:i w:val="0"/>
                <w:iCs w:val="0"/>
                <w:caps w:val="0"/>
                <w:color w:val="000000"/>
                <w:spacing w:val="0"/>
                <w:sz w:val="24"/>
                <w:szCs w:val="24"/>
                <w:highlight w:val="none"/>
                <w:shd w:val="clear" w:color="auto" w:fill="FFFFFF"/>
                <w:lang w:val="en-US" w:eastAsia="zh-CN" w:bidi="zh-CN"/>
              </w:rPr>
              <w:t>65395636</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 </w:t>
            </w:r>
          </w:p>
          <w:p w14:paraId="2369F7B8">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（一）异议应以书面形式实名提出，书面异议材料应当包括以内容：</w:t>
            </w:r>
          </w:p>
          <w:p w14:paraId="5DB68DAE">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1.异议人的名称/姓名、地址、有效联系方式； </w:t>
            </w:r>
          </w:p>
          <w:p w14:paraId="2628661E">
            <w:pPr>
              <w:pStyle w:val="17"/>
              <w:keepNext w:val="0"/>
              <w:keepLines w:val="0"/>
              <w:pageBreakBefore w:val="0"/>
              <w:widowControl w:val="0"/>
              <w:numPr>
                <w:ilvl w:val="0"/>
                <w:numId w:val="4"/>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项目名称、项目编号、标的号（如有）； </w:t>
            </w:r>
          </w:p>
          <w:p w14:paraId="7421DE6E">
            <w:pPr>
              <w:pStyle w:val="17"/>
              <w:keepNext w:val="0"/>
              <w:keepLines w:val="0"/>
              <w:pageBreakBefore w:val="0"/>
              <w:widowControl w:val="0"/>
              <w:numPr>
                <w:ilvl w:val="0"/>
                <w:numId w:val="4"/>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被异议人名称/姓名； </w:t>
            </w:r>
          </w:p>
          <w:p w14:paraId="5B70290E">
            <w:pPr>
              <w:pStyle w:val="17"/>
              <w:keepNext w:val="0"/>
              <w:keepLines w:val="0"/>
              <w:pageBreakBefore w:val="0"/>
              <w:widowControl w:val="0"/>
              <w:numPr>
                <w:ilvl w:val="0"/>
                <w:numId w:val="4"/>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具体的异议事项、基本事实及必要的证明材料； </w:t>
            </w:r>
          </w:p>
          <w:p w14:paraId="4A7149A9">
            <w:pPr>
              <w:pStyle w:val="17"/>
              <w:keepNext w:val="0"/>
              <w:keepLines w:val="0"/>
              <w:pageBreakBefore w:val="0"/>
              <w:widowControl w:val="0"/>
              <w:numPr>
                <w:ilvl w:val="0"/>
                <w:numId w:val="4"/>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明确的请求及主张； </w:t>
            </w:r>
          </w:p>
          <w:p w14:paraId="4597D261">
            <w:pPr>
              <w:pStyle w:val="17"/>
              <w:keepNext w:val="0"/>
              <w:keepLines w:val="0"/>
              <w:pageBreakBefore w:val="0"/>
              <w:widowControl w:val="0"/>
              <w:numPr>
                <w:ilvl w:val="0"/>
                <w:numId w:val="4"/>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提起异议的日期。 </w:t>
            </w:r>
          </w:p>
          <w:p w14:paraId="6D03FD07">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异议人为法人的，应当由法定代表人或其委托代理人（需有委托授权书）签字并加盖公章。 </w:t>
            </w:r>
          </w:p>
          <w:p w14:paraId="1DB5B16B">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异议人需要修改、补充异议材料的，应当在异议期内提交修改或补充材料。 </w:t>
            </w:r>
          </w:p>
          <w:p w14:paraId="220D1F63">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（二）有下列情形之一的，不予受理： </w:t>
            </w:r>
          </w:p>
          <w:p w14:paraId="0E61451F">
            <w:pPr>
              <w:pStyle w:val="17"/>
              <w:keepNext w:val="0"/>
              <w:keepLines w:val="0"/>
              <w:pageBreakBefore w:val="0"/>
              <w:widowControl w:val="0"/>
              <w:numPr>
                <w:ilvl w:val="0"/>
                <w:numId w:val="5"/>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提起异议的主体不是所异议项目</w:t>
            </w:r>
            <w:r>
              <w:rPr>
                <w:rFonts w:hint="eastAsia" w:cs="宋体"/>
                <w:i w:val="0"/>
                <w:iCs w:val="0"/>
                <w:caps w:val="0"/>
                <w:color w:val="000000"/>
                <w:spacing w:val="0"/>
                <w:sz w:val="24"/>
                <w:szCs w:val="24"/>
                <w:highlight w:val="none"/>
                <w:shd w:val="clear" w:color="auto" w:fill="FFFFFF"/>
                <w:lang w:val="en-US" w:eastAsia="zh-CN" w:bidi="zh-CN"/>
              </w:rPr>
              <w:t>合作方</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的</w:t>
            </w:r>
            <w:r>
              <w:rPr>
                <w:rFonts w:hint="eastAsia" w:cs="宋体"/>
                <w:i w:val="0"/>
                <w:iCs w:val="0"/>
                <w:caps w:val="0"/>
                <w:color w:val="000000"/>
                <w:spacing w:val="0"/>
                <w:sz w:val="24"/>
                <w:szCs w:val="24"/>
                <w:highlight w:val="none"/>
                <w:shd w:val="clear" w:color="auto" w:fill="FFFFFF"/>
                <w:lang w:val="en-US" w:eastAsia="zh-CN" w:bidi="zh-CN"/>
              </w:rPr>
              <w:t>，或者未通过资格审查的合作方</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 </w:t>
            </w:r>
          </w:p>
          <w:p w14:paraId="719AC7D2">
            <w:pPr>
              <w:pStyle w:val="17"/>
              <w:keepNext w:val="0"/>
              <w:keepLines w:val="0"/>
              <w:pageBreakBefore w:val="0"/>
              <w:widowControl w:val="0"/>
              <w:numPr>
                <w:ilvl w:val="0"/>
                <w:numId w:val="5"/>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异议材料不完整的； </w:t>
            </w:r>
          </w:p>
          <w:p w14:paraId="38A75E14">
            <w:pPr>
              <w:pStyle w:val="17"/>
              <w:keepNext w:val="0"/>
              <w:keepLines w:val="0"/>
              <w:pageBreakBefore w:val="0"/>
              <w:widowControl w:val="0"/>
              <w:numPr>
                <w:ilvl w:val="0"/>
                <w:numId w:val="5"/>
              </w:numPr>
              <w:tabs>
                <w:tab w:val="left" w:pos="321"/>
              </w:tabs>
              <w:kinsoku/>
              <w:wordWrap/>
              <w:overflowPunct/>
              <w:topLinePunct w:val="0"/>
              <w:autoSpaceDE/>
              <w:autoSpaceDN/>
              <w:bidi w:val="0"/>
              <w:adjustRightInd w:val="0"/>
              <w:snapToGrid w:val="0"/>
              <w:spacing w:line="240" w:lineRule="auto"/>
              <w:ind w:left="105" w:leftChars="50" w:right="0" w:firstLine="0"/>
              <w:jc w:val="both"/>
              <w:textAlignment w:val="auto"/>
              <w:rPr>
                <w:rFonts w:hint="eastAsia" w:ascii="宋体" w:hAnsi="宋体" w:eastAsia="宋体" w:cs="宋体"/>
                <w:i w:val="0"/>
                <w:iCs w:val="0"/>
                <w:caps w:val="0"/>
                <w:color w:val="000000"/>
                <w:spacing w:val="0"/>
                <w:sz w:val="24"/>
                <w:szCs w:val="24"/>
                <w:highlight w:val="none"/>
                <w:shd w:val="clear" w:color="auto" w:fill="FFFFFF"/>
                <w:lang w:val="en-US" w:eastAsia="zh-CN" w:bidi="zh-CN"/>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异议事项含有主观猜测等内容且未提供有效线索、难以查证的。</w:t>
            </w:r>
          </w:p>
        </w:tc>
      </w:tr>
      <w:tr w14:paraId="084A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14:paraId="001A252E">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center"/>
              <w:textAlignment w:val="auto"/>
              <w:rPr>
                <w:rFonts w:hint="eastAsia" w:ascii="宋体" w:hAnsi="宋体" w:eastAsia="宋体" w:cs="宋体"/>
                <w:color w:val="000000"/>
                <w:spacing w:val="-3"/>
                <w:sz w:val="24"/>
                <w:szCs w:val="24"/>
                <w:highlight w:val="none"/>
                <w:lang w:eastAsia="zh-CN"/>
              </w:rPr>
            </w:pPr>
            <w:r>
              <w:rPr>
                <w:rFonts w:hint="eastAsia" w:cs="宋体"/>
                <w:color w:val="000000"/>
                <w:spacing w:val="-3"/>
                <w:sz w:val="24"/>
                <w:szCs w:val="24"/>
                <w:highlight w:val="none"/>
                <w:lang w:eastAsia="zh-CN"/>
              </w:rPr>
              <w:t>九</w:t>
            </w:r>
            <w:r>
              <w:rPr>
                <w:rFonts w:hint="eastAsia" w:ascii="宋体" w:hAnsi="宋体" w:eastAsia="宋体" w:cs="宋体"/>
                <w:color w:val="000000"/>
                <w:spacing w:val="-3"/>
                <w:sz w:val="24"/>
                <w:szCs w:val="24"/>
                <w:highlight w:val="none"/>
                <w:lang w:eastAsia="zh-CN"/>
              </w:rPr>
              <w:t>、联系方式</w:t>
            </w:r>
          </w:p>
        </w:tc>
      </w:tr>
      <w:tr w14:paraId="6AEB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355" w:type="dxa"/>
            <w:tcBorders>
              <w:top w:val="single" w:color="auto" w:sz="4" w:space="0"/>
              <w:left w:val="single" w:color="auto" w:sz="4" w:space="0"/>
              <w:bottom w:val="single" w:color="auto" w:sz="4" w:space="0"/>
              <w:right w:val="single" w:color="auto" w:sz="4" w:space="0"/>
            </w:tcBorders>
            <w:noWrap w:val="0"/>
            <w:vAlign w:val="center"/>
          </w:tcPr>
          <w:p w14:paraId="3341EF5C">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3"/>
                <w:sz w:val="24"/>
                <w:szCs w:val="24"/>
                <w:highlight w:val="none"/>
              </w:rPr>
            </w:pPr>
            <w:r>
              <w:rPr>
                <w:rFonts w:hint="eastAsia" w:ascii="宋体" w:hAnsi="宋体" w:eastAsia="宋体" w:cs="宋体"/>
                <w:color w:val="000000"/>
                <w:sz w:val="24"/>
                <w:szCs w:val="24"/>
                <w:highlight w:val="none"/>
              </w:rPr>
              <w:t>现场</w:t>
            </w:r>
            <w:r>
              <w:rPr>
                <w:rFonts w:hint="eastAsia" w:cs="宋体"/>
                <w:color w:val="000000"/>
                <w:sz w:val="24"/>
                <w:szCs w:val="24"/>
                <w:highlight w:val="none"/>
                <w:lang w:eastAsia="zh-CN"/>
              </w:rPr>
              <w:t>实勘</w:t>
            </w:r>
            <w:r>
              <w:rPr>
                <w:rFonts w:hint="eastAsia" w:ascii="宋体" w:hAnsi="宋体" w:eastAsia="宋体" w:cs="宋体"/>
                <w:color w:val="000000"/>
                <w:sz w:val="24"/>
                <w:szCs w:val="24"/>
                <w:highlight w:val="none"/>
              </w:rPr>
              <w:t xml:space="preserve"> </w:t>
            </w:r>
          </w:p>
        </w:tc>
        <w:tc>
          <w:tcPr>
            <w:tcW w:w="8721" w:type="dxa"/>
            <w:tcBorders>
              <w:top w:val="single" w:color="auto" w:sz="4" w:space="0"/>
              <w:left w:val="single" w:color="auto" w:sz="4" w:space="0"/>
              <w:bottom w:val="single" w:color="auto" w:sz="4" w:space="0"/>
              <w:right w:val="single" w:color="auto" w:sz="4" w:space="0"/>
            </w:tcBorders>
            <w:noWrap w:val="0"/>
            <w:vAlign w:val="center"/>
          </w:tcPr>
          <w:p w14:paraId="63DCE946">
            <w:pPr>
              <w:pStyle w:val="17"/>
              <w:keepNext w:val="0"/>
              <w:keepLines w:val="0"/>
              <w:pageBreakBefore w:val="0"/>
              <w:widowControl w:val="0"/>
              <w:numPr>
                <w:ilvl w:val="0"/>
                <w:numId w:val="0"/>
              </w:numPr>
              <w:tabs>
                <w:tab w:val="left" w:pos="321"/>
              </w:tabs>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3"/>
                <w:sz w:val="24"/>
                <w:szCs w:val="24"/>
                <w:highlight w:val="none"/>
              </w:rPr>
            </w:pPr>
            <w:r>
              <w:rPr>
                <w:rFonts w:hint="eastAsia" w:ascii="宋体" w:hAnsi="宋体" w:eastAsia="宋体" w:cs="宋体"/>
                <w:i w:val="0"/>
                <w:iCs w:val="0"/>
                <w:caps w:val="0"/>
                <w:color w:val="000000"/>
                <w:spacing w:val="0"/>
                <w:sz w:val="24"/>
                <w:szCs w:val="24"/>
                <w:highlight w:val="none"/>
                <w:shd w:val="clear" w:color="auto" w:fill="FFFFFF"/>
                <w:lang w:val="en-US" w:eastAsia="zh-CN" w:bidi="zh-CN"/>
              </w:rPr>
              <w:t>联系人：王工  电话：0551-</w:t>
            </w:r>
            <w:r>
              <w:rPr>
                <w:rFonts w:hint="eastAsia" w:cs="宋体"/>
                <w:i w:val="0"/>
                <w:iCs w:val="0"/>
                <w:caps w:val="0"/>
                <w:color w:val="000000"/>
                <w:spacing w:val="0"/>
                <w:sz w:val="24"/>
                <w:szCs w:val="24"/>
                <w:highlight w:val="none"/>
                <w:shd w:val="clear" w:color="auto" w:fill="FFFFFF"/>
                <w:lang w:val="en-US" w:eastAsia="zh-CN" w:bidi="zh-CN"/>
              </w:rPr>
              <w:t>65395636</w:t>
            </w:r>
            <w:r>
              <w:rPr>
                <w:rFonts w:hint="eastAsia" w:ascii="宋体" w:hAnsi="宋体" w:eastAsia="宋体" w:cs="宋体"/>
                <w:i w:val="0"/>
                <w:iCs w:val="0"/>
                <w:caps w:val="0"/>
                <w:color w:val="000000"/>
                <w:spacing w:val="0"/>
                <w:sz w:val="24"/>
                <w:szCs w:val="24"/>
                <w:highlight w:val="none"/>
                <w:shd w:val="clear" w:color="auto" w:fill="FFFFFF"/>
                <w:lang w:val="en-US" w:eastAsia="zh-CN" w:bidi="zh-CN"/>
              </w:rPr>
              <w:t xml:space="preserve"> </w:t>
            </w:r>
            <w:r>
              <w:rPr>
                <w:rFonts w:hint="eastAsia" w:ascii="宋体" w:hAnsi="宋体" w:eastAsia="宋体" w:cs="宋体"/>
                <w:color w:val="000000"/>
                <w:sz w:val="24"/>
                <w:szCs w:val="24"/>
                <w:highlight w:val="none"/>
              </w:rPr>
              <w:t xml:space="preserve">  </w:t>
            </w:r>
          </w:p>
        </w:tc>
      </w:tr>
      <w:tr w14:paraId="664A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0076" w:type="dxa"/>
            <w:gridSpan w:val="2"/>
            <w:tcBorders>
              <w:top w:val="single" w:color="auto" w:sz="4" w:space="0"/>
              <w:left w:val="single" w:color="auto" w:sz="4" w:space="0"/>
              <w:bottom w:val="single" w:color="auto" w:sz="4" w:space="0"/>
              <w:right w:val="single" w:color="auto" w:sz="4" w:space="0"/>
            </w:tcBorders>
            <w:noWrap w:val="0"/>
            <w:vAlign w:val="center"/>
          </w:tcPr>
          <w:p w14:paraId="3B920FCD">
            <w:pPr>
              <w:pStyle w:val="17"/>
              <w:keepNext w:val="0"/>
              <w:keepLines w:val="0"/>
              <w:pageBreakBefore w:val="0"/>
              <w:widowControl w:val="0"/>
              <w:kinsoku/>
              <w:wordWrap/>
              <w:overflowPunct/>
              <w:topLinePunct w:val="0"/>
              <w:autoSpaceDE/>
              <w:autoSpaceDN/>
              <w:bidi w:val="0"/>
              <w:adjustRightInd w:val="0"/>
              <w:snapToGrid w:val="0"/>
              <w:spacing w:line="240" w:lineRule="auto"/>
              <w:ind w:left="105" w:leftChars="50" w:right="0" w:rightChars="0" w:firstLine="0"/>
              <w:jc w:val="both"/>
              <w:textAlignment w:val="auto"/>
              <w:rPr>
                <w:rFonts w:hint="eastAsia" w:ascii="宋体" w:hAnsi="宋体" w:eastAsia="宋体" w:cs="宋体"/>
                <w:color w:val="000000"/>
                <w:spacing w:val="-6"/>
                <w:sz w:val="24"/>
                <w:szCs w:val="24"/>
                <w:highlight w:val="none"/>
              </w:rPr>
            </w:pPr>
            <w:r>
              <w:rPr>
                <w:rFonts w:hint="eastAsia" w:ascii="宋体" w:hAnsi="宋体" w:eastAsia="宋体" w:cs="宋体"/>
                <w:color w:val="000000"/>
                <w:spacing w:val="-3"/>
                <w:sz w:val="24"/>
                <w:szCs w:val="24"/>
                <w:highlight w:val="none"/>
              </w:rPr>
              <w:t>本项目合作方如需咨询，务必首先认真阅读本项目公告，并针对具体条款进行咨询。本公告为本项目唯一法定文书，一切解释以本公告为准。商家需自行评估参与本次招商的预期风险及收益，参与合肥文旅博览集团野生动物园管理有限公司招商视作认可合肥文旅博览集团野生动物园管理有限公司招商相关要求及规定，本招商公告解释权归合肥文旅博览集团野生动物园管理有限公司所有。</w:t>
            </w:r>
          </w:p>
        </w:tc>
      </w:tr>
    </w:tbl>
    <w:p w14:paraId="28C4C5D7">
      <w:pPr>
        <w:pStyle w:val="5"/>
        <w:snapToGrid w:val="0"/>
        <w:spacing w:line="360" w:lineRule="auto"/>
        <w:jc w:val="left"/>
        <w:rPr>
          <w:rFonts w:hint="eastAsia" w:ascii="Arial" w:hAnsi="Arial" w:eastAsia="宋体" w:cs="Arial"/>
          <w:sz w:val="21"/>
          <w:szCs w:val="21"/>
          <w:highlight w:val="none"/>
          <w:lang w:eastAsia="zh-CN"/>
        </w:rPr>
      </w:pPr>
      <w:r>
        <w:rPr>
          <w:rFonts w:hint="eastAsia" w:ascii="Arial" w:hAnsi="Arial" w:eastAsia="宋体" w:cs="Arial"/>
          <w:sz w:val="21"/>
          <w:szCs w:val="21"/>
          <w:highlight w:val="none"/>
          <w:lang w:eastAsia="zh-CN"/>
        </w:rPr>
        <w:br w:type="page"/>
      </w:r>
    </w:p>
    <w:bookmarkEnd w:id="0"/>
    <w:p w14:paraId="038C44B7">
      <w:pPr>
        <w:pStyle w:val="5"/>
        <w:snapToGrid w:val="0"/>
        <w:spacing w:line="360" w:lineRule="auto"/>
        <w:jc w:val="left"/>
        <w:rPr>
          <w:rFonts w:hint="eastAsia" w:ascii="Arial" w:hAnsi="Arial" w:eastAsia="宋体" w:cs="Arial"/>
          <w:sz w:val="21"/>
          <w:szCs w:val="21"/>
          <w:highlight w:val="none"/>
          <w:lang w:eastAsia="zh-CN"/>
        </w:rPr>
      </w:pPr>
    </w:p>
    <w:p w14:paraId="20CE2392">
      <w:pPr>
        <w:pStyle w:val="5"/>
        <w:snapToGrid w:val="0"/>
        <w:spacing w:line="360" w:lineRule="auto"/>
        <w:jc w:val="left"/>
        <w:rPr>
          <w:rFonts w:hint="eastAsia" w:ascii="Arial" w:hAnsi="Arial" w:eastAsia="宋体" w:cs="Arial"/>
          <w:sz w:val="21"/>
          <w:szCs w:val="21"/>
          <w:highlight w:val="none"/>
          <w:lang w:eastAsia="zh-CN"/>
        </w:rPr>
      </w:pPr>
    </w:p>
    <w:p w14:paraId="70E4835A">
      <w:pPr>
        <w:pStyle w:val="2"/>
        <w:jc w:val="both"/>
        <w:rPr>
          <w:rFonts w:hint="eastAsia" w:ascii="方正小标宋简体" w:hAnsi="方正小标宋简体" w:eastAsia="方正小标宋简体" w:cs="方正小标宋简体"/>
          <w:b w:val="0"/>
          <w:bCs w:val="0"/>
          <w:sz w:val="32"/>
          <w:szCs w:val="32"/>
          <w:highlight w:val="none"/>
          <w:lang w:val="en-US" w:eastAsia="zh-CN"/>
        </w:rPr>
      </w:pPr>
      <w:r>
        <w:rPr>
          <w:rFonts w:hint="eastAsia" w:ascii="方正小标宋简体" w:hAnsi="方正小标宋简体" w:eastAsia="方正小标宋简体" w:cs="方正小标宋简体"/>
          <w:b w:val="0"/>
          <w:bCs w:val="0"/>
          <w:sz w:val="32"/>
          <w:szCs w:val="32"/>
          <w:highlight w:val="none"/>
          <w:lang w:eastAsia="zh-CN"/>
        </w:rPr>
        <w:t>附件一：</w:t>
      </w:r>
      <w:r>
        <w:rPr>
          <w:rFonts w:hint="eastAsia" w:ascii="方正小标宋简体" w:hAnsi="方正小标宋简体" w:eastAsia="方正小标宋简体" w:cs="方正小标宋简体"/>
          <w:b w:val="0"/>
          <w:bCs w:val="0"/>
          <w:sz w:val="32"/>
          <w:szCs w:val="32"/>
          <w:highlight w:val="none"/>
          <w:lang w:val="en-US" w:eastAsia="zh-CN"/>
        </w:rPr>
        <w:t xml:space="preserve">  </w:t>
      </w:r>
    </w:p>
    <w:p w14:paraId="09C5B7A7">
      <w:pPr>
        <w:pStyle w:val="2"/>
        <w:jc w:val="center"/>
        <w:rPr>
          <w:rFonts w:hint="eastAsia" w:ascii="方正小标宋简体" w:hAnsi="方正小标宋简体" w:eastAsia="方正小标宋简体" w:cs="方正小标宋简体"/>
          <w:b w:val="0"/>
          <w:bCs w:val="0"/>
          <w:sz w:val="32"/>
          <w:szCs w:val="32"/>
          <w:highlight w:val="none"/>
          <w:lang w:eastAsia="zh-CN"/>
        </w:rPr>
      </w:pPr>
      <w:r>
        <w:rPr>
          <w:rFonts w:hint="eastAsia" w:ascii="方正小标宋简体" w:hAnsi="方正小标宋简体" w:eastAsia="方正小标宋简体" w:cs="方正小标宋简体"/>
          <w:b w:val="0"/>
          <w:bCs w:val="0"/>
          <w:sz w:val="32"/>
          <w:szCs w:val="32"/>
          <w:highlight w:val="none"/>
          <w:lang w:eastAsia="zh-CN"/>
        </w:rPr>
        <w:t>授权书</w:t>
      </w:r>
    </w:p>
    <w:p w14:paraId="3FE5F3BE">
      <w:pPr>
        <w:pStyle w:val="5"/>
        <w:snapToGrid w:val="0"/>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本授权书声明</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公司授权</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rPr>
        <w:t>（</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授权代表姓名、职务，手机号码）代表本公司参加合肥文旅博览集团野生动物园管理有限公司</w:t>
      </w:r>
      <w:r>
        <w:rPr>
          <w:rFonts w:hint="eastAsia" w:ascii="宋体" w:hAnsi="宋体" w:eastAsia="宋体" w:cs="宋体"/>
          <w:color w:val="000000"/>
          <w:sz w:val="24"/>
          <w:szCs w:val="28"/>
          <w:highlight w:val="none"/>
          <w:u w:val="single"/>
        </w:rPr>
        <w:t xml:space="preserve">         </w:t>
      </w:r>
      <w:r>
        <w:rPr>
          <w:rFonts w:hint="eastAsia" w:ascii="宋体" w:hAnsi="宋体" w:eastAsia="宋体" w:cs="宋体"/>
          <w:color w:val="000000"/>
          <w:sz w:val="24"/>
          <w:szCs w:val="28"/>
          <w:highlight w:val="none"/>
          <w:u w:val="single"/>
          <w:lang w:val="en-US" w:eastAsia="zh-CN"/>
        </w:rPr>
        <w:t xml:space="preserve">  </w:t>
      </w:r>
      <w:r>
        <w:rPr>
          <w:rFonts w:hint="eastAsia" w:ascii="宋体" w:hAnsi="宋体" w:eastAsia="宋体" w:cs="宋体"/>
          <w:color w:val="000000"/>
          <w:sz w:val="24"/>
          <w:szCs w:val="28"/>
          <w:highlight w:val="none"/>
          <w:u w:val="none"/>
          <w:lang w:eastAsia="zh-CN"/>
        </w:rPr>
        <w:t>项目</w:t>
      </w:r>
      <w:r>
        <w:rPr>
          <w:rFonts w:hint="eastAsia" w:ascii="宋体" w:hAnsi="宋体" w:eastAsia="宋体" w:cs="宋体"/>
          <w:bCs/>
          <w:color w:val="000000"/>
          <w:sz w:val="24"/>
          <w:szCs w:val="28"/>
          <w:highlight w:val="none"/>
        </w:rPr>
        <w:t>招</w:t>
      </w:r>
      <w:r>
        <w:rPr>
          <w:rFonts w:hint="eastAsia" w:ascii="宋体" w:hAnsi="宋体" w:eastAsia="宋体" w:cs="宋体"/>
          <w:bCs/>
          <w:color w:val="000000"/>
          <w:sz w:val="24"/>
          <w:szCs w:val="28"/>
          <w:highlight w:val="none"/>
          <w:lang w:eastAsia="zh-CN"/>
        </w:rPr>
        <w:t>商</w:t>
      </w:r>
      <w:r>
        <w:rPr>
          <w:rFonts w:hint="eastAsia" w:ascii="宋体" w:hAnsi="宋体" w:eastAsia="宋体" w:cs="宋体"/>
          <w:color w:val="000000"/>
          <w:sz w:val="24"/>
          <w:szCs w:val="28"/>
          <w:highlight w:val="none"/>
        </w:rPr>
        <w:t>，全权代表本公司处理</w:t>
      </w:r>
      <w:r>
        <w:rPr>
          <w:rFonts w:hint="eastAsia" w:ascii="宋体" w:hAnsi="宋体" w:eastAsia="宋体" w:cs="宋体"/>
          <w:color w:val="000000"/>
          <w:sz w:val="24"/>
          <w:szCs w:val="28"/>
          <w:highlight w:val="none"/>
          <w:lang w:eastAsia="zh-CN"/>
        </w:rPr>
        <w:t>招商</w:t>
      </w:r>
      <w:r>
        <w:rPr>
          <w:rFonts w:hint="eastAsia" w:ascii="宋体" w:hAnsi="宋体" w:eastAsia="宋体" w:cs="宋体"/>
          <w:color w:val="000000"/>
          <w:sz w:val="24"/>
          <w:szCs w:val="28"/>
          <w:highlight w:val="none"/>
        </w:rPr>
        <w:t>过程的一切事宜，包括但不限于：投标、参与开标、谈判、签约等。</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授权代表在</w:t>
      </w:r>
      <w:r>
        <w:rPr>
          <w:rFonts w:hint="eastAsia" w:ascii="宋体" w:hAnsi="宋体" w:eastAsia="宋体" w:cs="宋体"/>
          <w:color w:val="000000"/>
          <w:sz w:val="24"/>
          <w:szCs w:val="28"/>
          <w:highlight w:val="none"/>
          <w:lang w:eastAsia="zh-CN"/>
        </w:rPr>
        <w:t>招商</w:t>
      </w:r>
      <w:r>
        <w:rPr>
          <w:rFonts w:hint="eastAsia" w:ascii="宋体" w:hAnsi="宋体" w:eastAsia="宋体" w:cs="宋体"/>
          <w:color w:val="000000"/>
          <w:sz w:val="24"/>
          <w:szCs w:val="28"/>
          <w:highlight w:val="none"/>
        </w:rPr>
        <w:t>过程中所签署的一切文件和处理与之有关的一切事务，本公司均予以认可并对此承担责任。</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授权代表无转委托权。特此授权。</w:t>
      </w:r>
    </w:p>
    <w:p w14:paraId="008452D2">
      <w:pPr>
        <w:pStyle w:val="5"/>
        <w:snapToGrid w:val="0"/>
        <w:spacing w:line="360" w:lineRule="auto"/>
        <w:ind w:firstLine="480" w:firstLineChars="200"/>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本授权书自出具之日起生效。</w:t>
      </w:r>
    </w:p>
    <w:p w14:paraId="125832D8">
      <w:pPr>
        <w:spacing w:line="360" w:lineRule="auto"/>
        <w:rPr>
          <w:rFonts w:hint="eastAsia" w:ascii="宋体" w:hAnsi="宋体" w:eastAsia="宋体" w:cs="宋体"/>
          <w:color w:val="000000"/>
          <w:sz w:val="24"/>
          <w:szCs w:val="28"/>
          <w:highlight w:val="none"/>
        </w:rPr>
      </w:pPr>
    </w:p>
    <w:p w14:paraId="34AD3578">
      <w:pPr>
        <w:spacing w:line="360" w:lineRule="auto"/>
        <w:ind w:firstLine="645"/>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mc:AlternateContent>
          <mc:Choice Requires="wpg">
            <w:drawing>
              <wp:anchor distT="0" distB="0" distL="114300" distR="114300" simplePos="0" relativeHeight="251659264" behindDoc="0" locked="0" layoutInCell="1" allowOverlap="1">
                <wp:simplePos x="0" y="0"/>
                <wp:positionH relativeFrom="column">
                  <wp:posOffset>94615</wp:posOffset>
                </wp:positionH>
                <wp:positionV relativeFrom="paragraph">
                  <wp:posOffset>274955</wp:posOffset>
                </wp:positionV>
                <wp:extent cx="5997575" cy="1764665"/>
                <wp:effectExtent l="5080" t="4445" r="17145" b="21590"/>
                <wp:wrapNone/>
                <wp:docPr id="1" name="组合 1"/>
                <wp:cNvGraphicFramePr/>
                <a:graphic xmlns:a="http://schemas.openxmlformats.org/drawingml/2006/main">
                  <a:graphicData uri="http://schemas.microsoft.com/office/word/2010/wordprocessingGroup">
                    <wpg:wgp>
                      <wpg:cNvGrpSpPr/>
                      <wpg:grpSpPr>
                        <a:xfrm>
                          <a:off x="0" y="0"/>
                          <a:ext cx="5997575" cy="1764665"/>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14:paraId="0F5CDABA"/>
                            <w:p w14:paraId="278DB9C7">
                              <w:pPr>
                                <w:jc w:val="center"/>
                                <w:rPr>
                                  <w:color w:val="FF0000"/>
                                </w:rPr>
                              </w:pPr>
                              <w:r>
                                <w:rPr>
                                  <w:rFonts w:hint="eastAsia"/>
                                  <w:color w:val="FF0000"/>
                                </w:rPr>
                                <w:t>授权代表身份证正面</w:t>
                              </w:r>
                            </w:p>
                            <w:p w14:paraId="7B85FDAA">
                              <w:pPr>
                                <w:jc w:val="center"/>
                                <w:rPr>
                                  <w:rFonts w:hint="eastAsia" w:eastAsia="宋体"/>
                                  <w:color w:val="FF0000"/>
                                  <w:szCs w:val="21"/>
                                  <w:lang w:eastAsia="zh-CN"/>
                                </w:rPr>
                              </w:pPr>
                              <w:r>
                                <w:rPr>
                                  <w:rFonts w:hint="eastAsia" w:eastAsia="宋体"/>
                                  <w:color w:val="FF0000"/>
                                  <w:lang w:eastAsia="zh-CN"/>
                                </w:rPr>
                                <w:t>复印件</w:t>
                              </w:r>
                            </w:p>
                            <w:p w14:paraId="21E1B1D4"/>
                          </w:txbxContent>
                        </wps:txbx>
                        <wps:bodyPr rot="0" vert="horz" wrap="square" lIns="91440" tIns="45720" rIns="91440" bIns="45720" anchor="t" anchorCtr="0" upright="1">
                          <a:noAutofit/>
                        </wps:bodyPr>
                      </wps:wsp>
                      <wps:wsp>
                        <wps:cNvPr id="4"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14:paraId="192D8924">
                              <w:pPr>
                                <w:rPr>
                                  <w:color w:val="FF0000"/>
                                </w:rPr>
                              </w:pPr>
                            </w:p>
                            <w:p w14:paraId="4472F2A4">
                              <w:pPr>
                                <w:jc w:val="center"/>
                                <w:rPr>
                                  <w:color w:val="FF0000"/>
                                </w:rPr>
                              </w:pPr>
                              <w:r>
                                <w:rPr>
                                  <w:rFonts w:hint="eastAsia"/>
                                  <w:color w:val="FF0000"/>
                                </w:rPr>
                                <w:t>授权代表身份证反面</w:t>
                              </w:r>
                            </w:p>
                            <w:p w14:paraId="4D0FC25D">
                              <w:pPr>
                                <w:jc w:val="center"/>
                                <w:rPr>
                                  <w:rFonts w:hint="eastAsia" w:eastAsia="宋体"/>
                                  <w:color w:val="FF0000"/>
                                  <w:szCs w:val="21"/>
                                  <w:lang w:eastAsia="zh-CN"/>
                                </w:rPr>
                              </w:pPr>
                              <w:r>
                                <w:rPr>
                                  <w:rFonts w:hint="eastAsia" w:eastAsia="宋体"/>
                                  <w:color w:val="FF0000"/>
                                  <w:lang w:eastAsia="zh-CN"/>
                                </w:rPr>
                                <w:t>复印件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45pt;margin-top:21.65pt;height:138.95pt;width:472.25pt;z-index:251659264;mso-width-relative:page;mso-height-relative:page;" coordorigin="3270,5789" coordsize="6079,1525" o:gfxdata="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0F5CDABA"/>
                      <w:p w14:paraId="278DB9C7">
                        <w:pPr>
                          <w:jc w:val="center"/>
                          <w:rPr>
                            <w:color w:val="FF0000"/>
                          </w:rPr>
                        </w:pPr>
                        <w:r>
                          <w:rPr>
                            <w:rFonts w:hint="eastAsia"/>
                            <w:color w:val="FF0000"/>
                          </w:rPr>
                          <w:t>授权代表身份证正面</w:t>
                        </w:r>
                      </w:p>
                      <w:p w14:paraId="7B85FDAA">
                        <w:pPr>
                          <w:jc w:val="center"/>
                          <w:rPr>
                            <w:rFonts w:hint="eastAsia" w:eastAsia="宋体"/>
                            <w:color w:val="FF0000"/>
                            <w:szCs w:val="21"/>
                            <w:lang w:eastAsia="zh-CN"/>
                          </w:rPr>
                        </w:pPr>
                        <w:r>
                          <w:rPr>
                            <w:rFonts w:hint="eastAsia" w:eastAsia="宋体"/>
                            <w:color w:val="FF0000"/>
                            <w:lang w:eastAsia="zh-CN"/>
                          </w:rPr>
                          <w:t>复印件</w:t>
                        </w:r>
                      </w:p>
                      <w:p w14:paraId="21E1B1D4"/>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92D8924">
                        <w:pPr>
                          <w:rPr>
                            <w:color w:val="FF0000"/>
                          </w:rPr>
                        </w:pPr>
                      </w:p>
                      <w:p w14:paraId="4472F2A4">
                        <w:pPr>
                          <w:jc w:val="center"/>
                          <w:rPr>
                            <w:color w:val="FF0000"/>
                          </w:rPr>
                        </w:pPr>
                        <w:r>
                          <w:rPr>
                            <w:rFonts w:hint="eastAsia"/>
                            <w:color w:val="FF0000"/>
                          </w:rPr>
                          <w:t>授权代表身份证反面</w:t>
                        </w:r>
                      </w:p>
                      <w:p w14:paraId="4D0FC25D">
                        <w:pPr>
                          <w:jc w:val="center"/>
                          <w:rPr>
                            <w:rFonts w:hint="eastAsia" w:eastAsia="宋体"/>
                            <w:color w:val="FF0000"/>
                            <w:szCs w:val="21"/>
                            <w:lang w:eastAsia="zh-CN"/>
                          </w:rPr>
                        </w:pPr>
                        <w:r>
                          <w:rPr>
                            <w:rFonts w:hint="eastAsia" w:eastAsia="宋体"/>
                            <w:color w:val="FF0000"/>
                            <w:lang w:eastAsia="zh-CN"/>
                          </w:rPr>
                          <w:t>复印件</w:t>
                        </w:r>
                      </w:p>
                    </w:txbxContent>
                  </v:textbox>
                </v:roundrect>
              </v:group>
            </w:pict>
          </mc:Fallback>
        </mc:AlternateContent>
      </w:r>
      <w:r>
        <w:rPr>
          <w:rFonts w:hint="eastAsia" w:ascii="宋体" w:hAnsi="宋体" w:eastAsia="宋体" w:cs="宋体"/>
          <w:color w:val="000000"/>
          <w:sz w:val="24"/>
          <w:szCs w:val="28"/>
          <w:highlight w:val="none"/>
        </w:rPr>
        <w:t>特此声明。</w:t>
      </w:r>
    </w:p>
    <w:p w14:paraId="4D4750A3">
      <w:pPr>
        <w:pStyle w:val="3"/>
        <w:rPr>
          <w:rFonts w:hint="eastAsia" w:ascii="宋体" w:hAnsi="宋体" w:eastAsia="宋体" w:cs="宋体"/>
          <w:color w:val="000000"/>
          <w:sz w:val="24"/>
          <w:szCs w:val="28"/>
          <w:highlight w:val="none"/>
        </w:rPr>
      </w:pPr>
    </w:p>
    <w:p w14:paraId="3C44B9FF">
      <w:pPr>
        <w:rPr>
          <w:rFonts w:hint="eastAsia" w:ascii="宋体" w:hAnsi="宋体" w:eastAsia="宋体" w:cs="宋体"/>
          <w:color w:val="000000"/>
          <w:sz w:val="24"/>
          <w:szCs w:val="28"/>
          <w:highlight w:val="none"/>
        </w:rPr>
      </w:pPr>
    </w:p>
    <w:p w14:paraId="3004EDB7">
      <w:pPr>
        <w:pStyle w:val="3"/>
        <w:rPr>
          <w:rFonts w:hint="eastAsia" w:ascii="宋体" w:hAnsi="宋体" w:eastAsia="宋体" w:cs="宋体"/>
          <w:highlight w:val="none"/>
        </w:rPr>
      </w:pPr>
    </w:p>
    <w:p w14:paraId="5C5D74B0">
      <w:pPr>
        <w:pStyle w:val="3"/>
        <w:rPr>
          <w:rFonts w:hint="eastAsia" w:ascii="宋体" w:hAnsi="宋体" w:eastAsia="宋体" w:cs="宋体"/>
          <w:color w:val="000000"/>
          <w:sz w:val="24"/>
          <w:szCs w:val="28"/>
          <w:highlight w:val="none"/>
        </w:rPr>
      </w:pPr>
    </w:p>
    <w:p w14:paraId="2E8476ED">
      <w:pPr>
        <w:rPr>
          <w:rFonts w:hint="eastAsia" w:ascii="宋体" w:hAnsi="宋体" w:eastAsia="宋体" w:cs="宋体"/>
          <w:highlight w:val="none"/>
        </w:rPr>
      </w:pPr>
    </w:p>
    <w:p w14:paraId="71962D91">
      <w:pPr>
        <w:spacing w:line="360" w:lineRule="auto"/>
        <w:rPr>
          <w:rFonts w:hint="eastAsia" w:ascii="宋体" w:hAnsi="宋体" w:eastAsia="宋体" w:cs="宋体"/>
          <w:color w:val="000000"/>
          <w:sz w:val="24"/>
          <w:szCs w:val="28"/>
          <w:highlight w:val="none"/>
        </w:rPr>
      </w:pPr>
    </w:p>
    <w:p w14:paraId="28BF7E22">
      <w:pPr>
        <w:spacing w:line="360" w:lineRule="auto"/>
        <w:rPr>
          <w:rFonts w:hint="eastAsia" w:ascii="宋体" w:hAnsi="宋体" w:eastAsia="宋体" w:cs="宋体"/>
          <w:color w:val="000000"/>
          <w:sz w:val="24"/>
          <w:szCs w:val="28"/>
          <w:highlight w:val="none"/>
        </w:rPr>
      </w:pPr>
    </w:p>
    <w:p w14:paraId="4B26DEDE">
      <w:pPr>
        <w:spacing w:line="360" w:lineRule="auto"/>
        <w:rPr>
          <w:rFonts w:hint="eastAsia" w:ascii="宋体" w:hAnsi="宋体" w:eastAsia="宋体" w:cs="宋体"/>
          <w:color w:val="000000"/>
          <w:sz w:val="24"/>
          <w:szCs w:val="28"/>
          <w:highlight w:val="none"/>
        </w:rPr>
      </w:pPr>
    </w:p>
    <w:p w14:paraId="5DF94665">
      <w:pPr>
        <w:spacing w:line="360" w:lineRule="auto"/>
        <w:rPr>
          <w:rFonts w:hint="eastAsia" w:ascii="宋体" w:hAnsi="宋体" w:eastAsia="宋体" w:cs="宋体"/>
          <w:b/>
          <w:bCs/>
          <w:color w:val="000000"/>
          <w:sz w:val="24"/>
          <w:szCs w:val="28"/>
          <w:highlight w:val="none"/>
        </w:rPr>
      </w:pPr>
      <w:r>
        <w:rPr>
          <w:rFonts w:hint="eastAsia" w:ascii="宋体" w:hAnsi="宋体" w:eastAsia="宋体" w:cs="宋体"/>
          <w:b/>
          <w:bCs/>
          <w:color w:val="000000"/>
          <w:sz w:val="24"/>
          <w:szCs w:val="28"/>
          <w:highlight w:val="none"/>
          <w:lang w:eastAsia="zh-CN"/>
        </w:rPr>
        <w:t>合作方</w:t>
      </w:r>
      <w:r>
        <w:rPr>
          <w:rFonts w:hint="eastAsia" w:ascii="宋体" w:hAnsi="宋体" w:eastAsia="宋体" w:cs="宋体"/>
          <w:b/>
          <w:bCs/>
          <w:color w:val="000000"/>
          <w:sz w:val="24"/>
          <w:szCs w:val="28"/>
          <w:highlight w:val="none"/>
        </w:rPr>
        <w:t>(公章)：</w:t>
      </w:r>
    </w:p>
    <w:p w14:paraId="6FC11805">
      <w:pPr>
        <w:spacing w:line="360" w:lineRule="auto"/>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 xml:space="preserve">日        期： </w:t>
      </w:r>
    </w:p>
    <w:p w14:paraId="2CAC4636">
      <w:pPr>
        <w:rPr>
          <w:rFonts w:hint="eastAsia" w:ascii="宋体" w:hAnsi="宋体" w:eastAsia="宋体" w:cs="宋体"/>
          <w:color w:val="000000"/>
          <w:sz w:val="28"/>
          <w:szCs w:val="28"/>
          <w:highlight w:val="none"/>
        </w:rPr>
      </w:pPr>
    </w:p>
    <w:p w14:paraId="2F9D15E4">
      <w:pPr>
        <w:pStyle w:val="5"/>
        <w:snapToGrid w:val="0"/>
        <w:spacing w:line="360" w:lineRule="auto"/>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注：</w:t>
      </w:r>
    </w:p>
    <w:p w14:paraId="5DF4C66C">
      <w:pPr>
        <w:pStyle w:val="5"/>
        <w:snapToGrid w:val="0"/>
        <w:spacing w:line="360" w:lineRule="auto"/>
        <w:jc w:val="left"/>
        <w:rPr>
          <w:rFonts w:hint="eastAsia" w:ascii="宋体" w:hAnsi="宋体" w:eastAsia="宋体" w:cs="宋体"/>
          <w:color w:val="000000"/>
          <w:sz w:val="24"/>
          <w:szCs w:val="28"/>
          <w:highlight w:val="none"/>
        </w:rPr>
      </w:pPr>
      <w:r>
        <w:rPr>
          <w:rFonts w:hint="eastAsia" w:ascii="宋体" w:hAnsi="宋体" w:eastAsia="宋体" w:cs="宋体"/>
          <w:color w:val="000000"/>
          <w:sz w:val="24"/>
          <w:szCs w:val="28"/>
          <w:highlight w:val="none"/>
        </w:rPr>
        <w:t>1.本项目只允许有唯一的</w:t>
      </w:r>
      <w:r>
        <w:rPr>
          <w:rFonts w:hint="eastAsia" w:hAnsi="宋体" w:eastAsia="宋体" w:cs="宋体"/>
          <w:color w:val="000000"/>
          <w:sz w:val="24"/>
          <w:szCs w:val="28"/>
          <w:highlight w:val="none"/>
          <w:lang w:eastAsia="zh-CN"/>
        </w:rPr>
        <w:t>合作方</w:t>
      </w:r>
      <w:r>
        <w:rPr>
          <w:rFonts w:hint="eastAsia" w:ascii="宋体" w:hAnsi="宋体" w:eastAsia="宋体" w:cs="宋体"/>
          <w:color w:val="000000"/>
          <w:sz w:val="24"/>
          <w:szCs w:val="28"/>
          <w:highlight w:val="none"/>
        </w:rPr>
        <w:t>授权代表，投标文件中提供授权代表身份证</w:t>
      </w:r>
      <w:r>
        <w:rPr>
          <w:rFonts w:hint="eastAsia" w:hAnsi="宋体" w:eastAsia="宋体" w:cs="宋体"/>
          <w:color w:val="000000"/>
          <w:sz w:val="24"/>
          <w:highlight w:val="none"/>
          <w:lang w:eastAsia="zh-CN"/>
        </w:rPr>
        <w:t>复印件</w:t>
      </w:r>
      <w:r>
        <w:rPr>
          <w:rFonts w:hint="eastAsia" w:ascii="宋体" w:hAnsi="宋体" w:eastAsia="宋体" w:cs="宋体"/>
          <w:color w:val="000000"/>
          <w:sz w:val="24"/>
          <w:szCs w:val="28"/>
          <w:highlight w:val="none"/>
        </w:rPr>
        <w:t>。</w:t>
      </w:r>
    </w:p>
    <w:p w14:paraId="7500FC00">
      <w:pPr>
        <w:pStyle w:val="5"/>
        <w:snapToGrid w:val="0"/>
        <w:spacing w:line="360" w:lineRule="auto"/>
        <w:jc w:val="left"/>
        <w:rPr>
          <w:rFonts w:hint="eastAsia" w:ascii="宋体" w:hAnsi="宋体" w:eastAsia="宋体" w:cs="宋体"/>
          <w:color w:val="000000"/>
          <w:sz w:val="28"/>
          <w:szCs w:val="28"/>
          <w:highlight w:val="none"/>
        </w:rPr>
      </w:pPr>
      <w:r>
        <w:rPr>
          <w:rFonts w:hint="eastAsia" w:ascii="宋体" w:hAnsi="宋体" w:eastAsia="宋体" w:cs="宋体"/>
          <w:color w:val="000000"/>
          <w:sz w:val="24"/>
          <w:szCs w:val="28"/>
          <w:highlight w:val="none"/>
        </w:rPr>
        <w:t>2.法定代表人参加投标的无需此件，</w:t>
      </w:r>
      <w:r>
        <w:rPr>
          <w:rFonts w:hint="eastAsia" w:ascii="宋体" w:hAnsi="宋体" w:eastAsia="宋体" w:cs="宋体"/>
          <w:color w:val="000000"/>
          <w:sz w:val="24"/>
          <w:highlight w:val="none"/>
        </w:rPr>
        <w:t>但投标文件中须提供身份证</w:t>
      </w:r>
      <w:r>
        <w:rPr>
          <w:rFonts w:hint="eastAsia" w:hAnsi="宋体" w:eastAsia="宋体" w:cs="宋体"/>
          <w:color w:val="000000"/>
          <w:sz w:val="24"/>
          <w:highlight w:val="none"/>
          <w:lang w:eastAsia="zh-CN"/>
        </w:rPr>
        <w:t>复印件</w:t>
      </w:r>
      <w:r>
        <w:rPr>
          <w:rFonts w:hint="eastAsia" w:ascii="宋体" w:hAnsi="宋体" w:eastAsia="宋体" w:cs="宋体"/>
          <w:color w:val="000000"/>
          <w:sz w:val="24"/>
          <w:highlight w:val="none"/>
        </w:rPr>
        <w:t>。</w:t>
      </w:r>
    </w:p>
    <w:p w14:paraId="586869DE">
      <w:pPr>
        <w:pStyle w:val="2"/>
        <w:jc w:val="left"/>
        <w:rPr>
          <w:rFonts w:hint="eastAsia" w:ascii="宋体" w:hAnsi="宋体" w:eastAsia="宋体" w:cs="宋体"/>
          <w:color w:val="000000"/>
          <w:sz w:val="28"/>
          <w:szCs w:val="28"/>
          <w:highlight w:val="none"/>
        </w:rPr>
      </w:pPr>
      <w:r>
        <w:rPr>
          <w:rFonts w:hint="eastAsia" w:hAnsi="宋体" w:cs="宋体"/>
          <w:color w:val="000000"/>
          <w:sz w:val="28"/>
          <w:szCs w:val="28"/>
          <w:highlight w:val="none"/>
        </w:rPr>
        <w:br w:type="page"/>
      </w:r>
      <w:r>
        <w:rPr>
          <w:rFonts w:hint="eastAsia" w:ascii="宋体" w:hAnsi="宋体" w:eastAsia="宋体" w:cs="宋体"/>
          <w:color w:val="000000"/>
          <w:sz w:val="32"/>
          <w:szCs w:val="32"/>
          <w:highlight w:val="none"/>
          <w:lang w:eastAsia="zh-CN"/>
        </w:rPr>
        <w:t>附件</w:t>
      </w:r>
      <w:r>
        <w:rPr>
          <w:rFonts w:hint="eastAsia" w:hAnsi="宋体" w:eastAsia="宋体" w:cs="宋体"/>
          <w:color w:val="000000"/>
          <w:sz w:val="32"/>
          <w:szCs w:val="32"/>
          <w:highlight w:val="none"/>
          <w:lang w:eastAsia="zh-CN"/>
        </w:rPr>
        <w:t>二</w:t>
      </w:r>
      <w:r>
        <w:rPr>
          <w:rFonts w:hint="eastAsia" w:ascii="宋体" w:hAnsi="宋体" w:eastAsia="宋体" w:cs="宋体"/>
          <w:color w:val="000000"/>
          <w:sz w:val="32"/>
          <w:szCs w:val="32"/>
          <w:highlight w:val="none"/>
          <w:lang w:val="en-US" w:eastAsia="zh-CN"/>
        </w:rPr>
        <w:t>：</w:t>
      </w:r>
      <w:r>
        <w:rPr>
          <w:rFonts w:hint="eastAsia" w:ascii="宋体" w:hAnsi="宋体" w:eastAsia="宋体" w:cs="宋体"/>
          <w:color w:val="000000"/>
          <w:sz w:val="28"/>
          <w:szCs w:val="28"/>
          <w:highlight w:val="none"/>
          <w:lang w:val="en-US" w:eastAsia="zh-CN"/>
        </w:rPr>
        <w:t xml:space="preserve">                   </w:t>
      </w:r>
      <w:r>
        <w:rPr>
          <w:rFonts w:hint="eastAsia" w:hAnsi="宋体" w:eastAsia="宋体" w:cs="宋体"/>
          <w:color w:val="000000"/>
          <w:sz w:val="28"/>
          <w:szCs w:val="28"/>
          <w:highlight w:val="none"/>
          <w:lang w:eastAsia="zh-CN"/>
        </w:rPr>
        <w:t>合作方</w:t>
      </w:r>
      <w:r>
        <w:rPr>
          <w:rFonts w:hint="eastAsia" w:ascii="宋体" w:hAnsi="宋体" w:eastAsia="宋体" w:cs="宋体"/>
          <w:color w:val="000000"/>
          <w:sz w:val="28"/>
          <w:szCs w:val="28"/>
          <w:highlight w:val="none"/>
        </w:rPr>
        <w:t>信用承诺</w:t>
      </w:r>
    </w:p>
    <w:p w14:paraId="3F4A19F3">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我公司申明，我公司无以下不良信用记录情形：</w:t>
      </w:r>
    </w:p>
    <w:p w14:paraId="6717BA56">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1.公司被人民法院列入失信被执行人；</w:t>
      </w:r>
    </w:p>
    <w:p w14:paraId="4B6FEB76">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2.公司、公司法定代表人被人民检察院列入行贿犯罪档案；</w:t>
      </w:r>
    </w:p>
    <w:p w14:paraId="523119E2">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3.公司被工商行政管理部门列入企业经营异常名录；</w:t>
      </w:r>
    </w:p>
    <w:p w14:paraId="6888FFD2">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4.公司被税务部门列入重大税收违法案件当事人名单的；</w:t>
      </w:r>
    </w:p>
    <w:p w14:paraId="71CFE117">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 参加本次投标活动前三年内，在服务活动中没有重大违法及安全事故记录。</w:t>
      </w:r>
    </w:p>
    <w:p w14:paraId="7A131CCC">
      <w:pPr>
        <w:spacing w:line="360" w:lineRule="auto"/>
        <w:ind w:firstLine="63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14:paraId="40EADF86">
      <w:pPr>
        <w:spacing w:line="360" w:lineRule="auto"/>
        <w:ind w:firstLine="630"/>
        <w:rPr>
          <w:rFonts w:hint="eastAsia" w:ascii="宋体" w:hAnsi="宋体" w:eastAsia="宋体" w:cs="宋体"/>
          <w:b/>
          <w:color w:val="000000"/>
          <w:sz w:val="24"/>
          <w:szCs w:val="24"/>
          <w:highlight w:val="none"/>
        </w:rPr>
      </w:pPr>
    </w:p>
    <w:p w14:paraId="28AF61C3">
      <w:pPr>
        <w:spacing w:line="360" w:lineRule="auto"/>
        <w:ind w:firstLine="63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合作方</w:t>
      </w:r>
      <w:r>
        <w:rPr>
          <w:rFonts w:hint="eastAsia" w:ascii="宋体" w:hAnsi="宋体" w:eastAsia="宋体" w:cs="宋体"/>
          <w:b/>
          <w:color w:val="000000"/>
          <w:sz w:val="24"/>
          <w:szCs w:val="24"/>
          <w:highlight w:val="none"/>
        </w:rPr>
        <w:t>（公章）：</w:t>
      </w:r>
    </w:p>
    <w:p w14:paraId="43BA9878">
      <w:pPr>
        <w:rPr>
          <w:rFonts w:hint="default" w:ascii="Arial" w:hAnsi="Arial" w:eastAsia="Arial" w:cs="Arial"/>
          <w:sz w:val="21"/>
          <w:szCs w:val="21"/>
          <w:highlight w:val="none"/>
          <w:lang w:val="en-US" w:eastAsia="zh-CN"/>
        </w:rPr>
      </w:pPr>
      <w:r>
        <w:rPr>
          <w:rFonts w:hint="default" w:ascii="Arial" w:hAnsi="Arial" w:eastAsia="Arial" w:cs="Arial"/>
          <w:sz w:val="21"/>
          <w:szCs w:val="21"/>
          <w:highlight w:val="none"/>
          <w:lang w:val="en-US" w:eastAsia="zh-CN"/>
        </w:rPr>
        <w:br w:type="page"/>
      </w:r>
    </w:p>
    <w:p w14:paraId="186D05F2">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outlineLvl w:val="9"/>
        <w:rPr>
          <w:rFonts w:hint="eastAsia" w:ascii="宋体" w:hAnsi="宋体" w:eastAsia="宋体" w:cs="宋体"/>
          <w:color w:val="000000"/>
          <w:sz w:val="32"/>
          <w:szCs w:val="32"/>
          <w:highlight w:val="none"/>
          <w:lang w:val="en-US" w:eastAsia="zh-CN"/>
        </w:rPr>
      </w:pPr>
      <w:r>
        <w:rPr>
          <w:rFonts w:hint="eastAsia" w:ascii="宋体" w:hAnsi="宋体" w:eastAsia="宋体" w:cs="宋体"/>
          <w:b/>
          <w:bCs/>
          <w:color w:val="000000"/>
          <w:kern w:val="2"/>
          <w:sz w:val="32"/>
          <w:szCs w:val="32"/>
          <w:highlight w:val="none"/>
          <w:lang w:val="en-US" w:eastAsia="zh-CN" w:bidi="ar-SA"/>
        </w:rPr>
        <w:t xml:space="preserve">附件三： </w:t>
      </w:r>
      <w:r>
        <w:rPr>
          <w:rFonts w:hint="eastAsia" w:ascii="宋体" w:hAnsi="宋体" w:eastAsia="宋体" w:cs="宋体"/>
          <w:color w:val="000000"/>
          <w:sz w:val="32"/>
          <w:szCs w:val="32"/>
          <w:highlight w:val="none"/>
          <w:lang w:val="en-US" w:eastAsia="zh-CN"/>
        </w:rPr>
        <w:t xml:space="preserve"> </w:t>
      </w:r>
    </w:p>
    <w:p w14:paraId="7BF73EAF">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center"/>
        <w:textAlignment w:val="auto"/>
        <w:outlineLvl w:val="9"/>
        <w:rPr>
          <w:rFonts w:hint="eastAsia" w:ascii="黑体" w:hAnsi="黑体" w:eastAsia="黑体"/>
          <w:sz w:val="36"/>
          <w:szCs w:val="36"/>
          <w:highlight w:val="none"/>
        </w:rPr>
      </w:pPr>
      <w:r>
        <w:rPr>
          <w:rFonts w:hint="eastAsia" w:ascii="黑体" w:hAnsi="黑体" w:eastAsia="黑体"/>
          <w:sz w:val="36"/>
          <w:szCs w:val="36"/>
          <w:highlight w:val="none"/>
        </w:rPr>
        <w:t>信用查询截图</w:t>
      </w:r>
    </w:p>
    <w:p w14:paraId="389491BB">
      <w:pPr>
        <w:rPr>
          <w:rFonts w:hint="eastAsia"/>
          <w:highlight w:val="none"/>
        </w:rPr>
      </w:pPr>
      <w:r>
        <w:rPr>
          <w:rFonts w:hint="eastAsia"/>
          <w:highlight w:val="none"/>
        </w:rPr>
        <w:t>1</w:t>
      </w:r>
      <w:r>
        <w:rPr>
          <w:highlight w:val="none"/>
        </w:rPr>
        <w:t>.</w:t>
      </w:r>
      <w:r>
        <w:rPr>
          <w:rFonts w:hint="eastAsia"/>
          <w:highlight w:val="none"/>
        </w:rPr>
        <w:t xml:space="preserve"> 国家企业信用信息公示系统</w:t>
      </w:r>
    </w:p>
    <w:p w14:paraId="637EB989">
      <w:pPr>
        <w:rPr>
          <w:highlight w:val="none"/>
        </w:rPr>
      </w:pPr>
    </w:p>
    <w:p w14:paraId="5F18885A">
      <w:pPr>
        <w:rPr>
          <w:highlight w:val="none"/>
        </w:rPr>
      </w:pPr>
    </w:p>
    <w:p w14:paraId="761C03D4">
      <w:pPr>
        <w:rPr>
          <w:highlight w:val="none"/>
        </w:rPr>
      </w:pPr>
    </w:p>
    <w:p w14:paraId="1FC68C85">
      <w:pPr>
        <w:rPr>
          <w:highlight w:val="none"/>
        </w:rPr>
      </w:pPr>
    </w:p>
    <w:p w14:paraId="277A80EA">
      <w:pPr>
        <w:rPr>
          <w:highlight w:val="none"/>
        </w:rPr>
      </w:pPr>
    </w:p>
    <w:p w14:paraId="4AA3BD44">
      <w:pPr>
        <w:rPr>
          <w:highlight w:val="none"/>
        </w:rPr>
      </w:pPr>
    </w:p>
    <w:p w14:paraId="1EF4F373">
      <w:pPr>
        <w:rPr>
          <w:highlight w:val="none"/>
        </w:rPr>
      </w:pPr>
    </w:p>
    <w:p w14:paraId="79CB43F4">
      <w:pPr>
        <w:rPr>
          <w:highlight w:val="none"/>
        </w:rPr>
      </w:pPr>
    </w:p>
    <w:p w14:paraId="2C221341">
      <w:pPr>
        <w:rPr>
          <w:highlight w:val="none"/>
        </w:rPr>
      </w:pPr>
    </w:p>
    <w:p w14:paraId="3092C3FD">
      <w:pPr>
        <w:rPr>
          <w:highlight w:val="none"/>
        </w:rPr>
      </w:pPr>
    </w:p>
    <w:p w14:paraId="74CFC715">
      <w:pPr>
        <w:rPr>
          <w:highlight w:val="none"/>
        </w:rPr>
      </w:pPr>
    </w:p>
    <w:p w14:paraId="15C79B76">
      <w:pPr>
        <w:rPr>
          <w:highlight w:val="none"/>
        </w:rPr>
      </w:pPr>
    </w:p>
    <w:p w14:paraId="4C3D1999">
      <w:pPr>
        <w:rPr>
          <w:highlight w:val="none"/>
        </w:rPr>
      </w:pPr>
    </w:p>
    <w:p w14:paraId="6EF86A92">
      <w:pPr>
        <w:rPr>
          <w:highlight w:val="none"/>
        </w:rPr>
      </w:pPr>
    </w:p>
    <w:p w14:paraId="49255637">
      <w:pPr>
        <w:rPr>
          <w:rFonts w:hint="eastAsia"/>
          <w:highlight w:val="none"/>
        </w:rPr>
      </w:pPr>
    </w:p>
    <w:p w14:paraId="2CFD286A">
      <w:pPr>
        <w:rPr>
          <w:rFonts w:hint="eastAsia"/>
          <w:highlight w:val="none"/>
        </w:rPr>
      </w:pPr>
    </w:p>
    <w:p w14:paraId="08A2C832">
      <w:pPr>
        <w:rPr>
          <w:highlight w:val="none"/>
        </w:rPr>
      </w:pPr>
    </w:p>
    <w:p w14:paraId="27D671F1">
      <w:pPr>
        <w:rPr>
          <w:highlight w:val="none"/>
        </w:rPr>
      </w:pPr>
    </w:p>
    <w:p w14:paraId="4F479EA4">
      <w:pPr>
        <w:rPr>
          <w:highlight w:val="none"/>
        </w:rPr>
      </w:pPr>
    </w:p>
    <w:p w14:paraId="1729AD82">
      <w:pPr>
        <w:rPr>
          <w:rFonts w:hint="eastAsia"/>
          <w:highlight w:val="none"/>
        </w:rPr>
      </w:pPr>
      <w:r>
        <w:rPr>
          <w:rFonts w:hint="eastAsia"/>
          <w:highlight w:val="none"/>
        </w:rPr>
        <w:t>2</w:t>
      </w:r>
      <w:r>
        <w:rPr>
          <w:highlight w:val="none"/>
        </w:rPr>
        <w:t>.</w:t>
      </w:r>
      <w:r>
        <w:rPr>
          <w:rFonts w:hint="eastAsia"/>
          <w:highlight w:val="none"/>
        </w:rPr>
        <w:t xml:space="preserve"> 信用中国</w:t>
      </w:r>
    </w:p>
    <w:p w14:paraId="3393B18A">
      <w:pPr>
        <w:rPr>
          <w:highlight w:val="none"/>
        </w:rPr>
      </w:pPr>
    </w:p>
    <w:p w14:paraId="503B4741">
      <w:pPr>
        <w:rPr>
          <w:highlight w:val="none"/>
        </w:rPr>
      </w:pPr>
    </w:p>
    <w:p w14:paraId="440F8B86">
      <w:pPr>
        <w:rPr>
          <w:highlight w:val="none"/>
        </w:rPr>
      </w:pPr>
    </w:p>
    <w:p w14:paraId="54FB13AD">
      <w:pPr>
        <w:rPr>
          <w:highlight w:val="none"/>
        </w:rPr>
      </w:pPr>
    </w:p>
    <w:p w14:paraId="19D1565F">
      <w:pPr>
        <w:rPr>
          <w:highlight w:val="none"/>
        </w:rPr>
      </w:pPr>
    </w:p>
    <w:p w14:paraId="22B3661F">
      <w:pPr>
        <w:rPr>
          <w:highlight w:val="none"/>
        </w:rPr>
      </w:pPr>
    </w:p>
    <w:p w14:paraId="61C578F0">
      <w:pPr>
        <w:rPr>
          <w:highlight w:val="none"/>
        </w:rPr>
      </w:pPr>
    </w:p>
    <w:p w14:paraId="776FC920">
      <w:pPr>
        <w:keepNext/>
        <w:keepLines/>
        <w:spacing w:before="260" w:after="260" w:line="416" w:lineRule="auto"/>
        <w:ind w:firstLine="420" w:firstLineChars="200"/>
        <w:jc w:val="both"/>
        <w:outlineLvl w:val="2"/>
        <w:rPr>
          <w:rFonts w:hint="eastAsia" w:ascii="宋体" w:hAnsi="宋体" w:eastAsia="宋体" w:cs="宋体"/>
          <w:b/>
          <w:bCs/>
          <w:color w:val="000000"/>
          <w:sz w:val="28"/>
          <w:szCs w:val="28"/>
          <w:highlight w:val="none"/>
        </w:rPr>
      </w:pPr>
      <w:r>
        <w:rPr>
          <w:rFonts w:hint="default" w:ascii="Arial" w:hAnsi="Arial" w:eastAsia="Arial" w:cs="Arial"/>
          <w:sz w:val="21"/>
          <w:szCs w:val="21"/>
          <w:highlight w:val="none"/>
          <w:lang w:val="en-US" w:eastAsia="zh-CN"/>
        </w:rPr>
        <w:br w:type="page"/>
      </w:r>
      <w:r>
        <w:rPr>
          <w:rFonts w:hint="eastAsia" w:ascii="宋体" w:hAnsi="宋体" w:eastAsia="宋体" w:cs="宋体"/>
          <w:b/>
          <w:bCs/>
          <w:sz w:val="32"/>
          <w:szCs w:val="32"/>
          <w:highlight w:val="none"/>
          <w:lang w:val="en-US" w:eastAsia="zh-CN"/>
        </w:rPr>
        <w:t xml:space="preserve">附件四： </w:t>
      </w:r>
      <w:r>
        <w:rPr>
          <w:rFonts w:hint="eastAsia" w:ascii="宋体" w:hAnsi="宋体" w:eastAsia="宋体" w:cs="宋体"/>
          <w:b/>
          <w:bCs/>
          <w:sz w:val="28"/>
          <w:szCs w:val="28"/>
          <w:highlight w:val="none"/>
          <w:lang w:val="en-US" w:eastAsia="zh-CN"/>
        </w:rPr>
        <w:t xml:space="preserve">                     </w:t>
      </w:r>
      <w:r>
        <w:rPr>
          <w:rFonts w:hint="eastAsia" w:ascii="宋体" w:hAnsi="宋体" w:eastAsia="宋体" w:cs="宋体"/>
          <w:b/>
          <w:bCs/>
          <w:color w:val="000000"/>
          <w:sz w:val="28"/>
          <w:szCs w:val="28"/>
          <w:highlight w:val="none"/>
          <w:lang w:eastAsia="zh-CN"/>
        </w:rPr>
        <w:t>报价</w:t>
      </w:r>
      <w:r>
        <w:rPr>
          <w:rFonts w:hint="eastAsia" w:ascii="宋体" w:hAnsi="宋体" w:eastAsia="宋体" w:cs="宋体"/>
          <w:b/>
          <w:bCs/>
          <w:color w:val="000000"/>
          <w:sz w:val="28"/>
          <w:szCs w:val="28"/>
          <w:highlight w:val="none"/>
        </w:rPr>
        <w:t>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14:paraId="725C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noWrap w:val="0"/>
            <w:vAlign w:val="center"/>
          </w:tcPr>
          <w:p w14:paraId="13859180">
            <w:pPr>
              <w:widowControl/>
              <w:spacing w:line="360" w:lineRule="exact"/>
              <w:ind w:firstLine="482" w:firstLineChars="200"/>
              <w:jc w:val="cente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t>项 目 名 称</w:t>
            </w:r>
          </w:p>
        </w:tc>
        <w:tc>
          <w:tcPr>
            <w:tcW w:w="6876" w:type="dxa"/>
            <w:tcBorders>
              <w:top w:val="single" w:color="auto" w:sz="4" w:space="0"/>
              <w:bottom w:val="single" w:color="auto" w:sz="4" w:space="0"/>
              <w:right w:val="single" w:color="auto" w:sz="4" w:space="0"/>
            </w:tcBorders>
            <w:noWrap w:val="0"/>
            <w:vAlign w:val="center"/>
          </w:tcPr>
          <w:p w14:paraId="40176640">
            <w:pPr>
              <w:spacing w:line="360" w:lineRule="exact"/>
              <w:ind w:firstLine="480" w:firstLineChars="200"/>
              <w:jc w:val="center"/>
              <w:rPr>
                <w:rFonts w:hint="eastAsia" w:ascii="宋体" w:hAnsi="宋体" w:eastAsia="宋体" w:cs="宋体"/>
                <w:bCs/>
                <w:color w:val="000000"/>
                <w:sz w:val="24"/>
                <w:szCs w:val="22"/>
                <w:highlight w:val="none"/>
              </w:rPr>
            </w:pPr>
          </w:p>
        </w:tc>
      </w:tr>
      <w:tr w14:paraId="3FD0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noWrap w:val="0"/>
            <w:vAlign w:val="center"/>
          </w:tcPr>
          <w:p w14:paraId="661F11D3">
            <w:pPr>
              <w:spacing w:line="360" w:lineRule="exact"/>
              <w:ind w:firstLine="482" w:firstLineChars="200"/>
              <w:jc w:val="cente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lang w:eastAsia="zh-CN"/>
              </w:rPr>
              <w:t>合作方</w:t>
            </w:r>
            <w:r>
              <w:rPr>
                <w:rFonts w:hint="eastAsia" w:ascii="宋体" w:hAnsi="宋体" w:eastAsia="宋体" w:cs="宋体"/>
                <w:b/>
                <w:color w:val="000000"/>
                <w:sz w:val="24"/>
                <w:szCs w:val="22"/>
                <w:highlight w:val="none"/>
              </w:rPr>
              <w:t>全称</w:t>
            </w:r>
          </w:p>
        </w:tc>
        <w:tc>
          <w:tcPr>
            <w:tcW w:w="6876" w:type="dxa"/>
            <w:tcBorders>
              <w:top w:val="nil"/>
            </w:tcBorders>
            <w:noWrap w:val="0"/>
            <w:vAlign w:val="center"/>
          </w:tcPr>
          <w:p w14:paraId="6E94330F">
            <w:pPr>
              <w:spacing w:line="360" w:lineRule="auto"/>
              <w:ind w:firstLine="480" w:firstLineChars="200"/>
              <w:rPr>
                <w:rFonts w:hint="eastAsia" w:ascii="宋体" w:hAnsi="宋体" w:eastAsia="宋体" w:cs="宋体"/>
                <w:color w:val="000000"/>
                <w:sz w:val="24"/>
                <w:szCs w:val="22"/>
                <w:highlight w:val="none"/>
              </w:rPr>
            </w:pPr>
          </w:p>
        </w:tc>
      </w:tr>
      <w:tr w14:paraId="02307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noWrap w:val="0"/>
            <w:vAlign w:val="center"/>
          </w:tcPr>
          <w:p w14:paraId="24326BB9">
            <w:pPr>
              <w:spacing w:line="360" w:lineRule="exact"/>
              <w:ind w:firstLine="482" w:firstLineChars="200"/>
              <w:jc w:val="center"/>
              <w:rPr>
                <w:rFonts w:hint="eastAsia" w:ascii="宋体" w:hAnsi="宋体" w:eastAsia="宋体" w:cs="宋体"/>
                <w:b/>
                <w:color w:val="000000"/>
                <w:sz w:val="24"/>
                <w:szCs w:val="22"/>
                <w:highlight w:val="none"/>
                <w:lang w:eastAsia="zh-CN"/>
              </w:rPr>
            </w:pPr>
            <w:r>
              <w:rPr>
                <w:rFonts w:hint="eastAsia" w:ascii="宋体" w:hAnsi="宋体" w:eastAsia="宋体" w:cs="宋体"/>
                <w:b/>
                <w:color w:val="000000"/>
                <w:sz w:val="24"/>
                <w:szCs w:val="22"/>
                <w:highlight w:val="none"/>
                <w:lang w:eastAsia="zh-CN"/>
              </w:rPr>
              <w:t>保底</w:t>
            </w:r>
            <w:r>
              <w:rPr>
                <w:rFonts w:hint="eastAsia" w:ascii="宋体" w:hAnsi="宋体" w:eastAsia="宋体" w:cs="宋体"/>
                <w:b/>
                <w:color w:val="000000"/>
                <w:sz w:val="24"/>
                <w:szCs w:val="22"/>
                <w:highlight w:val="none"/>
                <w:lang w:val="en-US" w:eastAsia="zh-CN"/>
              </w:rPr>
              <w:t>报</w:t>
            </w:r>
            <w:r>
              <w:rPr>
                <w:rFonts w:hint="eastAsia" w:ascii="宋体" w:hAnsi="宋体" w:eastAsia="宋体" w:cs="宋体"/>
                <w:b/>
                <w:color w:val="000000"/>
                <w:sz w:val="24"/>
                <w:szCs w:val="22"/>
                <w:highlight w:val="none"/>
                <w:lang w:eastAsia="zh-CN"/>
              </w:rPr>
              <w:t>价</w:t>
            </w:r>
          </w:p>
        </w:tc>
        <w:tc>
          <w:tcPr>
            <w:tcW w:w="6876" w:type="dxa"/>
            <w:tcBorders>
              <w:top w:val="nil"/>
            </w:tcBorders>
            <w:noWrap w:val="0"/>
            <w:vAlign w:val="center"/>
          </w:tcPr>
          <w:p w14:paraId="6F58DBB6">
            <w:pPr>
              <w:spacing w:line="360" w:lineRule="auto"/>
              <w:ind w:right="-670" w:firstLine="480" w:firstLineChars="200"/>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u w:val="single"/>
              </w:rPr>
              <w:t xml:space="preserve">            </w:t>
            </w:r>
            <w:r>
              <w:rPr>
                <w:rFonts w:hint="eastAsia" w:ascii="宋体" w:hAnsi="宋体" w:eastAsia="宋体" w:cs="宋体"/>
                <w:color w:val="000000"/>
                <w:sz w:val="24"/>
                <w:szCs w:val="22"/>
                <w:highlight w:val="none"/>
                <w:u w:val="none"/>
              </w:rPr>
              <w:t xml:space="preserve"> </w:t>
            </w:r>
            <w:r>
              <w:rPr>
                <w:rFonts w:hint="eastAsia" w:ascii="宋体" w:hAnsi="宋体" w:eastAsia="宋体" w:cs="宋体"/>
                <w:color w:val="000000"/>
                <w:sz w:val="24"/>
                <w:szCs w:val="22"/>
                <w:highlight w:val="none"/>
                <w:u w:val="none"/>
                <w:lang w:val="en-US" w:eastAsia="zh-CN"/>
              </w:rPr>
              <w:t>万元/年</w:t>
            </w:r>
          </w:p>
        </w:tc>
      </w:tr>
      <w:tr w14:paraId="0C43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2471" w:type="dxa"/>
            <w:tcBorders>
              <w:top w:val="nil"/>
              <w:bottom w:val="nil"/>
            </w:tcBorders>
            <w:shd w:val="clear" w:color="auto" w:fill="auto"/>
            <w:noWrap w:val="0"/>
            <w:vAlign w:val="center"/>
          </w:tcPr>
          <w:p w14:paraId="67BE1C78">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eastAsia" w:ascii="宋体" w:hAnsi="宋体" w:eastAsia="宋体" w:cs="Times New Roman"/>
                <w:color w:val="000000"/>
                <w:spacing w:val="3"/>
                <w:kern w:val="2"/>
                <w:sz w:val="24"/>
                <w:szCs w:val="24"/>
                <w:highlight w:val="none"/>
                <w:lang w:val="en-US" w:eastAsia="zh-CN" w:bidi="ar-SA"/>
              </w:rPr>
            </w:pPr>
            <w:r>
              <w:rPr>
                <w:rFonts w:hint="eastAsia" w:ascii="宋体" w:hAnsi="宋体" w:eastAsia="宋体" w:cs="宋体"/>
                <w:b/>
                <w:color w:val="000000"/>
                <w:sz w:val="24"/>
                <w:szCs w:val="22"/>
                <w:highlight w:val="none"/>
                <w:lang w:val="en-US" w:eastAsia="zh-CN"/>
              </w:rPr>
              <w:t>基础分成比例报价（要求不少于35%）</w:t>
            </w:r>
          </w:p>
        </w:tc>
        <w:tc>
          <w:tcPr>
            <w:tcW w:w="6876" w:type="dxa"/>
            <w:tcBorders>
              <w:top w:val="nil"/>
              <w:bottom w:val="nil"/>
            </w:tcBorders>
            <w:noWrap w:val="0"/>
            <w:vAlign w:val="center"/>
          </w:tcPr>
          <w:p w14:paraId="23839CC7">
            <w:pPr>
              <w:spacing w:line="360" w:lineRule="auto"/>
              <w:ind w:firstLine="480" w:firstLineChars="200"/>
              <w:jc w:val="left"/>
              <w:rPr>
                <w:rFonts w:hint="default"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含税销售额的</w:t>
            </w:r>
            <w:r>
              <w:rPr>
                <w:rFonts w:hint="eastAsia" w:ascii="宋体" w:hAnsi="宋体" w:eastAsia="宋体" w:cs="宋体"/>
                <w:color w:val="000000"/>
                <w:sz w:val="24"/>
                <w:szCs w:val="22"/>
                <w:highlight w:val="none"/>
                <w:u w:val="single"/>
                <w:lang w:val="en-US" w:eastAsia="zh-CN"/>
              </w:rPr>
              <w:t xml:space="preserve">      </w:t>
            </w:r>
            <w:r>
              <w:rPr>
                <w:rFonts w:hint="eastAsia" w:ascii="宋体" w:hAnsi="宋体" w:eastAsia="宋体" w:cs="宋体"/>
                <w:color w:val="000000"/>
                <w:sz w:val="24"/>
                <w:szCs w:val="22"/>
                <w:highlight w:val="none"/>
                <w:lang w:val="en-US" w:eastAsia="zh-CN"/>
              </w:rPr>
              <w:t>%</w:t>
            </w:r>
          </w:p>
        </w:tc>
      </w:tr>
      <w:tr w14:paraId="056D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2471" w:type="dxa"/>
            <w:tcBorders>
              <w:top w:val="nil"/>
            </w:tcBorders>
            <w:shd w:val="clear" w:color="auto" w:fill="auto"/>
            <w:noWrap w:val="0"/>
            <w:vAlign w:val="center"/>
          </w:tcPr>
          <w:p w14:paraId="7CDB8FC8">
            <w:pPr>
              <w:keepNext w:val="0"/>
              <w:keepLines w:val="0"/>
              <w:pageBreakBefore w:val="0"/>
              <w:widowControl/>
              <w:kinsoku/>
              <w:wordWrap/>
              <w:overflowPunct/>
              <w:topLinePunct w:val="0"/>
              <w:autoSpaceDE/>
              <w:autoSpaceDN/>
              <w:bidi w:val="0"/>
              <w:adjustRightInd w:val="0"/>
              <w:snapToGrid w:val="0"/>
              <w:spacing w:line="240" w:lineRule="auto"/>
              <w:ind w:left="105" w:leftChars="50" w:right="0" w:rightChars="0" w:firstLine="0" w:firstLineChars="0"/>
              <w:jc w:val="center"/>
              <w:textAlignment w:val="auto"/>
              <w:rPr>
                <w:rFonts w:hint="default" w:ascii="宋体" w:hAnsi="宋体" w:eastAsia="宋体" w:cs="Times New Roman"/>
                <w:color w:val="000000"/>
                <w:spacing w:val="3"/>
                <w:kern w:val="2"/>
                <w:sz w:val="24"/>
                <w:szCs w:val="24"/>
                <w:highlight w:val="none"/>
                <w:lang w:val="en-US" w:eastAsia="zh-CN" w:bidi="ar-SA"/>
              </w:rPr>
            </w:pPr>
            <w:r>
              <w:rPr>
                <w:rFonts w:hint="eastAsia" w:ascii="宋体" w:hAnsi="宋体" w:eastAsia="宋体" w:cs="宋体"/>
                <w:b/>
                <w:color w:val="000000"/>
                <w:sz w:val="24"/>
                <w:szCs w:val="22"/>
                <w:highlight w:val="none"/>
                <w:lang w:val="en-US" w:eastAsia="zh-CN"/>
              </w:rPr>
              <w:t>阶梯分成比例报价（要求高于A分成比例报价）</w:t>
            </w:r>
          </w:p>
        </w:tc>
        <w:tc>
          <w:tcPr>
            <w:tcW w:w="6876" w:type="dxa"/>
            <w:tcBorders>
              <w:top w:val="nil"/>
            </w:tcBorders>
            <w:noWrap w:val="0"/>
            <w:vAlign w:val="center"/>
          </w:tcPr>
          <w:p w14:paraId="5B6EAB3E">
            <w:pPr>
              <w:spacing w:line="360" w:lineRule="auto"/>
              <w:ind w:firstLine="480" w:firstLineChars="200"/>
              <w:jc w:val="left"/>
              <w:rPr>
                <w:rFonts w:hint="eastAsia" w:ascii="宋体" w:hAnsi="宋体" w:eastAsia="宋体" w:cs="宋体"/>
                <w:color w:val="000000"/>
                <w:sz w:val="24"/>
                <w:szCs w:val="22"/>
                <w:highlight w:val="none"/>
                <w:lang w:val="en-US" w:eastAsia="zh-CN"/>
              </w:rPr>
            </w:pPr>
            <w:r>
              <w:rPr>
                <w:rFonts w:hint="eastAsia" w:ascii="宋体" w:hAnsi="宋体" w:eastAsia="宋体" w:cs="宋体"/>
                <w:color w:val="000000"/>
                <w:sz w:val="24"/>
                <w:szCs w:val="22"/>
                <w:highlight w:val="none"/>
                <w:lang w:val="en-US" w:eastAsia="zh-CN"/>
              </w:rPr>
              <w:t>含税销售额的</w:t>
            </w:r>
            <w:r>
              <w:rPr>
                <w:rFonts w:hint="eastAsia" w:ascii="宋体" w:hAnsi="宋体" w:eastAsia="宋体" w:cs="宋体"/>
                <w:color w:val="000000"/>
                <w:sz w:val="24"/>
                <w:szCs w:val="22"/>
                <w:highlight w:val="none"/>
                <w:u w:val="single"/>
                <w:lang w:val="en-US" w:eastAsia="zh-CN"/>
              </w:rPr>
              <w:t xml:space="preserve">      </w:t>
            </w:r>
            <w:r>
              <w:rPr>
                <w:rFonts w:hint="eastAsia" w:ascii="宋体" w:hAnsi="宋体" w:eastAsia="宋体" w:cs="宋体"/>
                <w:color w:val="000000"/>
                <w:sz w:val="24"/>
                <w:szCs w:val="22"/>
                <w:highlight w:val="none"/>
                <w:lang w:val="en-US" w:eastAsia="zh-CN"/>
              </w:rPr>
              <w:t>%</w:t>
            </w:r>
          </w:p>
        </w:tc>
      </w:tr>
    </w:tbl>
    <w:p w14:paraId="411A71B5">
      <w:pPr>
        <w:spacing w:before="100" w:beforeAutospacing="1" w:after="100" w:afterAutospacing="1" w:line="360" w:lineRule="auto"/>
        <w:ind w:firstLine="482" w:firstLineChars="200"/>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lang w:eastAsia="zh-CN"/>
        </w:rPr>
        <w:t>合作方</w:t>
      </w:r>
      <w:r>
        <w:rPr>
          <w:rFonts w:hint="eastAsia" w:ascii="宋体" w:hAnsi="宋体" w:eastAsia="宋体" w:cs="宋体"/>
          <w:b/>
          <w:color w:val="000000"/>
          <w:sz w:val="24"/>
          <w:szCs w:val="22"/>
          <w:highlight w:val="none"/>
        </w:rPr>
        <w:t xml:space="preserve">(公章)：                                  </w:t>
      </w:r>
    </w:p>
    <w:p w14:paraId="52A0A234">
      <w:pPr>
        <w:rPr>
          <w:rFonts w:hint="eastAsia" w:ascii="宋体" w:hAnsi="宋体" w:eastAsia="宋体" w:cs="宋体"/>
          <w:b/>
          <w:color w:val="000000"/>
          <w:sz w:val="24"/>
          <w:szCs w:val="22"/>
          <w:highlight w:val="none"/>
        </w:rPr>
      </w:pPr>
      <w:r>
        <w:rPr>
          <w:rFonts w:hint="eastAsia" w:ascii="宋体" w:hAnsi="宋体" w:eastAsia="宋体" w:cs="宋体"/>
          <w:b/>
          <w:color w:val="000000"/>
          <w:sz w:val="24"/>
          <w:szCs w:val="22"/>
          <w:highlight w:val="none"/>
        </w:rPr>
        <w:br w:type="page"/>
      </w:r>
    </w:p>
    <w:p w14:paraId="3C76C966">
      <w:pPr>
        <w:spacing w:before="100" w:beforeAutospacing="1" w:after="100" w:afterAutospacing="1" w:line="360" w:lineRule="auto"/>
        <w:ind w:firstLine="643" w:firstLineChars="200"/>
        <w:rPr>
          <w:rFonts w:hint="eastAsia" w:ascii="宋体" w:hAnsi="宋体" w:eastAsia="宋体" w:cs="宋体"/>
          <w:b/>
          <w:color w:val="000000"/>
          <w:sz w:val="24"/>
          <w:szCs w:val="22"/>
          <w:highlight w:val="none"/>
        </w:rPr>
      </w:pPr>
      <w:r>
        <w:rPr>
          <w:rFonts w:hint="eastAsia" w:ascii="宋体" w:hAnsi="宋体" w:eastAsia="宋体" w:cs="宋体"/>
          <w:b/>
          <w:bCs/>
          <w:sz w:val="32"/>
          <w:szCs w:val="32"/>
          <w:highlight w:val="none"/>
          <w:lang w:val="en-US" w:eastAsia="zh-CN"/>
        </w:rPr>
        <w:t>附件五：</w:t>
      </w:r>
      <w:r>
        <w:rPr>
          <w:rFonts w:hint="eastAsia" w:ascii="宋体" w:hAnsi="宋体" w:eastAsia="宋体" w:cs="宋体"/>
          <w:b/>
          <w:color w:val="000000"/>
          <w:sz w:val="32"/>
          <w:szCs w:val="28"/>
          <w:highlight w:val="none"/>
        </w:rPr>
        <w:t xml:space="preserve">   </w:t>
      </w:r>
      <w:r>
        <w:rPr>
          <w:rFonts w:hint="eastAsia" w:ascii="宋体" w:hAnsi="宋体" w:eastAsia="宋体" w:cs="宋体"/>
          <w:b/>
          <w:color w:val="000000"/>
          <w:sz w:val="24"/>
          <w:szCs w:val="22"/>
          <w:highlight w:val="none"/>
        </w:rPr>
        <w:t xml:space="preserve">   </w:t>
      </w:r>
    </w:p>
    <w:p w14:paraId="2A3D66CA">
      <w:pPr>
        <w:keepNext/>
        <w:keepLines/>
        <w:spacing w:before="260" w:after="260" w:line="416" w:lineRule="auto"/>
        <w:ind w:firstLine="562" w:firstLineChars="200"/>
        <w:jc w:val="center"/>
        <w:outlineLvl w:val="2"/>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其他相关证明材料</w:t>
      </w:r>
    </w:p>
    <w:p w14:paraId="4AEC88B0">
      <w:pPr>
        <w:rPr>
          <w:highlight w:val="none"/>
          <w:lang w:val="en-US" w:eastAsia="zh-CN"/>
        </w:rPr>
      </w:pPr>
    </w:p>
    <w:p w14:paraId="23FE183D">
      <w:pPr>
        <w:rPr>
          <w:highlight w:val="none"/>
          <w:lang w:val="en-US" w:eastAsia="zh-CN"/>
        </w:rPr>
      </w:pPr>
      <w:r>
        <w:rPr>
          <w:highlight w:val="none"/>
          <w:lang w:val="en-US" w:eastAsia="zh-CN"/>
        </w:rPr>
        <w:br w:type="page"/>
      </w:r>
    </w:p>
    <w:p w14:paraId="43CFE6AD">
      <w:pPr>
        <w:keepNext w:val="0"/>
        <w:keepLines w:val="0"/>
        <w:pageBreakBefore w:val="0"/>
        <w:widowControl w:val="0"/>
        <w:kinsoku/>
        <w:wordWrap/>
        <w:overflowPunct/>
        <w:topLinePunct w:val="0"/>
        <w:autoSpaceDE/>
        <w:autoSpaceDN/>
        <w:bidi w:val="0"/>
        <w:adjustRightInd/>
        <w:snapToGrid/>
        <w:spacing w:line="480" w:lineRule="atLeast"/>
        <w:jc w:val="cente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合肥野生动物园</w:t>
      </w:r>
      <w:r>
        <w:rPr>
          <w:rFonts w:hint="eastAsia" w:ascii="方正小标宋简体" w:hAnsi="方正小标宋简体" w:eastAsia="方正小标宋简体" w:cs="方正小标宋简体"/>
          <w:b w:val="0"/>
          <w:bCs w:val="0"/>
          <w:color w:val="000000" w:themeColor="text1"/>
          <w:sz w:val="32"/>
          <w:szCs w:val="32"/>
          <w:highlight w:val="none"/>
          <w:lang w:val="en-US" w:eastAsia="zh-CN"/>
          <w14:textFill>
            <w14:solidFill>
              <w14:schemeClr w14:val="tx1"/>
            </w14:solidFill>
          </w14:textFill>
        </w:rPr>
        <w:t>观光车服务项目</w:t>
      </w:r>
      <w:r>
        <w:rPr>
          <w:rFonts w:hint="eastAsia" w:ascii="方正小标宋简体" w:hAnsi="方正小标宋简体" w:eastAsia="方正小标宋简体" w:cs="方正小标宋简体"/>
          <w:b w:val="0"/>
          <w:bCs w:val="0"/>
          <w:color w:val="000000" w:themeColor="text1"/>
          <w:sz w:val="32"/>
          <w:szCs w:val="32"/>
          <w:highlight w:val="none"/>
          <w:lang w:eastAsia="zh-CN"/>
          <w14:textFill>
            <w14:solidFill>
              <w14:schemeClr w14:val="tx1"/>
            </w14:solidFill>
          </w14:textFill>
        </w:rPr>
        <w:t>经营权转让</w:t>
      </w:r>
      <w: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t>合同</w:t>
      </w:r>
    </w:p>
    <w:p w14:paraId="4C62BC74">
      <w:pPr>
        <w:keepNext w:val="0"/>
        <w:keepLines w:val="0"/>
        <w:pageBreakBefore w:val="0"/>
        <w:widowControl w:val="0"/>
        <w:kinsoku/>
        <w:wordWrap/>
        <w:overflowPunct/>
        <w:topLinePunct w:val="0"/>
        <w:autoSpaceDE/>
        <w:autoSpaceDN/>
        <w:bidi w:val="0"/>
        <w:adjustRightInd/>
        <w:snapToGrid/>
        <w:spacing w:line="480" w:lineRule="atLeast"/>
        <w:jc w:val="center"/>
        <w:rPr>
          <w:rFonts w:hint="eastAsia" w:ascii="方正小标宋简体" w:hAnsi="方正小标宋简体" w:eastAsia="方正小标宋简体" w:cs="方正小标宋简体"/>
          <w:b w:val="0"/>
          <w:bCs w:val="0"/>
          <w:color w:val="000000" w:themeColor="text1"/>
          <w:sz w:val="32"/>
          <w:szCs w:val="32"/>
          <w:highlight w:val="none"/>
          <w14:textFill>
            <w14:solidFill>
              <w14:schemeClr w14:val="tx1"/>
            </w14:solidFill>
          </w14:textFill>
        </w:rPr>
      </w:pPr>
    </w:p>
    <w:p w14:paraId="4F603F8B">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合肥文旅博览集团野生动物园管理有限公司</w:t>
      </w:r>
    </w:p>
    <w:p w14:paraId="2893EF91">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w:t>
      </w:r>
    </w:p>
    <w:p w14:paraId="42BBC560">
      <w:pPr>
        <w:keepNext w:val="0"/>
        <w:keepLines w:val="0"/>
        <w:pageBreakBefore w:val="0"/>
        <w:widowControl w:val="0"/>
        <w:numPr>
          <w:ilvl w:val="0"/>
          <w:numId w:val="6"/>
        </w:numPr>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乙双方根据《中华人民共和国民法典》规定，在协商一致的基础上，就甲、乙双方在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合肥野生动物园观光车服务项目经营权转让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事项</w:t>
      </w:r>
      <w:r>
        <w:rPr>
          <w:rFonts w:hint="eastAsia" w:ascii="仿宋_GB2312" w:hAnsi="仿宋_GB2312" w:eastAsia="仿宋_GB2312" w:cs="仿宋_GB2312"/>
          <w:color w:val="000000" w:themeColor="text1"/>
          <w:sz w:val="24"/>
          <w:szCs w:val="24"/>
          <w:highlight w:val="none"/>
          <w14:textFill>
            <w14:solidFill>
              <w14:schemeClr w14:val="tx1"/>
            </w14:solidFill>
          </w14:textFill>
        </w:rPr>
        <w:t>达成本合同。</w:t>
      </w:r>
    </w:p>
    <w:p w14:paraId="6F992F58">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第一条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基本合作内容</w:t>
      </w:r>
    </w:p>
    <w:p w14:paraId="6C2A5F7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名称：合肥野生动物园观光车服务项目</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66CCA58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服务内容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ED75D8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首批10台14座至少两款动物主题造型全新车辆设计及采购（后续根据实际运营需求，可酌情增加），场地改造建设，承担运营相关所有费用及安全责任；</w:t>
      </w:r>
    </w:p>
    <w:p w14:paraId="563CE4F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在园区开放时段内，为园区游客提供有偿乘车服务（含每辆车驾驶员全程游园讲解），以方便游客游览；</w:t>
      </w:r>
    </w:p>
    <w:p w14:paraId="3DE3717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在园区内免费为甲方接待工作提供接送服务；</w:t>
      </w:r>
    </w:p>
    <w:p w14:paraId="40C96B9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按照甲方的通知要求，无条件做好上级布置的临时性、阶段性（含检查、突击整治、重大节假日及活动等）的园区（内外）接待工作。</w:t>
      </w:r>
    </w:p>
    <w:p w14:paraId="1DC9FC39">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第二条  合同期限</w:t>
      </w:r>
    </w:p>
    <w:p w14:paraId="62A58E2E">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双方合作期限为3年，合同期限自2025年4月1日-2028年3月31日。自合同签订之日至2025</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1</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之前为乙方自行开展场地装修、车辆购置及车辆调试等事项的运营筹备期。在此期间不允许运营，乙方需确保2025年4月1日正式运营。</w:t>
      </w:r>
    </w:p>
    <w:p w14:paraId="73DD9723">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第三条  </w:t>
      </w: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合同金额与支付</w:t>
      </w:r>
    </w:p>
    <w:p w14:paraId="63EF2FB0">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1、合作模式：经营权转让。</w:t>
      </w:r>
      <w:r>
        <w:rPr>
          <w:rFonts w:hint="eastAsia" w:ascii="仿宋_GB2312" w:hAnsi="仿宋_GB2312" w:eastAsia="仿宋_GB2312" w:cs="仿宋_GB2312"/>
          <w:color w:val="auto"/>
          <w:sz w:val="24"/>
          <w:szCs w:val="24"/>
          <w:highlight w:val="none"/>
        </w:rPr>
        <w:t>甲方按照销售额（含税）的</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%收取收益分成。销售款项由甲方先行代收，按合同月结算，每个合同月结束后15天内甲乙双方进行对账并形成确认单。</w:t>
      </w:r>
    </w:p>
    <w:p w14:paraId="0DA63403">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2、合同金额与支付</w:t>
      </w:r>
      <w:r>
        <w:rPr>
          <w:rFonts w:hint="eastAsia" w:ascii="仿宋_GB2312" w:hAnsi="仿宋_GB2312" w:eastAsia="仿宋_GB2312" w:cs="仿宋_GB2312"/>
          <w:b/>
          <w:bCs/>
          <w:color w:val="000000" w:themeColor="text1"/>
          <w:sz w:val="24"/>
          <w:szCs w:val="24"/>
          <w:highlight w:val="none"/>
          <w:u w:val="single" w:color="FFFFFF" w:themeColor="background1"/>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本项目保底价：</w:t>
      </w:r>
      <w:r>
        <w:rPr>
          <w:rFonts w:hint="eastAsia" w:ascii="仿宋_GB2312" w:hAnsi="仿宋_GB2312" w:eastAsia="仿宋_GB2312" w:cs="仿宋_GB2312"/>
          <w:color w:val="000000" w:themeColor="text1"/>
          <w:sz w:val="24"/>
          <w:szCs w:val="24"/>
          <w:highlight w:val="none"/>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元</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highlight w:val="none"/>
          <w:u w:val="single" w:color="FFFFFF" w:themeColor="background1"/>
          <w:lang w:val="en-US" w:eastAsia="zh-CN"/>
          <w14:textFill>
            <w14:solidFill>
              <w14:schemeClr w14:val="tx1"/>
            </w14:solidFill>
          </w14:textFill>
        </w:rPr>
        <w:t>人民币：</w:t>
      </w:r>
      <w:r>
        <w:rPr>
          <w:rFonts w:hint="eastAsia" w:ascii="仿宋_GB2312" w:hAnsi="仿宋_GB2312" w:eastAsia="仿宋_GB2312" w:cs="仿宋_GB2312"/>
          <w:b w:val="0"/>
          <w:bCs w:val="0"/>
          <w:color w:val="000000" w:themeColor="text1"/>
          <w:sz w:val="24"/>
          <w:szCs w:val="24"/>
          <w:highlight w:val="none"/>
          <w:u w:val="single" w:color="auto"/>
          <w:lang w:val="en-US" w:eastAsia="zh-CN"/>
          <w14:textFill>
            <w14:solidFill>
              <w14:schemeClr w14:val="tx1"/>
            </w14:solidFill>
          </w14:textFill>
        </w:rPr>
        <w:t>（¥      元）</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每年在合作的第10个</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月对前9个</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合同月</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月收益分成进行汇总结算，甲方前9个</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月的分成款超过</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保底价时，则按分成款结算，若不足则按</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保底价结算（不足部分从乙方分成款扣除）。年度最后一个季度对全年应分成款进行核算，当全年应分成款≤保底价，最后一个季度甲方不再分成，营收款归乙方所有；当全年应分成款＞保底价，最后一个季度甲方按全年应分成款-前期已分成（或当前期分成不足保底价时已扣除的保底价）为甲方应得分成款。营收款项中扣除后仍达不到保底价部分乙方应在10个工作日内补齐，</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如未如期履约，甲方有权优先从履约保证金中抵扣不足部分，且</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甲方有权终止合同</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u w:val="single" w:color="FFFFFF" w:themeColor="background1"/>
          <w:lang w:eastAsia="zh-CN"/>
          <w14:textFill>
            <w14:solidFill>
              <w14:schemeClr w14:val="tx1"/>
            </w14:solidFill>
          </w14:textFill>
        </w:rPr>
        <w:t>不退还履约保证金。</w:t>
      </w:r>
    </w:p>
    <w:p w14:paraId="54FDA640">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u w:val="single" w:color="FFFFFF" w:themeColor="background1"/>
          <w:lang w:val="en-US" w:eastAsia="zh-CN"/>
          <w14:textFill>
            <w14:solidFill>
              <w14:schemeClr w14:val="tx1"/>
            </w14:solidFill>
          </w14:textFill>
        </w:rPr>
        <w:t>3、履约保证金：</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人民币：玖万壹仟伍佰元</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整</w:t>
      </w:r>
      <w:r>
        <w:rPr>
          <w:rFonts w:hint="eastAsia" w:ascii="仿宋_GB2312" w:hAnsi="仿宋_GB2312" w:eastAsia="仿宋_GB2312" w:cs="仿宋_GB2312"/>
          <w:color w:val="000000" w:themeColor="text1"/>
          <w:sz w:val="24"/>
          <w:szCs w:val="24"/>
          <w:highlight w:val="none"/>
          <w:u w:val="single" w:color="auto"/>
          <w:lang w:val="en-US" w:eastAsia="zh-CN"/>
          <w14:textFill>
            <w14:solidFill>
              <w14:schemeClr w14:val="tx1"/>
            </w14:solidFill>
          </w14:textFill>
        </w:rPr>
        <w:t>（¥91500元）</w:t>
      </w:r>
      <w:r>
        <w:rPr>
          <w:rFonts w:hint="eastAsia" w:ascii="仿宋_GB2312" w:hAnsi="仿宋_GB2312" w:eastAsia="仿宋_GB2312" w:cs="仿宋_GB2312"/>
          <w:color w:val="000000" w:themeColor="text1"/>
          <w:sz w:val="24"/>
          <w:szCs w:val="24"/>
          <w:highlight w:val="none"/>
          <w:u w:val="none" w:color="auto"/>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color="FFFFFF" w:themeColor="background1"/>
          <w:lang w:val="en-US" w:eastAsia="zh-CN"/>
          <w14:textFill>
            <w14:solidFill>
              <w14:schemeClr w14:val="tx1"/>
            </w14:solidFill>
          </w14:textFill>
        </w:rPr>
        <w:t>乙方应在签订合同前将履约保证金交付给甲方，如乙方合同有效期内无违约行为，合同终止后，结清所有费用、办清一切移交手续后30个工作日内将履约保证金不计息地退回给乙方；如乙方发生违约行为，则违约金将直接从履约保证金中扣除。</w:t>
      </w:r>
    </w:p>
    <w:p w14:paraId="62CDC90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合同</w:t>
      </w:r>
      <w:r>
        <w:rPr>
          <w:rFonts w:hint="eastAsia" w:ascii="仿宋_GB2312" w:hAnsi="仿宋_GB2312" w:eastAsia="仿宋_GB2312" w:cs="仿宋_GB2312"/>
          <w:color w:val="auto"/>
          <w:sz w:val="24"/>
          <w:szCs w:val="24"/>
          <w:highlight w:val="none"/>
        </w:rPr>
        <w:t>期间发生的水、电、网络等公共设施和公共能源费用由乙方缴纳。</w:t>
      </w:r>
      <w:r>
        <w:rPr>
          <w:rFonts w:hint="eastAsia" w:ascii="仿宋_GB2312" w:hAnsi="仿宋_GB2312" w:eastAsia="仿宋_GB2312" w:cs="仿宋_GB2312"/>
          <w:color w:val="auto"/>
          <w:sz w:val="24"/>
          <w:szCs w:val="24"/>
          <w:highlight w:val="none"/>
          <w:lang w:val="en-US" w:eastAsia="zh-CN"/>
        </w:rPr>
        <w:t>如有拖欠，对应月份分成不结算，待缴纳完毕甲方再支付对应月份结算款。</w:t>
      </w:r>
    </w:p>
    <w:p w14:paraId="134262AE">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甲方付款前，乙方应</w:t>
      </w:r>
      <w:r>
        <w:rPr>
          <w:rFonts w:hint="eastAsia" w:ascii="仿宋_GB2312" w:hAnsi="仿宋_GB2312" w:eastAsia="仿宋_GB2312" w:cs="仿宋_GB2312"/>
          <w:color w:val="auto"/>
          <w:sz w:val="24"/>
          <w:szCs w:val="24"/>
          <w:highlight w:val="none"/>
        </w:rPr>
        <w:t>当向甲方提供</w:t>
      </w:r>
      <w:r>
        <w:rPr>
          <w:rFonts w:hint="eastAsia" w:ascii="仿宋_GB2312" w:hAnsi="仿宋_GB2312" w:eastAsia="仿宋_GB2312" w:cs="仿宋_GB2312"/>
          <w:color w:val="auto"/>
          <w:sz w:val="24"/>
          <w:szCs w:val="24"/>
          <w:highlight w:val="none"/>
          <w:lang w:val="en-US" w:eastAsia="zh-CN"/>
        </w:rPr>
        <w:t>相应金额</w:t>
      </w:r>
      <w:r>
        <w:rPr>
          <w:rFonts w:hint="eastAsia" w:ascii="仿宋_GB2312" w:hAnsi="仿宋_GB2312" w:eastAsia="仿宋_GB2312" w:cs="仿宋_GB2312"/>
          <w:color w:val="auto"/>
          <w:sz w:val="24"/>
          <w:szCs w:val="24"/>
          <w:highlight w:val="none"/>
        </w:rPr>
        <w:t>的收据。</w:t>
      </w:r>
    </w:p>
    <w:p w14:paraId="633C2C56">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6</w:t>
      </w:r>
      <w:r>
        <w:rPr>
          <w:rFonts w:hint="eastAsia" w:ascii="仿宋_GB2312" w:hAnsi="仿宋_GB2312" w:eastAsia="仿宋_GB2312" w:cs="仿宋_GB2312"/>
          <w:b/>
          <w:bCs/>
          <w:color w:val="auto"/>
          <w:sz w:val="24"/>
          <w:szCs w:val="24"/>
          <w:highlight w:val="none"/>
        </w:rPr>
        <w:t>、甲方收款账户及开票信息:</w:t>
      </w:r>
    </w:p>
    <w:p w14:paraId="0D86345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公司名称：合肥文旅博览集团野生动物园管理有限公司</w:t>
      </w:r>
    </w:p>
    <w:p w14:paraId="774FCFD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纳税人识别号：91340100MAD15H6X3E</w:t>
      </w:r>
    </w:p>
    <w:p w14:paraId="4C203FC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地址：合肥市高新区望江西路600号</w:t>
      </w:r>
    </w:p>
    <w:p w14:paraId="1D3DF5A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电话：0551-65395530</w:t>
      </w:r>
    </w:p>
    <w:p w14:paraId="5295514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工行合肥包河支行</w:t>
      </w:r>
    </w:p>
    <w:p w14:paraId="55A8BEF2">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开户银行账号：1302010509200496628</w:t>
      </w:r>
    </w:p>
    <w:p w14:paraId="4E87847C">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7、乙方收款账户及开票信息：</w:t>
      </w:r>
    </w:p>
    <w:p w14:paraId="67DD4404">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公司名称：</w:t>
      </w:r>
    </w:p>
    <w:p w14:paraId="249CE456">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p w14:paraId="2F5ED754">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地址：</w:t>
      </w:r>
    </w:p>
    <w:p w14:paraId="1B961AF1">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
    <w:p w14:paraId="49B75AC1">
      <w:pPr>
        <w:keepNext w:val="0"/>
        <w:keepLines w:val="0"/>
        <w:pageBreakBefore w:val="0"/>
        <w:widowControl w:val="0"/>
        <w:numPr>
          <w:ilvl w:val="255"/>
          <w:numId w:val="0"/>
        </w:numPr>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开户行账号：</w:t>
      </w:r>
    </w:p>
    <w:p w14:paraId="52F0E023">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第四条、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车辆配置</w:t>
      </w:r>
    </w:p>
    <w:p w14:paraId="4F03730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1.营运车辆出厂时间在2022 年3月后，能适应合肥野生动物园园区内道路坡度大、坡路长、转弯多、转弯幅度大、人车混行等特点，确保安全行驶，运输能力满足园区游客乘车需求，同时符合环保要求。车型统一，动物主题造型，美观大方，带顶棚，有遮阳防雨功能，半封闭车门，在车的前后、左右均须安装符合规范的安全防护设施。</w:t>
      </w:r>
    </w:p>
    <w:p w14:paraId="72657830">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参数要求：</w:t>
      </w:r>
    </w:p>
    <w:p w14:paraId="4495ECC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（1）基础车辆（不含外部包装）</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外形尺寸(长×宽×高)mm：约5200*1500*2100（±50mm）</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6CA096F6">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乘坐人数：14座（含驾驶员）</w:t>
      </w:r>
    </w:p>
    <w:p w14:paraId="40C6F3CE">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电动机：7.5kW及以上的交流电机</w:t>
      </w:r>
    </w:p>
    <w:p w14:paraId="146B28B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控制器：要求专用72V交流控制系统（控制器需具有自动充电装置及功能;投标文件中提供具备该功能的第三方有权检测机构出具的证明文件或者检测报告扫描件证明）</w:t>
      </w:r>
    </w:p>
    <w:p w14:paraId="0ABA9CF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电池组:要求72V 380AH及以上锂电池（推荐锂电池品牌宁德时代、比亚迪、国轩高科、力神、亿纬锂能、中航锂电）</w:t>
      </w:r>
    </w:p>
    <w:p w14:paraId="0749606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最小制动距离（m）≤6</w:t>
      </w:r>
    </w:p>
    <w:p w14:paraId="0A46B43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最小离地间隙(空载)（mm）：≥130</w:t>
      </w:r>
    </w:p>
    <w:p w14:paraId="6D8E1BF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 xml:space="preserve">最高车速(满载)（km/h）：≤30 </w:t>
      </w:r>
    </w:p>
    <w:p w14:paraId="58E5795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（9）</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最小转弯半径（m）：≤6.5</w:t>
      </w:r>
    </w:p>
    <w:p w14:paraId="34A3C14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最大爬坡度(满载（%）：≥25</w:t>
      </w:r>
    </w:p>
    <w:p w14:paraId="41FD9B43">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（11）</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制动系统：配电动汽车真空助力刹车泵及前碟后鼓四轮液压刹车+手刹驻车装置</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7EC7EF0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（12）</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每辆车安装倒车影像及车载二路监控系统（车内前后监控摄像头）带存储1TB硬盘,车辆具有安全运行监控、预警、调度管理系统功能</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0A3AC91A">
      <w:pPr>
        <w:keepNext w:val="0"/>
        <w:keepLines w:val="0"/>
        <w:pageBreakBefore w:val="0"/>
        <w:widowControl w:val="0"/>
        <w:kinsoku/>
        <w:wordWrap/>
        <w:overflowPunct/>
        <w:topLinePunct w:val="0"/>
        <w:autoSpaceDE/>
        <w:autoSpaceDN/>
        <w:bidi w:val="0"/>
        <w:adjustRightInd/>
        <w:snapToGrid/>
        <w:spacing w:line="480" w:lineRule="atLeast"/>
        <w:ind w:left="479" w:leftChars="228" w:firstLine="0" w:firstLineChars="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注：乙方需</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上述</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功能的第三方有权检测机构出具的证明文件或者检测报告扫描件证</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1F856C86">
      <w:pPr>
        <w:keepNext w:val="0"/>
        <w:keepLines w:val="0"/>
        <w:pageBreakBefore w:val="0"/>
        <w:widowControl w:val="0"/>
        <w:kinsoku/>
        <w:wordWrap/>
        <w:overflowPunct/>
        <w:topLinePunct w:val="0"/>
        <w:autoSpaceDE/>
        <w:autoSpaceDN/>
        <w:bidi w:val="0"/>
        <w:adjustRightInd/>
        <w:snapToGrid/>
        <w:spacing w:line="480" w:lineRule="atLeast"/>
        <w:ind w:firstLine="480" w:firstLineChars="200"/>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3.符合最新《特种设备安全技术规范（观光车）》，并依法办理特种设备检验获得有效特种设备使用标志。</w:t>
      </w:r>
    </w:p>
    <w:p w14:paraId="4FC08F1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4.因考虑定制车辆需要一定的制作工期，合作方需在2025年4月1日正式运营前提供10辆14座新能源观光车保证园区观光车服务正常运营，暂定2025年4月</w:t>
      </w:r>
      <w:r>
        <w:rPr>
          <w:rFonts w:hint="eastAsia" w:ascii="仿宋_GB2312" w:hAnsi="仿宋_GB2312" w:eastAsia="仿宋_GB2312" w:cs="仿宋_GB2312"/>
          <w:b w:val="0"/>
          <w:bCs w:val="0"/>
          <w:color w:val="auto"/>
          <w:sz w:val="24"/>
          <w:szCs w:val="24"/>
          <w:highlight w:val="none"/>
          <w:lang w:val="en-US" w:eastAsia="zh-CN"/>
        </w:rPr>
        <w:t>25</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日前确保提供10辆按照招商方要求定制的动物造型主题包装全新新能源观光车投入运营，若无法如期提供，则视为违约，甲方有权无条件解除合同，由此造成的损失由乙方进行赔偿。</w:t>
      </w:r>
    </w:p>
    <w:p w14:paraId="59BEA64F">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 服务规范及质量要求</w:t>
      </w:r>
    </w:p>
    <w:p w14:paraId="09ACA89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乙方应按甲方要求做好观光车服务项目，服从甲方管理，遵守法律法规和</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相关规定，观光车服务及相关设施设备符合国家、地方和行业相关规定并达到项目服务要求：</w:t>
      </w:r>
    </w:p>
    <w:p w14:paraId="55579B5A">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（一）观光车线路及站点</w:t>
      </w:r>
    </w:p>
    <w:p w14:paraId="0A5F1F9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sz w:val="24"/>
          <w:szCs w:val="24"/>
          <w:highlight w:val="none"/>
        </w:rPr>
        <w:t>基本信息：</w:t>
      </w:r>
      <w:r>
        <w:rPr>
          <w:rFonts w:hint="eastAsia" w:ascii="仿宋_GB2312" w:hAnsi="仿宋_GB2312" w:eastAsia="仿宋_GB2312" w:cs="仿宋_GB2312"/>
          <w:sz w:val="24"/>
          <w:szCs w:val="24"/>
          <w:highlight w:val="none"/>
          <w:lang w:val="en-US" w:eastAsia="zh-CN"/>
        </w:rPr>
        <w:t>观光车</w:t>
      </w:r>
      <w:r>
        <w:rPr>
          <w:rFonts w:hint="eastAsia" w:ascii="仿宋_GB2312" w:hAnsi="仿宋_GB2312" w:eastAsia="仿宋_GB2312" w:cs="仿宋_GB2312"/>
          <w:sz w:val="24"/>
          <w:szCs w:val="24"/>
          <w:highlight w:val="none"/>
        </w:rPr>
        <w:t>全线长度约4km，经停</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个站点</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后续需根据园区整体规划，配合双方需求灵活调整线路长度和站点</w:t>
      </w:r>
      <w:r>
        <w:rPr>
          <w:rFonts w:hint="eastAsia" w:ascii="仿宋_GB2312" w:hAnsi="仿宋_GB2312" w:eastAsia="仿宋_GB2312" w:cs="仿宋_GB2312"/>
          <w:sz w:val="24"/>
          <w:szCs w:val="24"/>
          <w:highlight w:val="none"/>
          <w:lang w:eastAsia="zh-CN"/>
        </w:rPr>
        <w:t>。</w:t>
      </w:r>
    </w:p>
    <w:p w14:paraId="543C1A1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2.站点：起止站点的观光车专用人行通道须按</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入口要求配置相关设施设备，所有站点均需有明确标识、统一设施及样式。</w:t>
      </w:r>
    </w:p>
    <w:p w14:paraId="466455E3">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（二）观光车服务时间</w:t>
      </w:r>
    </w:p>
    <w:p w14:paraId="20D70CD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.每日</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0 至17:</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0为固定服务时间（根据乘客需要发车），</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下班前需完成园区所有购票游客的乘车接待。</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如有夜游等活动园区延时开放的，乙方需无条件配合甲方提供延时营业服务。</w:t>
      </w:r>
    </w:p>
    <w:p w14:paraId="4FCC256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..乙方应服从甲方在特殊时期（如</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春节</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五一”、“国庆”、“清明”等重大节假日期间）的安排，甲方可根据园区内游客分布及游客量情况，出于安全考虑，有权要求乙方停止观光车运营不超过10天(极端恶劣天气不计算在10天内），乙方不得提出补偿及其他要求。</w:t>
      </w:r>
    </w:p>
    <w:p w14:paraId="7265E234">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（三）服务质量</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要求</w:t>
      </w:r>
    </w:p>
    <w:p w14:paraId="5ABEEEE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1.观光车服务工作人员须统一着装,持证上岗，工作服装明显标识运营公司名称，每车配备对应司机台牌（台牌信息醒目易辨识），大门售票点按</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要求进行管理及工作人员全员公示（遇人员变更7天内完成更新）。在工作中要做到文明服务，态度热情，语言文明，耐心回答游客的问询，游客出现冲动或失礼时，应克制自己，保持冷静，严禁与游客发生争吵，不得以任何借口刁难游客。</w:t>
      </w:r>
    </w:p>
    <w:p w14:paraId="50F7B38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2.乙方全面负责动物园观光车运营及人员考勤，</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管理项目所有人员并定期对人员进行培训，培训内容包括驾驶技能、景点讲解、安全生产、客户服务和应急处理等内容，确保每位人员都能在入职前和入职后定期接受培训</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p w14:paraId="05EB80F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.上班时间不能在项目区域或周边聚众赌博、玩扑克或作出其他影响</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形象的行为。</w:t>
      </w:r>
    </w:p>
    <w:p w14:paraId="2EA58FC6">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.做到明码标价，明确各线路、站点及对应票价和购票要求，不得擅自提价或违规收费，并按规定提供正规票据（发票）给购票乘客。乘车票据需</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标明</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观光车路线、营运时间、联系电话、安全注意事项等必须信息。</w:t>
      </w:r>
    </w:p>
    <w:p w14:paraId="4B8958E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.组织好乘车游客的有序候车，防止拥挤，及时处理好候车检票中的事件。</w:t>
      </w:r>
    </w:p>
    <w:p w14:paraId="1F467FF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.观光车</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应按照固定站点停车，</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严格落实游客“不占位、不收费”的原则，对于已经满载的情况亦应在车辆显眼处及时做好“满员”标识。</w:t>
      </w:r>
    </w:p>
    <w:p w14:paraId="4D4F1B53">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.在服务时间内接到游客乘车需求，正常情况下10分钟内发车</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前往</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接送游客，非正当理由情况不得拒载。</w:t>
      </w:r>
    </w:p>
    <w:p w14:paraId="7E8D5E76">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.接到</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交给的接待任务时，须高度重视，积极配合，做好服务。</w:t>
      </w:r>
    </w:p>
    <w:p w14:paraId="1CAC093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.乙方运营时间内为</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接待事务</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提供免费乘车服务，用车需求另行通知，乙方做好配合工作，如无特殊约定，临时用车需求须在 10 分钟内发车接送。</w:t>
      </w:r>
    </w:p>
    <w:p w14:paraId="77A4BE1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10.合理安排观光车辆充电时间及夜间值班人员，以免因电量不足影响车辆运营。</w:t>
      </w:r>
    </w:p>
    <w:p w14:paraId="29BD45E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p>
    <w:p w14:paraId="79F50D10">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（四）安全生产</w:t>
      </w:r>
    </w:p>
    <w:p w14:paraId="3E1106C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1.在</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期内，发生一切安全事故，均由乙方承担全部责任。</w:t>
      </w:r>
    </w:p>
    <w:p w14:paraId="74AA7BC6">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乙方须建立完整的组织机构，特别是安全生产管理机构，制定和完善安全生产责任制和各项安全管理制度和规程并落实，按照《中华人民共和国安全生产法》配备专、兼职安全生产管理人员，明确和落实职责，做到“四有一无”，即：“有安全管理组织，有健全的安全管理制度；有完善的安全检查制度；法人代表必须每季度到场组织开展一次本项目的安全生产检查；有定期的安全培训制度；无安全事故发生”，并于每月 5 日前将上月观光车安全运营报表等台账报送甲方存档。</w:t>
      </w:r>
    </w:p>
    <w:p w14:paraId="007F7B0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.乙方参与运营的车辆必须证件齐全，及时办理</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相关保险购买、</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年检等相关手续，并及时</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将</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相关资料提供甲方备案，其中包括:（1）车辆出厂合格证；（2）厂内机动车辆监督检验报告</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p>
    <w:p w14:paraId="0B0B92B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.坚持“安全第一、预防为主”，驾驶员在早上出车前和下午下班前应认真检查车辆状况，确保车况良好，并</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做好车辆的日检、月检和年检工作并记录在案；</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车况异常的车辆不得参与运营，及时维修。</w:t>
      </w:r>
    </w:p>
    <w:p w14:paraId="3F0EDA1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.车辆管理监控完善，运营车辆均需配备有效车辆行车记录设备，确保行车记录设备使用正常，每月 5 日前提供上月所有车辆真实行驶数据给甲方。</w:t>
      </w:r>
    </w:p>
    <w:p w14:paraId="75C75BB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.驾驶员必须身体状况良好</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年龄20周岁及以上-4</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周岁及以下</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无不良嗜好和暴力倾向，且必须符合以下条件：</w:t>
      </w:r>
    </w:p>
    <w:p w14:paraId="1CC4216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驾驶员需持有N2特种设备操作人员证书；</w:t>
      </w:r>
    </w:p>
    <w:p w14:paraId="1219EE7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（2）上岗前 3 个工作日将司机有效驾驶证复印件和</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N2特种设备操作人员证书</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复印件交甲方备案（原件验证）；</w:t>
      </w:r>
    </w:p>
    <w:p w14:paraId="6B5697B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（3）已与乙方签订《行车安全责任状》，并交甲方备案；</w:t>
      </w:r>
    </w:p>
    <w:p w14:paraId="1CF5A63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（4）已接受岗前安全教育及职业道德教育，并进行适应性的跟车实习 2 天以上。</w:t>
      </w:r>
    </w:p>
    <w:p w14:paraId="11942D6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司机在行车时不得与乘客闲谈或做出接打手机等影响行车安全的行为。一经发现，甲方可对其进行警告，乙方将配合甲方要求对该司机进行教育，警告超过2次则辞退处理。严禁车辆超载或超重，严禁空档滑行，严禁司机酒后驾车，疲劳驾驶，车上严禁吸烟。</w:t>
      </w:r>
    </w:p>
    <w:p w14:paraId="1EC8A260">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8.开车前，向游客强调注意事项，检查座位安全防护设施确保正常使用，待全部游客坐稳并佩戴好安全带后，方可安全驶离停车点。如遇游客在途中上下车，则车辆必须减速直至停稳，方可上下车。</w:t>
      </w:r>
    </w:p>
    <w:p w14:paraId="3869107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.观光车辆在</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行驶途中，最高时速</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不超过</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 2</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公里</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/小时</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，人员较多、急弯处时速</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度最高不超过5</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公里</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/小时</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（非紧急情况）。</w:t>
      </w:r>
    </w:p>
    <w:p w14:paraId="0E4718D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当遇到大雨，大雾等可能导致路面发生安全隐患的，需及时检查行车路线，降低行车速度，确保通畅安全，并检查、备好雨帘、干抹布等特殊天气需用物品，并应根据情况适时停止营运。每月召开服务质量管理工作会议并做好记录，总结安全、服务质量情况，针对存在的安全、服务质量问题进行整改，布置和落实安全、服务质量管理工作措施，相关材料报甲方备案。</w:t>
      </w:r>
    </w:p>
    <w:p w14:paraId="1939CC1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.遇到</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发生突发应急事件，乙方应积极配合协助，免费提供即时运送服务。</w:t>
      </w:r>
    </w:p>
    <w:p w14:paraId="1BC8D20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.观光车营运车辆必须随车配备灭火器等安全设备，并确保设备完好、齐全、有效。</w:t>
      </w:r>
    </w:p>
    <w:p w14:paraId="064F7350">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签订</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《观光车安全生产责任书》，并切实执行。</w:t>
      </w:r>
    </w:p>
    <w:p w14:paraId="47925EAE">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（五）卫生要求</w:t>
      </w:r>
    </w:p>
    <w:p w14:paraId="7921DD6B">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1.服务部、候车点和停车场（具体区域现场划定）实行“门前三包”。做好清扫和全日保洁工作，确保无卫生死角，无乱堆乱放乱挂，无乱张贴小广告或“牛皮癣”，垃圾倒至指定地点，不得倒入</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内任何区域及周边绿化带。附带售票功能的各个站点设施或设备（例：指示牌、台凳、遮阳伞之类）需统一规范，美观大方，摆放有序。</w:t>
      </w:r>
    </w:p>
    <w:p w14:paraId="22E88E4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2.观光车外观须完整无损，车体洁净，挡风玻璃明亮，车身标识（贴纸）统一且无破损，座位整洁，没有明显脏污，车内无垃圾。</w:t>
      </w:r>
    </w:p>
    <w:p w14:paraId="22DBDB6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3.节约洗车和生活用水，用水后及时清扫，垃圾倒至指定地点，避免地面积水、水渠阻塞、污染环境。</w:t>
      </w:r>
    </w:p>
    <w:p w14:paraId="389B0F4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4.如因卫生问题致使甲方请人清扫处理，所需运费及清洁费用，在乙方的履约保证金中扣除。</w:t>
      </w:r>
    </w:p>
    <w:p w14:paraId="4D9A035D">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  服务质量监管</w:t>
      </w:r>
    </w:p>
    <w:p w14:paraId="7F9AB1C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（一）甲方可随时按本合同规定检查乙方的服务规范和质量。</w:t>
      </w:r>
    </w:p>
    <w:p w14:paraId="33060D1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二）乙方需配备一位项目负责人，每月驻场时间不少于22天，不在项目现场时则需指定一位项目代理负责人处理现场事务，并向甲方报备。如更换项目负责人需提前一个月向甲方申请，经甲方同意后可执行，新老项目经理需同时在岗一个月，保证工作顺利交接。</w:t>
      </w:r>
      <w:r>
        <w:rPr>
          <w:rFonts w:hint="eastAsia" w:ascii="仿宋_GB2312" w:hAnsi="仿宋_GB2312" w:eastAsia="仿宋_GB2312" w:cs="仿宋_GB2312"/>
          <w:b/>
          <w:bCs/>
          <w:color w:val="auto"/>
          <w:sz w:val="24"/>
          <w:szCs w:val="24"/>
          <w:highlight w:val="none"/>
          <w:lang w:val="en-US" w:eastAsia="zh-CN"/>
        </w:rPr>
        <w:t>项目经理工作职责：</w:t>
      </w:r>
      <w:r>
        <w:rPr>
          <w:rFonts w:hint="eastAsia" w:ascii="仿宋_GB2312" w:hAnsi="仿宋_GB2312" w:eastAsia="仿宋_GB2312" w:cs="仿宋_GB2312"/>
          <w:b w:val="0"/>
          <w:bCs w:val="0"/>
          <w:color w:val="auto"/>
          <w:sz w:val="24"/>
          <w:szCs w:val="24"/>
          <w:highlight w:val="none"/>
          <w:lang w:val="en-US" w:eastAsia="zh-CN"/>
        </w:rPr>
        <w:t>①在服从园区运营要求的条件下，负责园区观光车队的队伍建设和日常管理工作。</w:t>
      </w:r>
    </w:p>
    <w:p w14:paraId="38D7E55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②负责做好司机思想工作，定期进行安全教育，并制定业务报表。</w:t>
      </w:r>
    </w:p>
    <w:p w14:paraId="3879AD3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③组织员工进行安全教育、培训，提高驾驶员的安全意识，提高遵守各项规章制度的自觉性。</w:t>
      </w:r>
    </w:p>
    <w:p w14:paraId="6450C3C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④根据乘客流量，适时准确合理地调配车辆，指挥督促车辆安全运行，并对车辆安全全面负责。</w:t>
      </w:r>
    </w:p>
    <w:p w14:paraId="1F84E34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⑤做好车辆的维护、保养计划，并组织落实。对维护、保养、检查全过程负责，并做好详细的记录。</w:t>
      </w:r>
    </w:p>
    <w:p w14:paraId="06D13C1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⑥认真做好营运车辆排班和统计工作。</w:t>
      </w:r>
    </w:p>
    <w:p w14:paraId="31009503">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⑦严格日常管理，检查和纠正驾驶员违章行为。统筹安排车队工作内容，调动员工积极性，按有关规章制度做好后勤工作及奖惩工作。</w:t>
      </w:r>
    </w:p>
    <w:p w14:paraId="7E7F998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⑧坚持长期巡视检查与现场管理工作，发现问题及时处理，并及时报告主管领导。</w:t>
      </w:r>
    </w:p>
    <w:p w14:paraId="463A775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⑨对车辆资料进行整理、分类、归档、存档，健全车辆档案及驾驶员档案。</w:t>
      </w:r>
    </w:p>
    <w:p w14:paraId="69AD21C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⑩做好车辆安全检查，负责落实车辆日检、定期检查、维护、保养工作，做出相应的安排对其全面负责。</w:t>
      </w:r>
    </w:p>
    <w:p w14:paraId="01C9DF2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⑪定期组织员工进行紧急救援演习，做好应急预案工作，做好应急准备和各种应急资源的保障措施。</w:t>
      </w:r>
    </w:p>
    <w:p w14:paraId="505D78E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⑫本着优先领导用车和优先业务用车的原则，合理调度车辆，确保园区经营活动正常开展。</w:t>
      </w:r>
    </w:p>
    <w:p w14:paraId="20E6900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三</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）投诉处理</w:t>
      </w:r>
    </w:p>
    <w:p w14:paraId="21A81F4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1.减少投诉曝光数量。</w:t>
      </w:r>
    </w:p>
    <w:p w14:paraId="5C3FEC7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2.接到投诉后，做好记录台账，由乙方按照“四不放过（</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即</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事故原因未查清不放过、责任人员未处理不放过、责任人和群众未受教育不放过、整改措施未落实不放过）”原则及时处理。</w:t>
      </w:r>
    </w:p>
    <w:p w14:paraId="26E6C20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乙方须及时收集相关证据，进行调查，并形成书面汇报（包括处理方案）上报甲方审核，按相关规定进行处理，并由甲方反馈投诉人。注意保护投诉人的权利，不得以任何形式进行打击报复。投诉涉及车辆行驶相关问题的,乙方须向甲方提供涉事车辆当期行驶真实数据（包括但不限于时间、车速、定位、车内外影像录音等），如无法提供，按违约处理。</w:t>
      </w:r>
    </w:p>
    <w:p w14:paraId="3346C68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4.对于信访投诉、媒体曝光等出现的问题在核实事实后，未及时依照相关法律、法规和制度进行处理，落实整改的，按违约处理。</w:t>
      </w:r>
    </w:p>
    <w:p w14:paraId="3ED6503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三）乙方负责本项目乙方相关人员的思想教育，专业培训，安全教育培训，做到遵纪守法。乙方必须每季度开展一次观光车服务项目安全生产检查且法人代表必须现场参与，必须每年至少组织开展观光车服务专项安全应急演练和突发事故应急演练各一次，并提前通知甲方参与或到场监督。</w:t>
      </w:r>
    </w:p>
    <w:p w14:paraId="47A6E56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（四）乙方对于</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观光车票价</w:t>
      </w:r>
      <w:r>
        <w:rPr>
          <w:rFonts w:hint="eastAsia" w:ascii="仿宋_GB2312" w:hAnsi="仿宋_GB2312" w:eastAsia="仿宋_GB2312" w:cs="仿宋_GB2312"/>
          <w:b w:val="0"/>
          <w:bCs w:val="0"/>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val="0"/>
          <w:bCs w:val="0"/>
          <w:color w:val="auto"/>
          <w:sz w:val="24"/>
          <w:szCs w:val="24"/>
          <w:highlight w:val="none"/>
          <w:lang w:val="en-US" w:eastAsia="zh-CN"/>
        </w:rPr>
        <w:t>当前票价20元/位）</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、站点、线路及服务车型的调整需要征得甲方同意，同时无条件配合相关部门要求提供包含但不限于财务、营运等材料，并确保其真实性与合法性，否则按违约处理。</w:t>
      </w:r>
    </w:p>
    <w:p w14:paraId="3242B99E">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（五）乙方不得在</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园区</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内开展与</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合肥野生动物园</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观光无关的活动或宣传，如欲更改场地或车辆的装修或布置对外告示及宣传广告物品时，必须事先得到甲方书面同意后，方可进行，否则按违约处理。</w:t>
      </w:r>
    </w:p>
    <w:p w14:paraId="20AC62E1">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 xml:space="preserve">第七条 </w:t>
      </w:r>
      <w:r>
        <w:rPr>
          <w:rFonts w:hint="eastAsia" w:ascii="仿宋_GB2312" w:hAnsi="仿宋_GB2312" w:eastAsia="仿宋_GB2312" w:cs="仿宋_GB2312"/>
          <w:b/>
          <w:bCs/>
          <w:color w:val="auto"/>
          <w:sz w:val="24"/>
          <w:szCs w:val="24"/>
          <w:highlight w:val="none"/>
        </w:rPr>
        <w:t>甲方权利义务</w:t>
      </w:r>
    </w:p>
    <w:p w14:paraId="679FDC6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甲方有权维护国家合法权益以及自身合理权益不受侵害。</w:t>
      </w:r>
    </w:p>
    <w:p w14:paraId="06386206">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2、观光车</w:t>
      </w:r>
      <w:r>
        <w:rPr>
          <w:rFonts w:hint="eastAsia" w:ascii="仿宋_GB2312" w:hAnsi="仿宋_GB2312" w:eastAsia="仿宋_GB2312" w:cs="仿宋_GB2312"/>
          <w:color w:val="000000" w:themeColor="text1"/>
          <w:sz w:val="24"/>
          <w:szCs w:val="24"/>
          <w:highlight w:val="none"/>
          <w14:textFill>
            <w14:solidFill>
              <w14:schemeClr w14:val="tx1"/>
            </w14:solidFill>
          </w14:textFill>
        </w:rPr>
        <w:t>的日常经营和管理工作由乙方负责，乙方的经营活动，必须遵守国家法律、法规，并接受有关职能部门的检查、监督，甲方对乙方进行运营管理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在不干涉乙方正常经营活动的前提下有权对乙方进行监督</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和了解</w:t>
      </w:r>
      <w:r>
        <w:rPr>
          <w:rFonts w:hint="eastAsia" w:ascii="仿宋_GB2312" w:hAnsi="仿宋_GB2312" w:eastAsia="仿宋_GB2312" w:cs="仿宋_GB2312"/>
          <w:color w:val="000000" w:themeColor="text1"/>
          <w:sz w:val="24"/>
          <w:szCs w:val="24"/>
          <w:highlight w:val="none"/>
          <w14:textFill>
            <w14:solidFill>
              <w14:schemeClr w14:val="tx1"/>
            </w14:solidFill>
          </w14:textFill>
        </w:rPr>
        <w:t>，对于乙方可能发生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或</w:t>
      </w:r>
      <w:r>
        <w:rPr>
          <w:rFonts w:hint="eastAsia" w:ascii="仿宋_GB2312" w:hAnsi="仿宋_GB2312" w:eastAsia="仿宋_GB2312" w:cs="仿宋_GB2312"/>
          <w:color w:val="000000" w:themeColor="text1"/>
          <w:sz w:val="24"/>
          <w:szCs w:val="24"/>
          <w:highlight w:val="none"/>
          <w14:textFill>
            <w14:solidFill>
              <w14:schemeClr w14:val="tx1"/>
            </w14:solidFill>
          </w14:textFill>
        </w:rPr>
        <w:t>已经发生的损害双方合作基础、甲方权益、公共利益以及违法违规行为</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甲方有权</w:t>
      </w:r>
      <w:r>
        <w:rPr>
          <w:rFonts w:hint="eastAsia" w:ascii="仿宋_GB2312" w:hAnsi="仿宋_GB2312" w:eastAsia="仿宋_GB2312" w:cs="仿宋_GB2312"/>
          <w:color w:val="000000" w:themeColor="text1"/>
          <w:sz w:val="24"/>
          <w:szCs w:val="24"/>
          <w:highlight w:val="none"/>
          <w14:textFill>
            <w14:solidFill>
              <w14:schemeClr w14:val="tx1"/>
            </w14:solidFill>
          </w14:textFill>
        </w:rPr>
        <w:t>进行制止和要求纠正。</w:t>
      </w:r>
    </w:p>
    <w:p w14:paraId="2AEEC5B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所有</w:t>
      </w:r>
      <w:r>
        <w:rPr>
          <w:rFonts w:hint="eastAsia" w:ascii="仿宋_GB2312" w:hAnsi="仿宋_GB2312" w:eastAsia="仿宋_GB2312" w:cs="仿宋_GB2312"/>
          <w:color w:val="000000" w:themeColor="text1"/>
          <w:sz w:val="24"/>
          <w:szCs w:val="24"/>
          <w:highlight w:val="none"/>
          <w14:textFill>
            <w14:solidFill>
              <w14:schemeClr w14:val="tx1"/>
            </w14:solidFill>
          </w14:textFill>
        </w:rPr>
        <w:t>营收款项统一进入甲方指定的账户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自行采购的收银系统需与</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w:t>
      </w:r>
      <w:r>
        <w:rPr>
          <w:rFonts w:hint="eastAsia" w:ascii="仿宋_GB2312" w:hAnsi="仿宋_GB2312" w:eastAsia="仿宋_GB2312" w:cs="仿宋_GB2312"/>
          <w:color w:val="000000" w:themeColor="text1"/>
          <w:sz w:val="24"/>
          <w:szCs w:val="24"/>
          <w:highlight w:val="none"/>
          <w14:textFill>
            <w14:solidFill>
              <w14:schemeClr w14:val="tx1"/>
            </w14:solidFill>
          </w14:textFill>
        </w:rPr>
        <w:t>方要求的保持一致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乙方负责日常经营及收款工作，收银手续费由乙方承担。</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乙方不得绕过甲方直接对外收取销售款</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如经发现则甲方有权终止合同。</w:t>
      </w:r>
      <w:r>
        <w:rPr>
          <w:rFonts w:hint="eastAsia" w:ascii="仿宋_GB2312" w:hAnsi="仿宋_GB2312" w:eastAsia="仿宋_GB2312" w:cs="仿宋_GB2312"/>
          <w:color w:val="000000" w:themeColor="text1"/>
          <w:sz w:val="24"/>
          <w:szCs w:val="24"/>
          <w:highlight w:val="none"/>
          <w14:textFill>
            <w14:solidFill>
              <w14:schemeClr w14:val="tx1"/>
            </w14:solidFill>
          </w14:textFill>
        </w:rPr>
        <w:t>如消费者直接用现金支付的，乙方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月底统一将现金销售款的金额打款至甲方指定账户。</w:t>
      </w:r>
    </w:p>
    <w:p w14:paraId="7806B9A3">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甲方为乙方提供观光车线路，观光车起止站点、上下客及车辆掉头、有序停放及车辆指（挥）引场地，观光车专用人行通道、观光车车棚（不包括职工车棚）场地（不含建设及维修）做观光车服务项目相关使用，并将南门大门一处固定点位提供给乙方作为售票服务点。甲方保有景区大门停车场、观光车车棚的优先使用权、管理权及所有权，乙方如需调整停放或运营的车辆，需征得甲方同意。</w:t>
      </w:r>
    </w:p>
    <w:p w14:paraId="453A1D4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b w:val="0"/>
          <w:bCs w:val="0"/>
          <w:i w:val="0"/>
          <w:iCs w:val="0"/>
          <w:caps w:val="0"/>
          <w:color w:val="000000" w:themeColor="text1"/>
          <w:spacing w:val="0"/>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未经甲方书面同意，乙方不得更改</w:t>
      </w:r>
      <w:r>
        <w:rPr>
          <w:rFonts w:hint="eastAsia" w:ascii="仿宋_GB2312" w:hAnsi="仿宋_GB2312" w:eastAsia="仿宋_GB2312" w:cs="仿宋_GB2312"/>
          <w:b w:val="0"/>
          <w:bCs w:val="0"/>
          <w:i w:val="0"/>
          <w:iCs w:val="0"/>
          <w:caps w:val="0"/>
          <w:color w:val="000000" w:themeColor="text1"/>
          <w:spacing w:val="0"/>
          <w:sz w:val="24"/>
          <w:szCs w:val="24"/>
          <w:highlight w:val="none"/>
          <w:lang w:eastAsia="zh-CN"/>
          <w14:textFill>
            <w14:solidFill>
              <w14:schemeClr w14:val="tx1"/>
            </w14:solidFill>
          </w14:textFill>
        </w:rPr>
        <w:t>经营权转让</w:t>
      </w:r>
      <w:r>
        <w:rPr>
          <w:rFonts w:hint="eastAsia" w:ascii="仿宋_GB2312" w:hAnsi="仿宋_GB2312" w:eastAsia="仿宋_GB2312" w:cs="仿宋_GB2312"/>
          <w:b w:val="0"/>
          <w:bCs w:val="0"/>
          <w:i w:val="0"/>
          <w:iCs w:val="0"/>
          <w:caps w:val="0"/>
          <w:color w:val="000000" w:themeColor="text1"/>
          <w:spacing w:val="0"/>
          <w:sz w:val="24"/>
          <w:szCs w:val="24"/>
          <w:highlight w:val="none"/>
          <w14:textFill>
            <w14:solidFill>
              <w14:schemeClr w14:val="tx1"/>
            </w14:solidFill>
          </w14:textFill>
        </w:rPr>
        <w:t>项目的经营范围</w:t>
      </w:r>
      <w:r>
        <w:rPr>
          <w:rFonts w:hint="eastAsia" w:ascii="仿宋_GB2312" w:hAnsi="仿宋_GB2312" w:eastAsia="仿宋_GB2312" w:cs="仿宋_GB2312"/>
          <w:b w:val="0"/>
          <w:bCs w:val="0"/>
          <w:i w:val="0"/>
          <w:iCs w:val="0"/>
          <w:caps w:val="0"/>
          <w:color w:val="000000" w:themeColor="text1"/>
          <w:spacing w:val="0"/>
          <w:sz w:val="24"/>
          <w:szCs w:val="24"/>
          <w:highlight w:val="none"/>
          <w:lang w:eastAsia="zh-CN"/>
          <w14:textFill>
            <w14:solidFill>
              <w14:schemeClr w14:val="tx1"/>
            </w14:solidFill>
          </w14:textFill>
        </w:rPr>
        <w:t>。</w:t>
      </w:r>
    </w:p>
    <w:p w14:paraId="46CF7A8A">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baseline"/>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第八条 乙方的权利与义务</w:t>
      </w:r>
    </w:p>
    <w:p w14:paraId="679DBF5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r>
        <w:rPr>
          <w:rFonts w:hint="default" w:ascii="仿宋_GB2312" w:hAnsi="仿宋_GB2312" w:eastAsia="仿宋_GB2312" w:cs="仿宋_GB2312"/>
          <w:color w:val="auto"/>
          <w:sz w:val="24"/>
          <w:szCs w:val="24"/>
          <w:highlight w:val="none"/>
          <w:lang w:val="en-US" w:eastAsia="zh-CN"/>
        </w:rPr>
        <w:t>乙方</w:t>
      </w:r>
      <w:r>
        <w:rPr>
          <w:rFonts w:hint="eastAsia" w:ascii="仿宋_GB2312" w:hAnsi="仿宋_GB2312" w:eastAsia="仿宋_GB2312" w:cs="仿宋_GB2312"/>
          <w:color w:val="auto"/>
          <w:sz w:val="24"/>
          <w:szCs w:val="24"/>
          <w:highlight w:val="none"/>
          <w:lang w:val="en-US" w:eastAsia="zh-CN"/>
        </w:rPr>
        <w:t>应按项目服务要求聘用人员、开展人员培训、配备服务车辆并提供出厂检验合格证、《中华人民共和国特种设备制造许可证》等相关材料），在签订合同后15天内将工作人员聘用情况（包括但不限于劳动合同、持证上岗材料）、车辆设备购置到场材料（包括但不限于车辆及相关设备权属合作方的证明、车辆设备配置信息）交由甲方审核，审核合格后才可进场运营。</w:t>
      </w:r>
    </w:p>
    <w:p w14:paraId="4901EAC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须合法经营，自负盈亏，乙方应自行承担因履行合同所产生的债权债务等一切经济责任；自觉遵守各项管理规定（包括但不限于治安、交通、消防、税务、劳动法律法规等），及时办理此项目的一切合法经营手续及按时缴纳各项税款及按规定应要缴纳的各种费用（包括但不限于工商、税务、交运、物价、保险、安全相关证照），乙方因违反相关规定而导致的行政和经济责任，或违法经营而受到处罚，均由乙方自行承担相应责任。由此而给甲方造成损失的，甲方有权向乙方追偿。</w:t>
      </w:r>
    </w:p>
    <w:p w14:paraId="2B9B1CF3">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、乙方应当承担对</w:t>
      </w:r>
      <w:r>
        <w:rPr>
          <w:rFonts w:hint="eastAsia" w:ascii="仿宋_GB2312" w:hAnsi="仿宋_GB2312" w:eastAsia="仿宋_GB2312" w:cs="仿宋_GB2312"/>
          <w:color w:val="auto"/>
          <w:sz w:val="24"/>
          <w:szCs w:val="24"/>
          <w:highlight w:val="none"/>
          <w:lang w:val="en-US" w:eastAsia="zh-CN"/>
        </w:rPr>
        <w:t>车辆运营时</w:t>
      </w:r>
      <w:r>
        <w:rPr>
          <w:rFonts w:hint="eastAsia" w:ascii="仿宋_GB2312" w:hAnsi="仿宋_GB2312" w:eastAsia="仿宋_GB2312" w:cs="仿宋_GB2312"/>
          <w:color w:val="auto"/>
          <w:sz w:val="24"/>
          <w:szCs w:val="24"/>
          <w:highlight w:val="none"/>
        </w:rPr>
        <w:t>（包括但不限于消费</w:t>
      </w:r>
      <w:r>
        <w:rPr>
          <w:rFonts w:hint="eastAsia" w:ascii="仿宋_GB2312" w:hAnsi="仿宋_GB2312" w:eastAsia="仿宋_GB2312" w:cs="仿宋_GB2312"/>
          <w:color w:val="auto"/>
          <w:sz w:val="24"/>
          <w:szCs w:val="24"/>
          <w:highlight w:val="none"/>
          <w:lang w:val="en-US" w:eastAsia="zh-CN"/>
        </w:rPr>
        <w:t>者</w:t>
      </w:r>
      <w:r>
        <w:rPr>
          <w:rFonts w:hint="eastAsia" w:ascii="仿宋_GB2312" w:hAnsi="仿宋_GB2312" w:eastAsia="仿宋_GB2312" w:cs="仿宋_GB2312"/>
          <w:color w:val="auto"/>
          <w:sz w:val="24"/>
          <w:szCs w:val="24"/>
          <w:highlight w:val="none"/>
        </w:rPr>
        <w:t>、客户、</w:t>
      </w:r>
      <w:r>
        <w:rPr>
          <w:rFonts w:hint="eastAsia" w:ascii="仿宋_GB2312" w:hAnsi="仿宋_GB2312" w:eastAsia="仿宋_GB2312" w:cs="仿宋_GB2312"/>
          <w:color w:val="auto"/>
          <w:sz w:val="24"/>
          <w:szCs w:val="24"/>
          <w:highlight w:val="none"/>
          <w:lang w:val="en-US" w:eastAsia="zh-CN"/>
        </w:rPr>
        <w:t>司机及工作人员</w:t>
      </w:r>
      <w:r>
        <w:rPr>
          <w:rFonts w:hint="eastAsia" w:ascii="仿宋_GB2312" w:hAnsi="仿宋_GB2312" w:eastAsia="仿宋_GB2312" w:cs="仿宋_GB2312"/>
          <w:color w:val="auto"/>
          <w:sz w:val="24"/>
          <w:szCs w:val="24"/>
          <w:highlight w:val="none"/>
        </w:rPr>
        <w:t>）的安全保障义务，并自行承担相应法律责任</w:t>
      </w:r>
      <w:r>
        <w:rPr>
          <w:rFonts w:hint="eastAsia" w:ascii="仿宋_GB2312" w:hAnsi="仿宋_GB2312" w:eastAsia="仿宋_GB2312" w:cs="仿宋_GB2312"/>
          <w:color w:val="auto"/>
          <w:sz w:val="24"/>
          <w:szCs w:val="24"/>
          <w:highlight w:val="none"/>
          <w:lang w:eastAsia="zh-CN"/>
        </w:rPr>
        <w:t>，</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由此而给甲方造成损失的，甲方有权向乙方追偿</w:t>
      </w:r>
      <w:r>
        <w:rPr>
          <w:rFonts w:hint="eastAsia" w:ascii="仿宋_GB2312" w:hAnsi="仿宋_GB2312" w:eastAsia="仿宋_GB2312" w:cs="仿宋_GB2312"/>
          <w:color w:val="auto"/>
          <w:sz w:val="24"/>
          <w:szCs w:val="24"/>
          <w:highlight w:val="none"/>
        </w:rPr>
        <w:t>。</w:t>
      </w:r>
    </w:p>
    <w:p w14:paraId="645F1E1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4、合同</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间</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，乙方不得擅自转让、转包及抵押项目</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不得擅自处置权属甲方的设施、设备。从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领取的服务工具、设备和其他物品，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需</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负责登记管理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，合同到期后</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负责协助收回交还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sz w:val="24"/>
          <w:szCs w:val="24"/>
          <w:highlight w:val="none"/>
        </w:rPr>
        <w:t>对于交付乙方前的原有的设施设备因乙方原因导致的损坏，由乙方负责维修及赔偿因此给乙方造成的损失。</w:t>
      </w:r>
    </w:p>
    <w:p w14:paraId="5EC291E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、乙方经营过程对外发生的债权债务，以及与消费者或者客户间发生的争议和纠纷，以及遭受的行政处罚、行政强制措施等，均由乙方自行负责解决，因此给甲方造成损失的，乙方应当负责赔偿。</w:t>
      </w:r>
    </w:p>
    <w:p w14:paraId="65C015F3">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项目运营过程中</w:t>
      </w:r>
      <w:r>
        <w:rPr>
          <w:rFonts w:hint="eastAsia" w:ascii="仿宋_GB2312" w:hAnsi="仿宋_GB2312" w:eastAsia="仿宋_GB2312" w:cs="仿宋_GB2312"/>
          <w:color w:val="000000" w:themeColor="text1"/>
          <w:sz w:val="24"/>
          <w:szCs w:val="24"/>
          <w:highlight w:val="none"/>
          <w14:textFill>
            <w14:solidFill>
              <w14:schemeClr w14:val="tx1"/>
            </w14:solidFill>
          </w14:textFill>
        </w:rPr>
        <w:t>所提供的服务，应负责起售后或善后工作。乙方负责消费者发票的开具及售后，因乙方未及时开具发票导致客户投诉的由乙方负责解决。</w:t>
      </w:r>
      <w:r>
        <w:rPr>
          <w:rFonts w:hint="eastAsia" w:ascii="仿宋_GB2312" w:hAnsi="仿宋_GB2312" w:eastAsia="仿宋_GB2312" w:cs="仿宋_GB2312"/>
          <w:color w:val="auto"/>
          <w:kern w:val="2"/>
          <w:sz w:val="24"/>
          <w:szCs w:val="24"/>
          <w:highlight w:val="none"/>
          <w:lang w:val="en-US" w:eastAsia="zh-CN" w:bidi="ar-SA"/>
        </w:rPr>
        <w:t>乙</w:t>
      </w:r>
      <w:r>
        <w:rPr>
          <w:rFonts w:hint="eastAsia" w:ascii="仿宋_GB2312" w:hAnsi="仿宋_GB2312" w:eastAsia="仿宋_GB2312" w:cs="仿宋_GB2312"/>
          <w:color w:val="FF0000"/>
          <w:kern w:val="2"/>
          <w:sz w:val="24"/>
          <w:szCs w:val="24"/>
          <w:highlight w:val="none"/>
          <w:lang w:val="en-US" w:eastAsia="zh-CN" w:bidi="ar-SA"/>
        </w:rPr>
        <w:t>方每月</w:t>
      </w:r>
      <w:r>
        <w:rPr>
          <w:rFonts w:hint="eastAsia" w:ascii="仿宋_GB2312" w:hAnsi="仿宋_GB2312" w:eastAsia="仿宋_GB2312" w:cs="仿宋_GB2312"/>
          <w:color w:val="auto"/>
          <w:kern w:val="2"/>
          <w:sz w:val="24"/>
          <w:szCs w:val="24"/>
          <w:highlight w:val="none"/>
          <w:lang w:val="en-US" w:eastAsia="zh-CN" w:bidi="ar-SA"/>
        </w:rPr>
        <w:t>有效投诉不得超过1起，超过的每起有效投诉乙方需支付违约金500元，造成舆情的，不论原因每起舆情乙方需支付违约金3000元（以收到政府相关部门舆情提示单为准），所有违约金从分成款中扣除。</w:t>
      </w:r>
    </w:p>
    <w:p w14:paraId="127FFF58">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、乙方应配合甲方做好公共场所的消防、安全和环境秩序工作。</w:t>
      </w:r>
    </w:p>
    <w:p w14:paraId="1E8E408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FF"/>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在公共部位张贴、悬挂或展示任何广告、宣传标语、招牌、符号、装饰、灯饰、标志，均应当得到甲方确认，具体的张贴、悬挂和展示工作由乙方负责实施，并由乙方对实施后果和安全性负责。</w:t>
      </w:r>
    </w:p>
    <w:p w14:paraId="00E24DE0">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24"/>
          <w:szCs w:val="24"/>
          <w:highlight w:val="none"/>
          <w:lang w:val="en-US" w:eastAsia="zh-CN"/>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24"/>
          <w:szCs w:val="24"/>
          <w:highlight w:val="none"/>
          <w14:textFill>
            <w14:solidFill>
              <w14:schemeClr w14:val="tx1"/>
            </w14:solidFill>
          </w14:textFill>
        </w:rPr>
        <w:t>乙方在经营过程中使用的所有商标、专利、著作权等知识产权，应确保不侵犯任何第三方权益。因乙方侵犯第三方知识产权而引起的任何纠纷或损失，均由乙方自行承担，与甲方无关。如因此给甲方造成损失的，乙方应予以全额赔偿。</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乙方不得利用“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合肥野生动物园</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合野</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”等容易让人误解的词汇和标志开展活动</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6345569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10</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场地正式营业前乙方自行</w:t>
      </w:r>
      <w:r>
        <w:rPr>
          <w:rFonts w:hint="eastAsia" w:ascii="仿宋_GB2312" w:hAnsi="仿宋_GB2312" w:eastAsia="仿宋_GB2312" w:cs="仿宋_GB2312"/>
          <w:color w:val="auto"/>
          <w:sz w:val="24"/>
          <w:szCs w:val="24"/>
          <w:highlight w:val="none"/>
          <w:lang w:val="en-US" w:eastAsia="zh-CN"/>
        </w:rPr>
        <w:t>在售票处及甲方指定的地点</w:t>
      </w:r>
      <w:r>
        <w:rPr>
          <w:rFonts w:hint="eastAsia" w:ascii="仿宋_GB2312" w:hAnsi="仿宋_GB2312" w:eastAsia="仿宋_GB2312" w:cs="仿宋_GB2312"/>
          <w:color w:val="auto"/>
          <w:sz w:val="24"/>
          <w:szCs w:val="24"/>
          <w:highlight w:val="none"/>
          <w:lang w:eastAsia="zh-CN"/>
        </w:rPr>
        <w:t>安装监控并共享给甲方，以便甲方对乙方的经营行为进行监督，监控设备需配备内存卡，影像需可回放一周</w:t>
      </w:r>
      <w:r>
        <w:rPr>
          <w:rFonts w:hint="eastAsia" w:ascii="仿宋_GB2312" w:hAnsi="仿宋_GB2312" w:eastAsia="仿宋_GB2312" w:cs="仿宋_GB2312"/>
          <w:color w:val="auto"/>
          <w:sz w:val="24"/>
          <w:szCs w:val="24"/>
          <w:highlight w:val="none"/>
        </w:rPr>
        <w:t>。</w:t>
      </w:r>
    </w:p>
    <w:p w14:paraId="052FF03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11、乙方应</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依法支付项目运营人员的劳动报酬和相关待遇，为人员缴纳社会保险费并办理社会保险相关手续，为人员出具解除或者终止劳动合同的证明等。项目运营人员发生工伤及劳动纠纷时，由</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负责全面处理并承担全部责任。 </w:t>
      </w:r>
    </w:p>
    <w:p w14:paraId="5B0CB05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12、乙方不得以任何形式向他人提供或泄露甲方的商业秘密，保证甲方利益不受损失，对采购人各类客户的资料、业务数据等应按照甲方相关文件及服务要求执行保密义务。 </w:t>
      </w:r>
    </w:p>
    <w:p w14:paraId="312E3C9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13.乙方应严格按照应标文件中设计方案执行，如因甲方要求进一步优化的除外，最终以甲乙双方最终确认为准。如效果图不符合或区别较大不符合甲方要求，乙方应无条件重新定制生产车辆并保证在2个月内能够投入运营。最终设计方案作为合同附件，具有相同法律效应。</w:t>
      </w:r>
    </w:p>
    <w:p w14:paraId="65A49EE9">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baseline"/>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第九条  场地装修与维护</w:t>
      </w:r>
    </w:p>
    <w:p w14:paraId="2F8F714A">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1、乙方负责观光车停车场、观光车车棚、售票服务点、各站点、观光车专用人行通道等的设备设施配置、装饰装修、建设施工、安全、维修，由此产生的</w:t>
      </w:r>
      <w:r>
        <w:rPr>
          <w:rFonts w:hint="eastAsia" w:ascii="仿宋_GB2312" w:hAnsi="仿宋_GB2312" w:eastAsia="仿宋_GB2312" w:cs="仿宋_GB2312"/>
          <w:color w:val="auto"/>
          <w:sz w:val="24"/>
          <w:szCs w:val="24"/>
          <w:highlight w:val="none"/>
        </w:rPr>
        <w:t>审批、申请、验收</w:t>
      </w:r>
      <w:r>
        <w:rPr>
          <w:rFonts w:hint="eastAsia" w:ascii="仿宋_GB2312" w:hAnsi="仿宋_GB2312" w:eastAsia="仿宋_GB2312" w:cs="仿宋_GB2312"/>
          <w:color w:val="auto"/>
          <w:sz w:val="24"/>
          <w:szCs w:val="24"/>
          <w:highlight w:val="none"/>
          <w:lang w:val="en-US" w:eastAsia="zh-CN"/>
        </w:rPr>
        <w:t>等</w:t>
      </w:r>
      <w:r>
        <w:rPr>
          <w:rFonts w:hint="eastAsia" w:ascii="仿宋_GB2312" w:hAnsi="仿宋_GB2312" w:eastAsia="仿宋_GB2312" w:cs="仿宋_GB2312"/>
          <w:color w:val="auto"/>
          <w:sz w:val="24"/>
          <w:szCs w:val="24"/>
          <w:highlight w:val="none"/>
        </w:rPr>
        <w:t>相关费用</w:t>
      </w:r>
      <w:r>
        <w:rPr>
          <w:rFonts w:hint="eastAsia" w:ascii="仿宋_GB2312" w:hAnsi="仿宋_GB2312" w:eastAsia="仿宋_GB2312" w:cs="仿宋_GB2312"/>
          <w:color w:val="auto"/>
          <w:sz w:val="24"/>
          <w:szCs w:val="24"/>
          <w:highlight w:val="none"/>
          <w:lang w:val="en-US" w:eastAsia="zh-CN"/>
        </w:rPr>
        <w:t>及流程</w:t>
      </w:r>
      <w:r>
        <w:rPr>
          <w:rFonts w:hint="eastAsia" w:ascii="仿宋_GB2312" w:hAnsi="仿宋_GB2312" w:eastAsia="仿宋_GB2312" w:cs="仿宋_GB2312"/>
          <w:color w:val="auto"/>
          <w:sz w:val="24"/>
          <w:szCs w:val="24"/>
          <w:highlight w:val="none"/>
        </w:rPr>
        <w:t>所需各项费用</w:t>
      </w:r>
      <w:r>
        <w:rPr>
          <w:rFonts w:hint="eastAsia" w:ascii="仿宋_GB2312" w:hAnsi="仿宋_GB2312" w:eastAsia="仿宋_GB2312" w:cs="仿宋_GB2312"/>
          <w:color w:val="auto"/>
          <w:sz w:val="24"/>
          <w:szCs w:val="24"/>
          <w:highlight w:val="none"/>
          <w:lang w:val="en-US" w:eastAsia="zh-CN"/>
        </w:rPr>
        <w:t>全部</w:t>
      </w:r>
      <w:r>
        <w:rPr>
          <w:rFonts w:hint="eastAsia" w:ascii="仿宋_GB2312" w:hAnsi="仿宋_GB2312" w:eastAsia="仿宋_GB2312" w:cs="仿宋_GB2312"/>
          <w:color w:val="auto"/>
          <w:sz w:val="24"/>
          <w:szCs w:val="24"/>
          <w:highlight w:val="none"/>
        </w:rPr>
        <w:t>均由乙方</w:t>
      </w:r>
      <w:r>
        <w:rPr>
          <w:rFonts w:hint="eastAsia" w:ascii="仿宋_GB2312" w:hAnsi="仿宋_GB2312" w:eastAsia="仿宋_GB2312" w:cs="仿宋_GB2312"/>
          <w:color w:val="auto"/>
          <w:sz w:val="24"/>
          <w:szCs w:val="24"/>
          <w:highlight w:val="none"/>
          <w:lang w:val="en-US" w:eastAsia="zh-CN"/>
        </w:rPr>
        <w:t>自行</w:t>
      </w:r>
      <w:r>
        <w:rPr>
          <w:rFonts w:hint="eastAsia" w:ascii="仿宋_GB2312" w:hAnsi="仿宋_GB2312" w:eastAsia="仿宋_GB2312" w:cs="仿宋_GB2312"/>
          <w:color w:val="auto"/>
          <w:sz w:val="24"/>
          <w:szCs w:val="24"/>
          <w:highlight w:val="none"/>
        </w:rPr>
        <w:t>承担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其中观光车停车场区域配备微型消防站一个（含相关消防器材）、车辆能源补给装置（充电桩）若干，及时检查维修，定期翻新（至少一年一次）。</w:t>
      </w:r>
      <w:r>
        <w:rPr>
          <w:rFonts w:hint="eastAsia" w:ascii="仿宋_GB2312" w:hAnsi="仿宋_GB2312" w:eastAsia="仿宋_GB2312" w:cs="仿宋_GB2312"/>
          <w:color w:val="auto"/>
          <w:sz w:val="24"/>
          <w:szCs w:val="24"/>
          <w:highlight w:val="none"/>
          <w:lang w:eastAsia="zh-CN"/>
        </w:rPr>
        <w:t>乙方</w:t>
      </w:r>
      <w:r>
        <w:rPr>
          <w:rFonts w:hint="eastAsia" w:ascii="仿宋_GB2312" w:hAnsi="仿宋_GB2312" w:eastAsia="仿宋_GB2312" w:cs="仿宋_GB2312"/>
          <w:color w:val="auto"/>
          <w:sz w:val="24"/>
          <w:szCs w:val="24"/>
          <w:highlight w:val="none"/>
        </w:rPr>
        <w:t>投入的装修、装潢部分应在合作期限结束后无偿地移交给甲方。</w:t>
      </w:r>
    </w:p>
    <w:p w14:paraId="1286D72B">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2、观光车服务项目相关场所设施的装修、设计、布置、建设及工作人员公示由乙方负责，设计方案须经甲方审核批准，相关布置在景区指导下按指定的规格、式样、色彩设计制作。</w:t>
      </w:r>
      <w:r>
        <w:rPr>
          <w:rFonts w:hint="eastAsia" w:ascii="仿宋_GB2312" w:hAnsi="仿宋_GB2312" w:eastAsia="仿宋_GB2312" w:cs="仿宋_GB2312"/>
          <w:color w:val="auto"/>
          <w:sz w:val="24"/>
          <w:szCs w:val="24"/>
          <w:highlight w:val="none"/>
        </w:rPr>
        <w:t>乙方应当对其装饰装修行为的合法性、安全性、可靠性、有效性负责，甲方的同意行为不视为对乙方上述义务的减轻或者豁免。</w:t>
      </w:r>
    </w:p>
    <w:p w14:paraId="5AD1E0BE">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w:t>
      </w:r>
      <w:r>
        <w:rPr>
          <w:rFonts w:hint="eastAsia" w:ascii="仿宋_GB2312" w:hAnsi="仿宋_GB2312" w:eastAsia="仿宋_GB2312" w:cs="仿宋_GB2312"/>
          <w:color w:val="auto"/>
          <w:sz w:val="24"/>
          <w:szCs w:val="24"/>
          <w:highlight w:val="none"/>
          <w:lang w:val="en-US" w:eastAsia="zh-CN"/>
        </w:rPr>
        <w:t>未经甲方允许，乙方不得在经营区域内搭乱建，不得破坏周边绿化。</w:t>
      </w:r>
      <w:r>
        <w:rPr>
          <w:rFonts w:hint="default" w:ascii="仿宋_GB2312" w:hAnsi="仿宋_GB2312" w:eastAsia="仿宋_GB2312" w:cs="仿宋_GB2312"/>
          <w:color w:val="auto"/>
          <w:sz w:val="24"/>
          <w:szCs w:val="24"/>
          <w:highlight w:val="none"/>
          <w:lang w:val="en-US" w:eastAsia="zh-CN"/>
        </w:rPr>
        <w:t>合作期间场地如遇政府部门要求（如生态红线内违规建设等原因）拆</w:t>
      </w:r>
      <w:r>
        <w:rPr>
          <w:rFonts w:hint="eastAsia" w:ascii="仿宋_GB2312" w:hAnsi="仿宋_GB2312" w:eastAsia="仿宋_GB2312" w:cs="仿宋_GB2312"/>
          <w:color w:val="auto"/>
          <w:sz w:val="24"/>
          <w:szCs w:val="24"/>
          <w:highlight w:val="none"/>
          <w:lang w:val="en-US" w:eastAsia="zh-CN"/>
        </w:rPr>
        <w:t>除部分建筑或园区后期有新的商业规</w:t>
      </w:r>
      <w:r>
        <w:rPr>
          <w:rFonts w:hint="eastAsia" w:ascii="仿宋_GB2312" w:hAnsi="仿宋_GB2312" w:eastAsia="仿宋_GB2312" w:cs="仿宋_GB2312"/>
          <w:color w:val="auto"/>
          <w:kern w:val="2"/>
          <w:sz w:val="24"/>
          <w:szCs w:val="24"/>
          <w:highlight w:val="none"/>
          <w:lang w:val="en-US" w:eastAsia="zh-CN" w:bidi="ar-SA"/>
        </w:rPr>
        <w:t>划在点位附近设置新的业态，或拆除后因经营需要重建的，由甲乙双方友好协商确认位置后，乙方自行重建。合作方不得以此为由要求减免保底价及分成。</w:t>
      </w:r>
    </w:p>
    <w:p w14:paraId="0497BA9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、如乙方因经营需要对安全、消防、水、电、通讯等基础设施、设备进行改造或升级的，须事先征得甲方的同意方可进行，改造升级的施工由乙方负责，所需各项费用均由乙方承担</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因乙方的装修改造行为使甲方陷入与第三方纠纷或者使甲方被第三方索赔，或者使甲方遭受行政处罚的，甲方有权向乙方追偿所遭受的全部损失。</w:t>
      </w:r>
    </w:p>
    <w:p w14:paraId="2253ADE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、乙方自行办理经营、设计、装修涉及的规划、环保、卫生、水、电、气、通讯、消防改造验收</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票价报价</w:t>
      </w:r>
      <w:r>
        <w:rPr>
          <w:rFonts w:hint="eastAsia" w:ascii="仿宋_GB2312" w:hAnsi="仿宋_GB2312" w:eastAsia="仿宋_GB2312" w:cs="仿宋_GB2312"/>
          <w:color w:val="auto"/>
          <w:sz w:val="24"/>
          <w:szCs w:val="24"/>
          <w:highlight w:val="none"/>
        </w:rPr>
        <w:t>等国家规定的相关报批手续，所产生的相关费用由乙方承担。甲方应及时提供办理资质文件所需的资料</w:t>
      </w:r>
      <w:r>
        <w:rPr>
          <w:rFonts w:hint="eastAsia" w:ascii="仿宋_GB2312" w:hAnsi="仿宋_GB2312" w:eastAsia="仿宋_GB2312" w:cs="仿宋_GB2312"/>
          <w:color w:val="auto"/>
          <w:sz w:val="24"/>
          <w:szCs w:val="24"/>
          <w:highlight w:val="none"/>
          <w:lang w:val="en-US" w:eastAsia="zh-CN"/>
        </w:rPr>
        <w:t>并协助乙方完成相关手续</w:t>
      </w:r>
      <w:r>
        <w:rPr>
          <w:rFonts w:hint="eastAsia" w:ascii="仿宋_GB2312" w:hAnsi="仿宋_GB2312" w:eastAsia="仿宋_GB2312" w:cs="仿宋_GB2312"/>
          <w:color w:val="auto"/>
          <w:sz w:val="24"/>
          <w:szCs w:val="24"/>
          <w:highlight w:val="none"/>
        </w:rPr>
        <w:t>，乙方对</w:t>
      </w:r>
      <w:r>
        <w:rPr>
          <w:rFonts w:hint="eastAsia" w:ascii="仿宋_GB2312" w:hAnsi="仿宋_GB2312" w:eastAsia="仿宋_GB2312" w:cs="仿宋_GB2312"/>
          <w:color w:val="auto"/>
          <w:sz w:val="24"/>
          <w:szCs w:val="24"/>
          <w:highlight w:val="none"/>
          <w:lang w:eastAsia="zh-CN"/>
        </w:rPr>
        <w:t>经营权转让房屋</w:t>
      </w:r>
      <w:r>
        <w:rPr>
          <w:rFonts w:hint="eastAsia" w:ascii="仿宋_GB2312" w:hAnsi="仿宋_GB2312" w:eastAsia="仿宋_GB2312" w:cs="仿宋_GB2312"/>
          <w:color w:val="auto"/>
          <w:sz w:val="24"/>
          <w:szCs w:val="24"/>
          <w:highlight w:val="none"/>
        </w:rPr>
        <w:t>的装修改造工程必须符合相关法律法规，乙方装修改造工程依法需要报建的，乙方还应当自行办理规定的报建手续。</w:t>
      </w:r>
    </w:p>
    <w:p w14:paraId="293CF35E">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6、</w:t>
      </w:r>
      <w:r>
        <w:rPr>
          <w:rFonts w:hint="default" w:ascii="仿宋_GB2312" w:hAnsi="仿宋_GB2312" w:eastAsia="仿宋_GB2312" w:cs="仿宋_GB2312"/>
          <w:color w:val="auto"/>
          <w:sz w:val="24"/>
          <w:szCs w:val="24"/>
          <w:highlight w:val="none"/>
          <w:lang w:val="en-US" w:eastAsia="zh-CN"/>
        </w:rPr>
        <w:t>合同期满或终止或经双方协商同意合同提前解除时，乙方不得对项目相关建(构)筑物、设施及房屋装饰装修进行擅自拆除，</w:t>
      </w:r>
      <w:r>
        <w:rPr>
          <w:rFonts w:hint="eastAsia" w:ascii="仿宋_GB2312" w:hAnsi="仿宋_GB2312" w:eastAsia="仿宋_GB2312" w:cs="仿宋_GB2312"/>
          <w:color w:val="auto"/>
          <w:sz w:val="24"/>
          <w:szCs w:val="24"/>
          <w:highlight w:val="none"/>
        </w:rPr>
        <w:t>在合作期限结束后无偿地移交给甲方。</w:t>
      </w:r>
      <w:r>
        <w:rPr>
          <w:rFonts w:hint="default" w:ascii="仿宋_GB2312" w:hAnsi="仿宋_GB2312" w:eastAsia="仿宋_GB2312" w:cs="仿宋_GB2312"/>
          <w:color w:val="auto"/>
          <w:sz w:val="24"/>
          <w:szCs w:val="24"/>
          <w:highlight w:val="none"/>
          <w:lang w:val="en-US" w:eastAsia="zh-CN"/>
        </w:rPr>
        <w:t>乙方需在三天内</w:t>
      </w:r>
      <w:r>
        <w:rPr>
          <w:rFonts w:hint="eastAsia" w:ascii="仿宋_GB2312" w:hAnsi="仿宋_GB2312" w:eastAsia="仿宋_GB2312" w:cs="仿宋_GB2312"/>
          <w:color w:val="auto"/>
          <w:sz w:val="24"/>
          <w:szCs w:val="24"/>
          <w:highlight w:val="none"/>
          <w:lang w:val="en-US" w:eastAsia="zh-CN"/>
        </w:rPr>
        <w:t>根据甲方安排</w:t>
      </w:r>
      <w:r>
        <w:rPr>
          <w:rFonts w:hint="default" w:ascii="仿宋_GB2312" w:hAnsi="仿宋_GB2312" w:eastAsia="仿宋_GB2312" w:cs="仿宋_GB2312"/>
          <w:color w:val="auto"/>
          <w:sz w:val="24"/>
          <w:szCs w:val="24"/>
          <w:highlight w:val="none"/>
          <w:lang w:val="en-US" w:eastAsia="zh-CN"/>
        </w:rPr>
        <w:t>清理物品，并撤出场地，否则视为物品原权利人放弃一切权利，由甲方自行处置；关于项目其他相关事宜，乙方应按照甲方的要求妥善做好承包项目的移交工作，属于乙方所购设备及资产由乙方自行处理。</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乙方逾期未</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按甲方要求清空场地</w:t>
      </w:r>
      <w:r>
        <w:rPr>
          <w:rFonts w:hint="eastAsia" w:ascii="仿宋_GB2312" w:hAnsi="仿宋_GB2312" w:eastAsia="仿宋_GB2312" w:cs="仿宋_GB2312"/>
          <w:color w:val="000000" w:themeColor="text1"/>
          <w:sz w:val="24"/>
          <w:szCs w:val="24"/>
          <w:highlight w:val="none"/>
          <w14:textFill>
            <w14:solidFill>
              <w14:schemeClr w14:val="tx1"/>
            </w14:solidFill>
          </w14:textFill>
        </w:rPr>
        <w:t>交还给甲方的，每逾期一日，乙方应当</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按</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500</w:t>
      </w:r>
      <w:r>
        <w:rPr>
          <w:rFonts w:hint="eastAsia" w:ascii="仿宋_GB2312" w:hAnsi="仿宋_GB2312" w:eastAsia="仿宋_GB2312" w:cs="仿宋_GB2312"/>
          <w:color w:val="000000" w:themeColor="text1"/>
          <w:sz w:val="24"/>
          <w:szCs w:val="24"/>
          <w:highlight w:val="none"/>
          <w14:textFill>
            <w14:solidFill>
              <w14:schemeClr w14:val="tx1"/>
            </w14:solidFill>
          </w14:textFill>
        </w:rPr>
        <w:t>元/日向甲方支付违约金</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违约金将从履约保证金中扣除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DF1DEC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、因乙方原因导致本合同提前解除的，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扣除履约保证金</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履约保证金</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不足以弥补甲方损失的，乙方应当继续赔偿甲方损失。</w:t>
      </w:r>
    </w:p>
    <w:p w14:paraId="0D8F3935">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第十条  违约责任</w:t>
      </w:r>
    </w:p>
    <w:p w14:paraId="7B45636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1.合同期间，乙方服务不能达到本协议约定的，甲方有权要求乙方进行整改，甲方可对乙方按每次每项不低于 200 元的金额扣罚违约金，乙方须在甲方通知的期限内采取有效措施完成整改，并按要求缴足违约金。若未及时整改或拒不整改，每项次另外加扣1倍违约金，甲方对乙方下发停业整顿通知，整顿经甲方验收合格，可恢复项目运营。</w:t>
      </w:r>
    </w:p>
    <w:p w14:paraId="454632A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乙方原因致观光车停运（停业整顿或无法提供服务等）期间，为满足公众对景区观光车服务的需求，甲方有权暂时接管或委托第三方接管该服务项目，乙方须在接到甲方通知后三天内把该项目所有相关账目和资源（人员和车辆等）交予甲方（或第三方）管理，甲方收取运营收入作为项目代管费。</w:t>
      </w:r>
    </w:p>
    <w:p w14:paraId="6FCBC6C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乙方（本项目）人员达不到应标文件中人员配置要求的，甲方在向乙方负责人反馈后，按照甲方要求进行整改和培训，该工作人员经整改（或拒不整改）仍达不到要求的，甲方有权要求乙方更换该工作人员（在接到通知后应立即停止该工作人员上岗）。</w:t>
      </w:r>
    </w:p>
    <w:p w14:paraId="39494DF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乙方经营期间有下列情况之一者，甲方有权要求乙方停业整顿，整顿经甲方验收合格，可恢复项目运营，否则甲方有权解除合同，收回项目经营场所及乙方出资维修或建设的设施等财产，没收履约保证金，甲方不承担任何责任，并有权依法追究因乙方违约对甲方造成的损失。</w:t>
      </w:r>
    </w:p>
    <w:p w14:paraId="46A61F14">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baseline"/>
        <w:rPr>
          <w:rFonts w:hint="default"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auto"/>
          <w:sz w:val="24"/>
          <w:szCs w:val="24"/>
          <w:highlight w:val="none"/>
          <w:lang w:val="en-US" w:eastAsia="zh-CN"/>
        </w:rPr>
        <w:t>乙方经营期间有下列情况之一者，甲方有权解除合同且</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不承担违约责任</w:t>
      </w:r>
      <w:r>
        <w:rPr>
          <w:rFonts w:hint="eastAsia" w:ascii="仿宋_GB2312" w:hAnsi="仿宋_GB2312" w:eastAsia="仿宋_GB2312" w:cs="仿宋_GB2312"/>
          <w:b/>
          <w:bCs/>
          <w:color w:val="auto"/>
          <w:sz w:val="24"/>
          <w:szCs w:val="24"/>
          <w:highlight w:val="none"/>
          <w:lang w:val="en-US" w:eastAsia="zh-CN"/>
        </w:rPr>
        <w:t>，收回项目经营场所及乙方出资维修或建设的设施等财产，没收履约保证金，甲方不承担任何责任，并有权依法追究因乙方违约对甲方造成的损失：</w:t>
      </w:r>
    </w:p>
    <w:p w14:paraId="79A5ECBC">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在合同约定项目正式运营时间没有按竞租须知文件要求配置相关设备的；</w:t>
      </w:r>
    </w:p>
    <w:p w14:paraId="4199A521">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在合同约定项目正式运营时间未完成项目的相关合法经营手续办理或取得相关证照；</w:t>
      </w:r>
    </w:p>
    <w:p w14:paraId="361B40BE">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未经甲方允许</w:t>
      </w:r>
      <w:r>
        <w:rPr>
          <w:rFonts w:hint="eastAsia" w:ascii="仿宋_GB2312" w:hAnsi="仿宋_GB2312" w:eastAsia="仿宋_GB2312" w:cs="仿宋_GB2312"/>
          <w:color w:val="auto"/>
          <w:sz w:val="24"/>
          <w:szCs w:val="24"/>
          <w:highlight w:val="none"/>
          <w:lang w:val="en-US" w:eastAsia="zh-CN"/>
        </w:rPr>
        <w:t>擅自扩大经营面积，私自搭建经营设施；侵占租赁场所之外的地方、严重污染环境或影响卫生，对景区造成严重负面影响；擅自将经营所用的配套服务设施改作其它用途；</w:t>
      </w:r>
    </w:p>
    <w:p w14:paraId="471B3C5A">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未经甲方书面同意，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在合同期内，</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乙方擅自将</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w:t>
      </w:r>
      <w:r>
        <w:rPr>
          <w:rFonts w:hint="eastAsia" w:ascii="仿宋_GB2312" w:hAnsi="仿宋_GB2312" w:eastAsia="仿宋_GB2312" w:cs="仿宋_GB2312"/>
          <w:color w:val="000000" w:themeColor="text1"/>
          <w:sz w:val="24"/>
          <w:szCs w:val="24"/>
          <w:highlight w:val="none"/>
          <w14:textFill>
            <w14:solidFill>
              <w14:schemeClr w14:val="tx1"/>
            </w14:solidFill>
          </w14:textFill>
        </w:rPr>
        <w:t>全部或部分予以转让或变相转让、转借他人或调换使用，或交与第三方承包经营、</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14:textFill>
            <w14:solidFill>
              <w14:schemeClr w14:val="tx1"/>
            </w14:solidFill>
          </w14:textFill>
        </w:rPr>
        <w:t>或联合经营的；</w:t>
      </w:r>
    </w:p>
    <w:p w14:paraId="75DB581F">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超出经营范围，从事合同约定以外的经营项目；</w:t>
      </w:r>
    </w:p>
    <w:p w14:paraId="2E6B720C">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乙方绕过甲方直接对外收取销售款</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的；</w:t>
      </w:r>
    </w:p>
    <w:p w14:paraId="7206D369">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因违法违章行为被相关政府职能部门处以停业整顿、吊销许可证或营业执照等行政处罚的；</w:t>
      </w:r>
    </w:p>
    <w:p w14:paraId="11645943">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发生危及公共利益、公众安全，发生较大安全生产事故；</w:t>
      </w:r>
    </w:p>
    <w:p w14:paraId="36C1FC2B">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除非甲方整体闭园，否则不能停止营业</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3EB64100">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因乙方行为，甲方陷入与第三方纠纷或者使甲方被第三方索赔，或者使甲方遭受行政处罚，或者其他违约行为使甲方遭受重大损失的；</w:t>
      </w:r>
    </w:p>
    <w:p w14:paraId="629AF0F6">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乙方累计违反合同条款行为达三项次的；</w:t>
      </w:r>
    </w:p>
    <w:p w14:paraId="166B0A75">
      <w:pPr>
        <w:keepNext w:val="0"/>
        <w:keepLines w:val="0"/>
        <w:pageBreakBefore w:val="0"/>
        <w:widowControl w:val="0"/>
        <w:numPr>
          <w:ilvl w:val="0"/>
          <w:numId w:val="8"/>
        </w:numPr>
        <w:kinsoku/>
        <w:wordWrap/>
        <w:overflowPunct/>
        <w:topLinePunct w:val="0"/>
        <w:autoSpaceDE/>
        <w:autoSpaceDN/>
        <w:bidi w:val="0"/>
        <w:adjustRightInd/>
        <w:snapToGrid/>
        <w:spacing w:line="480" w:lineRule="atLeast"/>
        <w:ind w:left="0" w:leftChars="0" w:firstLine="480" w:firstLineChars="200"/>
        <w:jc w:val="left"/>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法律、法规、风景名胜区条例及城市公园管理制度禁止的其他行为；</w:t>
      </w:r>
    </w:p>
    <w:p w14:paraId="62DF6FB4">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textAlignment w:val="baseline"/>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未按照合同约定（2025年4月1日）</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交付</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达</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日</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乙方有权解除合同且不承担违约责任</w:t>
      </w:r>
      <w:r>
        <w:rPr>
          <w:rFonts w:hint="eastAsia" w:ascii="仿宋_GB2312" w:hAnsi="仿宋_GB2312" w:eastAsia="仿宋_GB2312" w:cs="仿宋_GB2312"/>
          <w:b/>
          <w:bCs/>
          <w:color w:val="000000" w:themeColor="text1"/>
          <w:sz w:val="24"/>
          <w:szCs w:val="24"/>
          <w:highlight w:val="none"/>
          <w:lang w:eastAsia="zh-CN"/>
          <w14:textFill>
            <w14:solidFill>
              <w14:schemeClr w14:val="tx1"/>
            </w14:solidFill>
          </w14:textFill>
        </w:rPr>
        <w:t>。</w:t>
      </w:r>
    </w:p>
    <w:p w14:paraId="06D603BB">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、有下列情形之一的，甲乙双方均有权单方面解除本合同，且互不承担违约责任：</w:t>
      </w:r>
    </w:p>
    <w:p w14:paraId="144E219E">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 </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场地</w:t>
      </w:r>
      <w:r>
        <w:rPr>
          <w:rFonts w:hint="eastAsia" w:ascii="仿宋_GB2312" w:hAnsi="仿宋_GB2312" w:eastAsia="仿宋_GB2312" w:cs="仿宋_GB2312"/>
          <w:color w:val="000000" w:themeColor="text1"/>
          <w:sz w:val="24"/>
          <w:szCs w:val="24"/>
          <w:highlight w:val="none"/>
          <w14:textFill>
            <w14:solidFill>
              <w14:schemeClr w14:val="tx1"/>
            </w14:solidFill>
          </w14:textFill>
        </w:rPr>
        <w:t>因政府部门要求拆迁（如生态红线内违规建设等原因）</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城市建设需要被依法动迁或因甲方改造提升需要进行拆迁的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导致项目无法正常运营的。</w:t>
      </w:r>
    </w:p>
    <w:p w14:paraId="08D4B6F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场地</w:t>
      </w:r>
      <w:r>
        <w:rPr>
          <w:rFonts w:hint="eastAsia" w:ascii="仿宋_GB2312" w:hAnsi="仿宋_GB2312" w:eastAsia="仿宋_GB2312" w:cs="仿宋_GB2312"/>
          <w:color w:val="000000" w:themeColor="text1"/>
          <w:sz w:val="24"/>
          <w:szCs w:val="24"/>
          <w:highlight w:val="none"/>
          <w14:textFill>
            <w14:solidFill>
              <w14:schemeClr w14:val="tx1"/>
            </w14:solidFill>
          </w14:textFill>
        </w:rPr>
        <w:t>因社会公共利益的需要被依法征用的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24F74E2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（3）因不可抗力致使</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经营权转让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车辆</w:t>
      </w:r>
      <w:r>
        <w:rPr>
          <w:rFonts w:hint="eastAsia" w:ascii="仿宋_GB2312" w:hAnsi="仿宋_GB2312" w:eastAsia="仿宋_GB2312" w:cs="仿宋_GB2312"/>
          <w:color w:val="000000" w:themeColor="text1"/>
          <w:sz w:val="24"/>
          <w:szCs w:val="24"/>
          <w:highlight w:val="none"/>
          <w14:textFill>
            <w14:solidFill>
              <w14:schemeClr w14:val="tx1"/>
            </w14:solidFill>
          </w14:textFill>
        </w:rPr>
        <w:t>及附属设施毁损、灭失或造成其他损失的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7EB38D6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（4）因不可抗力导致本合同无法履行的</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17EC56E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sz w:val="24"/>
          <w:szCs w:val="24"/>
          <w:highlight w:val="none"/>
          <w:lang w:val="en-US" w:eastAsia="zh-CN"/>
        </w:rPr>
        <w:t>8.合同期间，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14:textFill>
            <w14:solidFill>
              <w14:schemeClr w14:val="tx1"/>
            </w14:solidFill>
          </w14:textFill>
        </w:rPr>
        <w:t>不得以任何理由要求减免底价及分成款。</w:t>
      </w:r>
      <w:r>
        <w:rPr>
          <w:rFonts w:hint="eastAsia" w:ascii="仿宋_GB2312" w:hAnsi="仿宋_GB2312" w:eastAsia="仿宋_GB2312" w:cs="仿宋_GB2312"/>
          <w:color w:val="auto"/>
          <w:sz w:val="24"/>
          <w:szCs w:val="24"/>
          <w:highlight w:val="none"/>
          <w:lang w:val="en-US" w:eastAsia="zh-CN"/>
        </w:rPr>
        <w:t>如遇政府征用、城市建设和景区发展等其他不可抗力因素需要更改车辆行驶路线、站点、停车场地或收回项目经营场地时，甲方应提前通知乙方，乙方应无条件服从，互不承担对方损失，合同自然终止，底价及分成款按照实际合作时间计算，不足整月的按实际天数计算，多退少补。</w:t>
      </w:r>
    </w:p>
    <w:p w14:paraId="279B636E">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9.合同期间，双方必须严格履行合同，在执行过程中，如遇未尽事宜（含政府有关部门的政策、收费管理调整等），双方可协商解决，并签署书面补充合同。</w:t>
      </w:r>
    </w:p>
    <w:p w14:paraId="68D25E1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textAlignment w:val="baseline"/>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10.合同期间，除本合同约定外，任何一方不得无故终止本合同，否则视为违约，违约方需按本合同规定的全年保底价总费用的30%向对方支付违约金。</w:t>
      </w:r>
    </w:p>
    <w:p w14:paraId="7F1F287A">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第十一条   </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合同生效</w:t>
      </w:r>
    </w:p>
    <w:p w14:paraId="4EFFE942">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1、本合同自甲、乙双方签字盖章之日生效。</w:t>
      </w:r>
    </w:p>
    <w:p w14:paraId="22C0490F">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2、本合同一式</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陆</w:t>
      </w:r>
      <w:r>
        <w:rPr>
          <w:rFonts w:hint="eastAsia" w:ascii="仿宋_GB2312" w:hAnsi="仿宋_GB2312" w:eastAsia="仿宋_GB2312" w:cs="仿宋_GB2312"/>
          <w:color w:val="000000" w:themeColor="text1"/>
          <w:sz w:val="24"/>
          <w:szCs w:val="24"/>
          <w:highlight w:val="none"/>
          <w14:textFill>
            <w14:solidFill>
              <w14:schemeClr w14:val="tx1"/>
            </w14:solidFill>
          </w14:textFill>
        </w:rPr>
        <w:t>份，甲方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叁</w:t>
      </w:r>
      <w:r>
        <w:rPr>
          <w:rFonts w:hint="eastAsia" w:ascii="仿宋_GB2312" w:hAnsi="仿宋_GB2312" w:eastAsia="仿宋_GB2312" w:cs="仿宋_GB2312"/>
          <w:color w:val="000000" w:themeColor="text1"/>
          <w:sz w:val="24"/>
          <w:szCs w:val="24"/>
          <w:highlight w:val="none"/>
          <w14:textFill>
            <w14:solidFill>
              <w14:schemeClr w14:val="tx1"/>
            </w14:solidFill>
          </w14:textFill>
        </w:rPr>
        <w:t>份，乙方</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叁</w:t>
      </w:r>
      <w:r>
        <w:rPr>
          <w:rFonts w:hint="eastAsia" w:ascii="仿宋_GB2312" w:hAnsi="仿宋_GB2312" w:eastAsia="仿宋_GB2312" w:cs="仿宋_GB2312"/>
          <w:color w:val="000000" w:themeColor="text1"/>
          <w:sz w:val="24"/>
          <w:szCs w:val="24"/>
          <w:highlight w:val="none"/>
          <w14:textFill>
            <w14:solidFill>
              <w14:schemeClr w14:val="tx1"/>
            </w14:solidFill>
          </w14:textFill>
        </w:rPr>
        <w:t>份。</w:t>
      </w:r>
    </w:p>
    <w:p w14:paraId="6ED984EC">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3、本合同的附件与本合同具有同等法律效力。</w:t>
      </w:r>
    </w:p>
    <w:p w14:paraId="6BC6A441">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第十二条   争议解决</w:t>
      </w:r>
    </w:p>
    <w:p w14:paraId="28E00E4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甲、乙双方任何一方违反本合同约定的，违约方应当赔偿因此给守约方造成的损失，该等损失包括守约方遭受的直接损失，以及守约方为实现权利支出的合理费用（包括但不限于律师费、诉讼费、保全费、担保费、审计费、评估费、鉴定费、公告费、公证费等）。</w:t>
      </w:r>
    </w:p>
    <w:p w14:paraId="755992B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甲、乙双方在履行本合同过程中发生争议，应友好协商解决。协商不能解决的，可依法向</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所在地有管辖权的人民法院提起诉讼。</w:t>
      </w:r>
    </w:p>
    <w:p w14:paraId="330ACE38">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p>
    <w:p w14:paraId="483243E5">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合肥文旅博览集团野生动物园管理有限公司</w:t>
      </w:r>
    </w:p>
    <w:p w14:paraId="39D8312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sz w:val="24"/>
          <w:szCs w:val="24"/>
          <w:highlight w:val="none"/>
        </w:rPr>
        <w:t>法定代表人或授权代表（签字）：</w:t>
      </w:r>
    </w:p>
    <w:p w14:paraId="51A30569">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月   日</w:t>
      </w:r>
    </w:p>
    <w:p w14:paraId="67142AB6">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36DE491">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64182384">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1BFF46F5">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1255AC7">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38D9946">
      <w:pPr>
        <w:keepNext w:val="0"/>
        <w:keepLines w:val="0"/>
        <w:pageBreakBefore w:val="0"/>
        <w:widowControl w:val="0"/>
        <w:kinsoku/>
        <w:wordWrap/>
        <w:overflowPunct/>
        <w:topLinePunct w:val="0"/>
        <w:autoSpaceDE/>
        <w:autoSpaceDN/>
        <w:bidi w:val="0"/>
        <w:adjustRightInd/>
        <w:snapToGrid/>
        <w:spacing w:line="480" w:lineRule="atLeast"/>
        <w:ind w:left="0" w:leftChars="0" w:firstLine="482"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w:t>
      </w:r>
    </w:p>
    <w:p w14:paraId="7CD654D3">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sz w:val="24"/>
          <w:szCs w:val="24"/>
          <w:highlight w:val="none"/>
        </w:rPr>
        <w:t>法定代表人或授权代表（签字）：</w:t>
      </w:r>
    </w:p>
    <w:p w14:paraId="4BF113ED">
      <w:pPr>
        <w:keepNext w:val="0"/>
        <w:keepLines w:val="0"/>
        <w:pageBreakBefore w:val="0"/>
        <w:widowControl w:val="0"/>
        <w:kinsoku/>
        <w:wordWrap/>
        <w:overflowPunct/>
        <w:topLinePunct w:val="0"/>
        <w:autoSpaceDE/>
        <w:autoSpaceDN/>
        <w:bidi w:val="0"/>
        <w:adjustRightInd/>
        <w:snapToGrid/>
        <w:spacing w:line="480" w:lineRule="atLeast"/>
        <w:ind w:left="0" w:leftChars="0"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年   月   日</w:t>
      </w:r>
    </w:p>
    <w:p w14:paraId="4AB28ABF">
      <w:pPr>
        <w:rPr>
          <w:highlight w:val="none"/>
          <w:lang w:val="en-US" w:eastAsia="zh-CN"/>
        </w:rPr>
      </w:pPr>
    </w:p>
    <w:sectPr>
      <w:footerReference r:id="rId3" w:type="default"/>
      <w:pgSz w:w="11906" w:h="16838"/>
      <w:pgMar w:top="1117" w:right="969" w:bottom="1361"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CDC6">
    <w:pPr>
      <w:spacing w:line="176" w:lineRule="auto"/>
      <w:ind w:left="49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7A3A8A">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07A3A8A">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122F5"/>
    <w:multiLevelType w:val="singleLevel"/>
    <w:tmpl w:val="CE8122F5"/>
    <w:lvl w:ilvl="0" w:tentative="0">
      <w:start w:val="1"/>
      <w:numFmt w:val="ideographTraditional"/>
      <w:suff w:val="nothing"/>
      <w:lvlText w:val="%1、"/>
      <w:lvlJc w:val="left"/>
      <w:rPr>
        <w:rFonts w:hint="eastAsia"/>
      </w:rPr>
    </w:lvl>
  </w:abstractNum>
  <w:abstractNum w:abstractNumId="1">
    <w:nsid w:val="FA59D4A5"/>
    <w:multiLevelType w:val="singleLevel"/>
    <w:tmpl w:val="FA59D4A5"/>
    <w:lvl w:ilvl="0" w:tentative="0">
      <w:start w:val="1"/>
      <w:numFmt w:val="decimal"/>
      <w:suff w:val="nothing"/>
      <w:lvlText w:val="(%1)"/>
      <w:lvlJc w:val="left"/>
      <w:pPr>
        <w:ind w:left="0" w:leftChars="0" w:firstLine="0" w:firstLineChars="0"/>
      </w:pPr>
      <w:rPr>
        <w:rFonts w:hint="default"/>
      </w:rPr>
    </w:lvl>
  </w:abstractNum>
  <w:abstractNum w:abstractNumId="2">
    <w:nsid w:val="01447396"/>
    <w:multiLevelType w:val="singleLevel"/>
    <w:tmpl w:val="01447396"/>
    <w:lvl w:ilvl="0" w:tentative="0">
      <w:start w:val="1"/>
      <w:numFmt w:val="decimal"/>
      <w:lvlText w:val="%1."/>
      <w:lvlJc w:val="left"/>
      <w:pPr>
        <w:tabs>
          <w:tab w:val="left" w:pos="312"/>
        </w:tabs>
      </w:pPr>
    </w:lvl>
  </w:abstractNum>
  <w:abstractNum w:abstractNumId="3">
    <w:nsid w:val="105C0643"/>
    <w:multiLevelType w:val="singleLevel"/>
    <w:tmpl w:val="105C0643"/>
    <w:lvl w:ilvl="0" w:tentative="0">
      <w:start w:val="1"/>
      <w:numFmt w:val="decimal"/>
      <w:suff w:val="nothing"/>
      <w:lvlText w:val="(%1)"/>
      <w:lvlJc w:val="left"/>
      <w:pPr>
        <w:ind w:left="0" w:leftChars="0" w:firstLine="0" w:firstLineChars="0"/>
      </w:pPr>
      <w:rPr>
        <w:rFonts w:hint="default"/>
      </w:rPr>
    </w:lvl>
  </w:abstractNum>
  <w:abstractNum w:abstractNumId="4">
    <w:nsid w:val="1E270345"/>
    <w:multiLevelType w:val="singleLevel"/>
    <w:tmpl w:val="1E270345"/>
    <w:lvl w:ilvl="0" w:tentative="0">
      <w:start w:val="1"/>
      <w:numFmt w:val="decimal"/>
      <w:lvlText w:val="%1."/>
      <w:lvlJc w:val="left"/>
      <w:pPr>
        <w:tabs>
          <w:tab w:val="left" w:pos="312"/>
        </w:tabs>
      </w:pPr>
    </w:lvl>
  </w:abstractNum>
  <w:abstractNum w:abstractNumId="5">
    <w:nsid w:val="25B654F3"/>
    <w:multiLevelType w:val="multilevel"/>
    <w:tmpl w:val="25B654F3"/>
    <w:lvl w:ilvl="0" w:tentative="0">
      <w:start w:val="2"/>
      <w:numFmt w:val="decimal"/>
      <w:lvlText w:val="%1."/>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47" w:hanging="213"/>
      </w:pPr>
      <w:rPr>
        <w:rFonts w:hint="default"/>
        <w:lang w:val="zh-CN" w:eastAsia="zh-CN" w:bidi="zh-CN"/>
      </w:rPr>
    </w:lvl>
    <w:lvl w:ilvl="2" w:tentative="0">
      <w:start w:val="0"/>
      <w:numFmt w:val="bullet"/>
      <w:lvlText w:val="•"/>
      <w:lvlJc w:val="left"/>
      <w:pPr>
        <w:ind w:left="1775" w:hanging="213"/>
      </w:pPr>
      <w:rPr>
        <w:rFonts w:hint="default"/>
        <w:lang w:val="zh-CN" w:eastAsia="zh-CN" w:bidi="zh-CN"/>
      </w:rPr>
    </w:lvl>
    <w:lvl w:ilvl="3" w:tentative="0">
      <w:start w:val="0"/>
      <w:numFmt w:val="bullet"/>
      <w:lvlText w:val="•"/>
      <w:lvlJc w:val="left"/>
      <w:pPr>
        <w:ind w:left="2502" w:hanging="213"/>
      </w:pPr>
      <w:rPr>
        <w:rFonts w:hint="default"/>
        <w:lang w:val="zh-CN" w:eastAsia="zh-CN" w:bidi="zh-CN"/>
      </w:rPr>
    </w:lvl>
    <w:lvl w:ilvl="4" w:tentative="0">
      <w:start w:val="0"/>
      <w:numFmt w:val="bullet"/>
      <w:lvlText w:val="•"/>
      <w:lvlJc w:val="left"/>
      <w:pPr>
        <w:ind w:left="3230" w:hanging="213"/>
      </w:pPr>
      <w:rPr>
        <w:rFonts w:hint="default"/>
        <w:lang w:val="zh-CN" w:eastAsia="zh-CN" w:bidi="zh-CN"/>
      </w:rPr>
    </w:lvl>
    <w:lvl w:ilvl="5" w:tentative="0">
      <w:start w:val="0"/>
      <w:numFmt w:val="bullet"/>
      <w:lvlText w:val="•"/>
      <w:lvlJc w:val="left"/>
      <w:pPr>
        <w:ind w:left="3957" w:hanging="213"/>
      </w:pPr>
      <w:rPr>
        <w:rFonts w:hint="default"/>
        <w:lang w:val="zh-CN" w:eastAsia="zh-CN" w:bidi="zh-CN"/>
      </w:rPr>
    </w:lvl>
    <w:lvl w:ilvl="6" w:tentative="0">
      <w:start w:val="0"/>
      <w:numFmt w:val="bullet"/>
      <w:lvlText w:val="•"/>
      <w:lvlJc w:val="left"/>
      <w:pPr>
        <w:ind w:left="4685" w:hanging="213"/>
      </w:pPr>
      <w:rPr>
        <w:rFonts w:hint="default"/>
        <w:lang w:val="zh-CN" w:eastAsia="zh-CN" w:bidi="zh-CN"/>
      </w:rPr>
    </w:lvl>
    <w:lvl w:ilvl="7" w:tentative="0">
      <w:start w:val="0"/>
      <w:numFmt w:val="bullet"/>
      <w:lvlText w:val="•"/>
      <w:lvlJc w:val="left"/>
      <w:pPr>
        <w:ind w:left="5412" w:hanging="213"/>
      </w:pPr>
      <w:rPr>
        <w:rFonts w:hint="default"/>
        <w:lang w:val="zh-CN" w:eastAsia="zh-CN" w:bidi="zh-CN"/>
      </w:rPr>
    </w:lvl>
    <w:lvl w:ilvl="8" w:tentative="0">
      <w:start w:val="0"/>
      <w:numFmt w:val="bullet"/>
      <w:lvlText w:val="•"/>
      <w:lvlJc w:val="left"/>
      <w:pPr>
        <w:ind w:left="6140" w:hanging="213"/>
      </w:pPr>
      <w:rPr>
        <w:rFonts w:hint="default"/>
        <w:lang w:val="zh-CN" w:eastAsia="zh-CN" w:bidi="zh-CN"/>
      </w:rPr>
    </w:lvl>
  </w:abstractNum>
  <w:abstractNum w:abstractNumId="6">
    <w:nsid w:val="3D898E1D"/>
    <w:multiLevelType w:val="singleLevel"/>
    <w:tmpl w:val="3D898E1D"/>
    <w:lvl w:ilvl="0" w:tentative="0">
      <w:start w:val="2"/>
      <w:numFmt w:val="chineseCounting"/>
      <w:suff w:val="nothing"/>
      <w:lvlText w:val="%1、"/>
      <w:lvlJc w:val="left"/>
      <w:rPr>
        <w:rFonts w:hint="eastAsia"/>
      </w:rPr>
    </w:lvl>
  </w:abstractNum>
  <w:abstractNum w:abstractNumId="7">
    <w:nsid w:val="72183CF9"/>
    <w:multiLevelType w:val="multilevel"/>
    <w:tmpl w:val="72183CF9"/>
    <w:lvl w:ilvl="0" w:tentative="0">
      <w:start w:val="1"/>
      <w:numFmt w:val="decimal"/>
      <w:lvlText w:val="%1."/>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047" w:hanging="213"/>
      </w:pPr>
      <w:rPr>
        <w:rFonts w:hint="default"/>
        <w:lang w:val="zh-CN" w:eastAsia="zh-CN" w:bidi="zh-CN"/>
      </w:rPr>
    </w:lvl>
    <w:lvl w:ilvl="2" w:tentative="0">
      <w:start w:val="0"/>
      <w:numFmt w:val="bullet"/>
      <w:lvlText w:val="•"/>
      <w:lvlJc w:val="left"/>
      <w:pPr>
        <w:ind w:left="1775" w:hanging="213"/>
      </w:pPr>
      <w:rPr>
        <w:rFonts w:hint="default"/>
        <w:lang w:val="zh-CN" w:eastAsia="zh-CN" w:bidi="zh-CN"/>
      </w:rPr>
    </w:lvl>
    <w:lvl w:ilvl="3" w:tentative="0">
      <w:start w:val="0"/>
      <w:numFmt w:val="bullet"/>
      <w:lvlText w:val="•"/>
      <w:lvlJc w:val="left"/>
      <w:pPr>
        <w:ind w:left="2502" w:hanging="213"/>
      </w:pPr>
      <w:rPr>
        <w:rFonts w:hint="default"/>
        <w:lang w:val="zh-CN" w:eastAsia="zh-CN" w:bidi="zh-CN"/>
      </w:rPr>
    </w:lvl>
    <w:lvl w:ilvl="4" w:tentative="0">
      <w:start w:val="0"/>
      <w:numFmt w:val="bullet"/>
      <w:lvlText w:val="•"/>
      <w:lvlJc w:val="left"/>
      <w:pPr>
        <w:ind w:left="3230" w:hanging="213"/>
      </w:pPr>
      <w:rPr>
        <w:rFonts w:hint="default"/>
        <w:lang w:val="zh-CN" w:eastAsia="zh-CN" w:bidi="zh-CN"/>
      </w:rPr>
    </w:lvl>
    <w:lvl w:ilvl="5" w:tentative="0">
      <w:start w:val="0"/>
      <w:numFmt w:val="bullet"/>
      <w:lvlText w:val="•"/>
      <w:lvlJc w:val="left"/>
      <w:pPr>
        <w:ind w:left="3957" w:hanging="213"/>
      </w:pPr>
      <w:rPr>
        <w:rFonts w:hint="default"/>
        <w:lang w:val="zh-CN" w:eastAsia="zh-CN" w:bidi="zh-CN"/>
      </w:rPr>
    </w:lvl>
    <w:lvl w:ilvl="6" w:tentative="0">
      <w:start w:val="0"/>
      <w:numFmt w:val="bullet"/>
      <w:lvlText w:val="•"/>
      <w:lvlJc w:val="left"/>
      <w:pPr>
        <w:ind w:left="4685" w:hanging="213"/>
      </w:pPr>
      <w:rPr>
        <w:rFonts w:hint="default"/>
        <w:lang w:val="zh-CN" w:eastAsia="zh-CN" w:bidi="zh-CN"/>
      </w:rPr>
    </w:lvl>
    <w:lvl w:ilvl="7" w:tentative="0">
      <w:start w:val="0"/>
      <w:numFmt w:val="bullet"/>
      <w:lvlText w:val="•"/>
      <w:lvlJc w:val="left"/>
      <w:pPr>
        <w:ind w:left="5412" w:hanging="213"/>
      </w:pPr>
      <w:rPr>
        <w:rFonts w:hint="default"/>
        <w:lang w:val="zh-CN" w:eastAsia="zh-CN" w:bidi="zh-CN"/>
      </w:rPr>
    </w:lvl>
    <w:lvl w:ilvl="8" w:tentative="0">
      <w:start w:val="0"/>
      <w:numFmt w:val="bullet"/>
      <w:lvlText w:val="•"/>
      <w:lvlJc w:val="left"/>
      <w:pPr>
        <w:ind w:left="6140" w:hanging="213"/>
      </w:pPr>
      <w:rPr>
        <w:rFonts w:hint="default"/>
        <w:lang w:val="zh-CN" w:eastAsia="zh-CN" w:bidi="zh-CN"/>
      </w:rPr>
    </w:lvl>
  </w:abstractNum>
  <w:num w:numId="1">
    <w:abstractNumId w:val="6"/>
  </w:num>
  <w:num w:numId="2">
    <w:abstractNumId w:val="2"/>
  </w:num>
  <w:num w:numId="3">
    <w:abstractNumId w:val="4"/>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3MjczOWFiOWZjZDIzYmZiZTk2ODNkNWQ3NWVjNjgifQ=="/>
  </w:docVars>
  <w:rsids>
    <w:rsidRoot w:val="00172A27"/>
    <w:rsid w:val="003E22BB"/>
    <w:rsid w:val="00583768"/>
    <w:rsid w:val="00A83AD0"/>
    <w:rsid w:val="00BB34BE"/>
    <w:rsid w:val="00D9637F"/>
    <w:rsid w:val="014756EF"/>
    <w:rsid w:val="0162532A"/>
    <w:rsid w:val="01777BD9"/>
    <w:rsid w:val="018379C7"/>
    <w:rsid w:val="01CE3A0A"/>
    <w:rsid w:val="01EC37B9"/>
    <w:rsid w:val="020243FF"/>
    <w:rsid w:val="021202B7"/>
    <w:rsid w:val="023757A2"/>
    <w:rsid w:val="02F93376"/>
    <w:rsid w:val="036363D4"/>
    <w:rsid w:val="04115E30"/>
    <w:rsid w:val="044B4B70"/>
    <w:rsid w:val="049F168E"/>
    <w:rsid w:val="04AE418F"/>
    <w:rsid w:val="04E377A0"/>
    <w:rsid w:val="04EC6201"/>
    <w:rsid w:val="05105B0A"/>
    <w:rsid w:val="05411EB8"/>
    <w:rsid w:val="05495775"/>
    <w:rsid w:val="056211A0"/>
    <w:rsid w:val="058D598A"/>
    <w:rsid w:val="062C26CD"/>
    <w:rsid w:val="06E049CD"/>
    <w:rsid w:val="06EF6388"/>
    <w:rsid w:val="06FF08C7"/>
    <w:rsid w:val="072645F8"/>
    <w:rsid w:val="074D53D1"/>
    <w:rsid w:val="076C770A"/>
    <w:rsid w:val="078354CD"/>
    <w:rsid w:val="07E5385B"/>
    <w:rsid w:val="07FE030A"/>
    <w:rsid w:val="081C4DA3"/>
    <w:rsid w:val="081D4246"/>
    <w:rsid w:val="084A2A34"/>
    <w:rsid w:val="085B1B32"/>
    <w:rsid w:val="08796D60"/>
    <w:rsid w:val="088C017B"/>
    <w:rsid w:val="08DA4864"/>
    <w:rsid w:val="094840A2"/>
    <w:rsid w:val="095D38E2"/>
    <w:rsid w:val="09AB5FE4"/>
    <w:rsid w:val="09BB6AB2"/>
    <w:rsid w:val="09E65669"/>
    <w:rsid w:val="0A2375CD"/>
    <w:rsid w:val="0A2769E5"/>
    <w:rsid w:val="0A320E90"/>
    <w:rsid w:val="0ACA6D38"/>
    <w:rsid w:val="0ADD6A6D"/>
    <w:rsid w:val="0AE826D1"/>
    <w:rsid w:val="0B106E41"/>
    <w:rsid w:val="0B24469B"/>
    <w:rsid w:val="0B4E7969"/>
    <w:rsid w:val="0B567CE2"/>
    <w:rsid w:val="0B70168E"/>
    <w:rsid w:val="0BA75BE9"/>
    <w:rsid w:val="0C564D28"/>
    <w:rsid w:val="0C684EB8"/>
    <w:rsid w:val="0C803B53"/>
    <w:rsid w:val="0C811298"/>
    <w:rsid w:val="0C8C425D"/>
    <w:rsid w:val="0CEA2865"/>
    <w:rsid w:val="0CFF74B3"/>
    <w:rsid w:val="0D1042C9"/>
    <w:rsid w:val="0D2941EA"/>
    <w:rsid w:val="0D553231"/>
    <w:rsid w:val="0D887163"/>
    <w:rsid w:val="0DA1742E"/>
    <w:rsid w:val="0DB1255B"/>
    <w:rsid w:val="0DEE638B"/>
    <w:rsid w:val="0E222ECF"/>
    <w:rsid w:val="0E3A5F93"/>
    <w:rsid w:val="0E3C619F"/>
    <w:rsid w:val="0E4B47DC"/>
    <w:rsid w:val="0E7D7A4F"/>
    <w:rsid w:val="0E981627"/>
    <w:rsid w:val="0E9B1C39"/>
    <w:rsid w:val="0EE64222"/>
    <w:rsid w:val="0F0C3DA4"/>
    <w:rsid w:val="0F0D5446"/>
    <w:rsid w:val="0F6C3380"/>
    <w:rsid w:val="0FFD67FA"/>
    <w:rsid w:val="1010172C"/>
    <w:rsid w:val="105F788D"/>
    <w:rsid w:val="108C6F6A"/>
    <w:rsid w:val="10AA5642"/>
    <w:rsid w:val="11292746"/>
    <w:rsid w:val="11812847"/>
    <w:rsid w:val="11D074A7"/>
    <w:rsid w:val="11F1104F"/>
    <w:rsid w:val="12104EB8"/>
    <w:rsid w:val="121618CE"/>
    <w:rsid w:val="12485112"/>
    <w:rsid w:val="127E0235"/>
    <w:rsid w:val="12941C29"/>
    <w:rsid w:val="13447D51"/>
    <w:rsid w:val="1350413D"/>
    <w:rsid w:val="13884CF1"/>
    <w:rsid w:val="13DC4A51"/>
    <w:rsid w:val="13FB7424"/>
    <w:rsid w:val="141C0605"/>
    <w:rsid w:val="14255AAC"/>
    <w:rsid w:val="14D247B0"/>
    <w:rsid w:val="14D42C8D"/>
    <w:rsid w:val="14D95E11"/>
    <w:rsid w:val="150461FF"/>
    <w:rsid w:val="153D4CD7"/>
    <w:rsid w:val="156A35F2"/>
    <w:rsid w:val="15B42ABF"/>
    <w:rsid w:val="15CA578C"/>
    <w:rsid w:val="15FA5046"/>
    <w:rsid w:val="163C175E"/>
    <w:rsid w:val="166B67EA"/>
    <w:rsid w:val="16C531D6"/>
    <w:rsid w:val="16ED20B8"/>
    <w:rsid w:val="17190E2C"/>
    <w:rsid w:val="172C3DD9"/>
    <w:rsid w:val="176A29DE"/>
    <w:rsid w:val="176C6A6D"/>
    <w:rsid w:val="17B86896"/>
    <w:rsid w:val="17CC0594"/>
    <w:rsid w:val="18054ADA"/>
    <w:rsid w:val="184243B2"/>
    <w:rsid w:val="185B2CF5"/>
    <w:rsid w:val="19046B90"/>
    <w:rsid w:val="191166C5"/>
    <w:rsid w:val="197C3A35"/>
    <w:rsid w:val="19BE5CBA"/>
    <w:rsid w:val="1A33648B"/>
    <w:rsid w:val="1A3A1272"/>
    <w:rsid w:val="1A6938AB"/>
    <w:rsid w:val="1A6B7A18"/>
    <w:rsid w:val="1ACE11E7"/>
    <w:rsid w:val="1AE62C1F"/>
    <w:rsid w:val="1B316F0C"/>
    <w:rsid w:val="1B4671D7"/>
    <w:rsid w:val="1B68132B"/>
    <w:rsid w:val="1BA62EAA"/>
    <w:rsid w:val="1BC3580A"/>
    <w:rsid w:val="1BD13D1E"/>
    <w:rsid w:val="1C3A1F70"/>
    <w:rsid w:val="1C5F62DC"/>
    <w:rsid w:val="1C7A0A00"/>
    <w:rsid w:val="1C8A3C2D"/>
    <w:rsid w:val="1C93375D"/>
    <w:rsid w:val="1CAE64BA"/>
    <w:rsid w:val="1CB73AE0"/>
    <w:rsid w:val="1D14431E"/>
    <w:rsid w:val="1D2329C7"/>
    <w:rsid w:val="1D2B2EEA"/>
    <w:rsid w:val="1D3A7D4E"/>
    <w:rsid w:val="1D78539C"/>
    <w:rsid w:val="1DB14C0D"/>
    <w:rsid w:val="1DB46A19"/>
    <w:rsid w:val="1DD12460"/>
    <w:rsid w:val="1E4E3AB1"/>
    <w:rsid w:val="1E502F17"/>
    <w:rsid w:val="1E935967"/>
    <w:rsid w:val="1EA66032"/>
    <w:rsid w:val="1ECD620C"/>
    <w:rsid w:val="1ED52782"/>
    <w:rsid w:val="1EF503D0"/>
    <w:rsid w:val="1FBA6538"/>
    <w:rsid w:val="1FC77A98"/>
    <w:rsid w:val="1FCA39DF"/>
    <w:rsid w:val="1FD34CE7"/>
    <w:rsid w:val="201E5705"/>
    <w:rsid w:val="202A40A9"/>
    <w:rsid w:val="202A4D97"/>
    <w:rsid w:val="2061341C"/>
    <w:rsid w:val="21A63C04"/>
    <w:rsid w:val="21DC4CF7"/>
    <w:rsid w:val="21F20BF7"/>
    <w:rsid w:val="220F2EAB"/>
    <w:rsid w:val="22284619"/>
    <w:rsid w:val="224C6559"/>
    <w:rsid w:val="22AA6AAC"/>
    <w:rsid w:val="22C61B62"/>
    <w:rsid w:val="22D402FC"/>
    <w:rsid w:val="23157672"/>
    <w:rsid w:val="23687A86"/>
    <w:rsid w:val="23B06A75"/>
    <w:rsid w:val="23CB7951"/>
    <w:rsid w:val="23F23DFC"/>
    <w:rsid w:val="24801192"/>
    <w:rsid w:val="24F37160"/>
    <w:rsid w:val="25005A1B"/>
    <w:rsid w:val="252C63D1"/>
    <w:rsid w:val="253A197D"/>
    <w:rsid w:val="25485D6E"/>
    <w:rsid w:val="25565941"/>
    <w:rsid w:val="25691339"/>
    <w:rsid w:val="25BF54C8"/>
    <w:rsid w:val="25E46AA9"/>
    <w:rsid w:val="261455E0"/>
    <w:rsid w:val="267E6EFD"/>
    <w:rsid w:val="26A60202"/>
    <w:rsid w:val="26B96187"/>
    <w:rsid w:val="27421CD9"/>
    <w:rsid w:val="27A22094"/>
    <w:rsid w:val="27AA3110"/>
    <w:rsid w:val="28001E2F"/>
    <w:rsid w:val="280F17AD"/>
    <w:rsid w:val="28472493"/>
    <w:rsid w:val="284F024E"/>
    <w:rsid w:val="28515F1D"/>
    <w:rsid w:val="287B69B2"/>
    <w:rsid w:val="28FB1A86"/>
    <w:rsid w:val="297445E7"/>
    <w:rsid w:val="29893A70"/>
    <w:rsid w:val="2998116B"/>
    <w:rsid w:val="299E1A89"/>
    <w:rsid w:val="29C94933"/>
    <w:rsid w:val="2A4A36B6"/>
    <w:rsid w:val="2A5C2BAF"/>
    <w:rsid w:val="2A6D1762"/>
    <w:rsid w:val="2A9578E2"/>
    <w:rsid w:val="2A9A007E"/>
    <w:rsid w:val="2ABF389F"/>
    <w:rsid w:val="2ADA4F38"/>
    <w:rsid w:val="2AF754D0"/>
    <w:rsid w:val="2B2636BF"/>
    <w:rsid w:val="2B335F40"/>
    <w:rsid w:val="2B471FB3"/>
    <w:rsid w:val="2BC30204"/>
    <w:rsid w:val="2BED1A3C"/>
    <w:rsid w:val="2BF00DE1"/>
    <w:rsid w:val="2BF5792D"/>
    <w:rsid w:val="2C8C4073"/>
    <w:rsid w:val="2C9D0E95"/>
    <w:rsid w:val="2D0D2D89"/>
    <w:rsid w:val="2D1B1A54"/>
    <w:rsid w:val="2D3D0B19"/>
    <w:rsid w:val="2D6938D9"/>
    <w:rsid w:val="2D844651"/>
    <w:rsid w:val="2D8C0368"/>
    <w:rsid w:val="2D915768"/>
    <w:rsid w:val="2DB13996"/>
    <w:rsid w:val="2DC8427B"/>
    <w:rsid w:val="2DD368F5"/>
    <w:rsid w:val="2DD938D5"/>
    <w:rsid w:val="2E4164CA"/>
    <w:rsid w:val="2ED124F0"/>
    <w:rsid w:val="2F1C0570"/>
    <w:rsid w:val="2F2528C5"/>
    <w:rsid w:val="2FA07EE4"/>
    <w:rsid w:val="2FC8743B"/>
    <w:rsid w:val="2FCC7A26"/>
    <w:rsid w:val="31016FA3"/>
    <w:rsid w:val="31107B47"/>
    <w:rsid w:val="3138414C"/>
    <w:rsid w:val="313E79B5"/>
    <w:rsid w:val="317A1D0D"/>
    <w:rsid w:val="31A97479"/>
    <w:rsid w:val="31C5649B"/>
    <w:rsid w:val="32284F44"/>
    <w:rsid w:val="32923D3F"/>
    <w:rsid w:val="329F26D5"/>
    <w:rsid w:val="33095DA0"/>
    <w:rsid w:val="332C6031"/>
    <w:rsid w:val="33386B85"/>
    <w:rsid w:val="3421711A"/>
    <w:rsid w:val="34364674"/>
    <w:rsid w:val="34936360"/>
    <w:rsid w:val="34A91D2A"/>
    <w:rsid w:val="34B425AD"/>
    <w:rsid w:val="34B85B88"/>
    <w:rsid w:val="35E2018C"/>
    <w:rsid w:val="361E7187"/>
    <w:rsid w:val="366B4E64"/>
    <w:rsid w:val="36CF0758"/>
    <w:rsid w:val="36E94AFA"/>
    <w:rsid w:val="37296B05"/>
    <w:rsid w:val="3768578B"/>
    <w:rsid w:val="379E6A5D"/>
    <w:rsid w:val="37A533D9"/>
    <w:rsid w:val="37DF0E58"/>
    <w:rsid w:val="380A05F1"/>
    <w:rsid w:val="38A709A4"/>
    <w:rsid w:val="38C23843"/>
    <w:rsid w:val="38CF35E8"/>
    <w:rsid w:val="38DC2DEC"/>
    <w:rsid w:val="38F82B3F"/>
    <w:rsid w:val="3925145A"/>
    <w:rsid w:val="392E36C1"/>
    <w:rsid w:val="39616936"/>
    <w:rsid w:val="39811AC3"/>
    <w:rsid w:val="39893D59"/>
    <w:rsid w:val="39903EFC"/>
    <w:rsid w:val="39C34D61"/>
    <w:rsid w:val="3A013439"/>
    <w:rsid w:val="3A8D0FAB"/>
    <w:rsid w:val="3AA54601"/>
    <w:rsid w:val="3AE1337E"/>
    <w:rsid w:val="3B2562FC"/>
    <w:rsid w:val="3B8D44C3"/>
    <w:rsid w:val="3BC767F9"/>
    <w:rsid w:val="3BCC5D2A"/>
    <w:rsid w:val="3BDA477E"/>
    <w:rsid w:val="3C342CD5"/>
    <w:rsid w:val="3C357C06"/>
    <w:rsid w:val="3C376E41"/>
    <w:rsid w:val="3C8E5AF7"/>
    <w:rsid w:val="3C9514B4"/>
    <w:rsid w:val="3C9B1B7E"/>
    <w:rsid w:val="3CBB0E0C"/>
    <w:rsid w:val="3D1629E5"/>
    <w:rsid w:val="3D346F52"/>
    <w:rsid w:val="3D687B67"/>
    <w:rsid w:val="3D984E54"/>
    <w:rsid w:val="3DB82C7B"/>
    <w:rsid w:val="3DBD1D98"/>
    <w:rsid w:val="3DE32483"/>
    <w:rsid w:val="3DE36705"/>
    <w:rsid w:val="3E710014"/>
    <w:rsid w:val="3E7B6944"/>
    <w:rsid w:val="3ECD359C"/>
    <w:rsid w:val="3EEA2F2A"/>
    <w:rsid w:val="3F870779"/>
    <w:rsid w:val="3F8844F1"/>
    <w:rsid w:val="3FD73EF5"/>
    <w:rsid w:val="401A15ED"/>
    <w:rsid w:val="402C4889"/>
    <w:rsid w:val="40387CC5"/>
    <w:rsid w:val="40420B44"/>
    <w:rsid w:val="404F0E53"/>
    <w:rsid w:val="40672358"/>
    <w:rsid w:val="40844CB8"/>
    <w:rsid w:val="40AF0059"/>
    <w:rsid w:val="40F24FB0"/>
    <w:rsid w:val="41006A35"/>
    <w:rsid w:val="412941B0"/>
    <w:rsid w:val="413C14D7"/>
    <w:rsid w:val="41792401"/>
    <w:rsid w:val="41822FD8"/>
    <w:rsid w:val="41B27C0F"/>
    <w:rsid w:val="423050F8"/>
    <w:rsid w:val="423956F4"/>
    <w:rsid w:val="42C03CBA"/>
    <w:rsid w:val="43CA332A"/>
    <w:rsid w:val="446525AE"/>
    <w:rsid w:val="44BC7291"/>
    <w:rsid w:val="44E16B7D"/>
    <w:rsid w:val="45216F7A"/>
    <w:rsid w:val="454115CB"/>
    <w:rsid w:val="459272E1"/>
    <w:rsid w:val="45B63E7B"/>
    <w:rsid w:val="45C041A4"/>
    <w:rsid w:val="45D74A41"/>
    <w:rsid w:val="46104A6D"/>
    <w:rsid w:val="465042B7"/>
    <w:rsid w:val="46AD5FE0"/>
    <w:rsid w:val="46CC73B9"/>
    <w:rsid w:val="46E110F4"/>
    <w:rsid w:val="473004A5"/>
    <w:rsid w:val="47A67C0A"/>
    <w:rsid w:val="47C702AC"/>
    <w:rsid w:val="47CD2257"/>
    <w:rsid w:val="480A097F"/>
    <w:rsid w:val="48114DBB"/>
    <w:rsid w:val="486501BD"/>
    <w:rsid w:val="487D6BBD"/>
    <w:rsid w:val="488C1AAA"/>
    <w:rsid w:val="489839F7"/>
    <w:rsid w:val="48AB4C93"/>
    <w:rsid w:val="48C06AA9"/>
    <w:rsid w:val="48C77E38"/>
    <w:rsid w:val="48C90054"/>
    <w:rsid w:val="49067A1A"/>
    <w:rsid w:val="495B0FC1"/>
    <w:rsid w:val="497208EB"/>
    <w:rsid w:val="497A24E5"/>
    <w:rsid w:val="49883A6B"/>
    <w:rsid w:val="4A10073D"/>
    <w:rsid w:val="4A4200BE"/>
    <w:rsid w:val="4A6A45D5"/>
    <w:rsid w:val="4A9A085A"/>
    <w:rsid w:val="4A9D3546"/>
    <w:rsid w:val="4A9E2F91"/>
    <w:rsid w:val="4B404CCB"/>
    <w:rsid w:val="4B7448BF"/>
    <w:rsid w:val="4B7A2AE5"/>
    <w:rsid w:val="4B864CF2"/>
    <w:rsid w:val="4BB072A9"/>
    <w:rsid w:val="4BC863A1"/>
    <w:rsid w:val="4BF62A99"/>
    <w:rsid w:val="4BFC429C"/>
    <w:rsid w:val="4C000125"/>
    <w:rsid w:val="4C230060"/>
    <w:rsid w:val="4C251A45"/>
    <w:rsid w:val="4C431ECB"/>
    <w:rsid w:val="4CBE77A4"/>
    <w:rsid w:val="4CD93612"/>
    <w:rsid w:val="4CF6538A"/>
    <w:rsid w:val="4D20220D"/>
    <w:rsid w:val="4D694884"/>
    <w:rsid w:val="4DCD5EF0"/>
    <w:rsid w:val="4DDE0FB6"/>
    <w:rsid w:val="4DEB1114"/>
    <w:rsid w:val="4DEF0B37"/>
    <w:rsid w:val="4DFD286B"/>
    <w:rsid w:val="4DFD3923"/>
    <w:rsid w:val="4E263E4D"/>
    <w:rsid w:val="4E5B2FC7"/>
    <w:rsid w:val="4E656D12"/>
    <w:rsid w:val="4E8761C6"/>
    <w:rsid w:val="4ED137BE"/>
    <w:rsid w:val="4EDA0ED2"/>
    <w:rsid w:val="4EF25C39"/>
    <w:rsid w:val="4F5F5100"/>
    <w:rsid w:val="4F7D56F4"/>
    <w:rsid w:val="4F951EC7"/>
    <w:rsid w:val="4FDA2B47"/>
    <w:rsid w:val="4FE42991"/>
    <w:rsid w:val="50575F45"/>
    <w:rsid w:val="50644151"/>
    <w:rsid w:val="50701320"/>
    <w:rsid w:val="50CC66C6"/>
    <w:rsid w:val="50E46C55"/>
    <w:rsid w:val="5109758A"/>
    <w:rsid w:val="51402E7D"/>
    <w:rsid w:val="51705511"/>
    <w:rsid w:val="51813BD6"/>
    <w:rsid w:val="51F97C7B"/>
    <w:rsid w:val="521560B8"/>
    <w:rsid w:val="525E35BB"/>
    <w:rsid w:val="525F7333"/>
    <w:rsid w:val="52716E4D"/>
    <w:rsid w:val="52720E14"/>
    <w:rsid w:val="529402A5"/>
    <w:rsid w:val="52996302"/>
    <w:rsid w:val="52A041F2"/>
    <w:rsid w:val="52AB07CA"/>
    <w:rsid w:val="52C31740"/>
    <w:rsid w:val="531225F7"/>
    <w:rsid w:val="536F55EA"/>
    <w:rsid w:val="53B250FE"/>
    <w:rsid w:val="53E140F8"/>
    <w:rsid w:val="5409022C"/>
    <w:rsid w:val="541C372E"/>
    <w:rsid w:val="542725B3"/>
    <w:rsid w:val="54370568"/>
    <w:rsid w:val="545F0D14"/>
    <w:rsid w:val="548D63DA"/>
    <w:rsid w:val="549F0033"/>
    <w:rsid w:val="54A61249"/>
    <w:rsid w:val="55284354"/>
    <w:rsid w:val="55385E9D"/>
    <w:rsid w:val="554E76D4"/>
    <w:rsid w:val="55870A33"/>
    <w:rsid w:val="55910B25"/>
    <w:rsid w:val="55BB516A"/>
    <w:rsid w:val="55CE4284"/>
    <w:rsid w:val="561346BC"/>
    <w:rsid w:val="565E796F"/>
    <w:rsid w:val="56622EE6"/>
    <w:rsid w:val="569029BC"/>
    <w:rsid w:val="5732642F"/>
    <w:rsid w:val="57A27139"/>
    <w:rsid w:val="57D45BDD"/>
    <w:rsid w:val="582F2485"/>
    <w:rsid w:val="586E207E"/>
    <w:rsid w:val="587B1CE8"/>
    <w:rsid w:val="58B24661"/>
    <w:rsid w:val="58E067DA"/>
    <w:rsid w:val="591A2206"/>
    <w:rsid w:val="598F05C5"/>
    <w:rsid w:val="59D1194D"/>
    <w:rsid w:val="59F667CF"/>
    <w:rsid w:val="5A4412E8"/>
    <w:rsid w:val="5A504131"/>
    <w:rsid w:val="5A611B44"/>
    <w:rsid w:val="5A70032F"/>
    <w:rsid w:val="5A974541"/>
    <w:rsid w:val="5AFA5E4B"/>
    <w:rsid w:val="5B913E89"/>
    <w:rsid w:val="5B914A01"/>
    <w:rsid w:val="5BC51D12"/>
    <w:rsid w:val="5BDF51E5"/>
    <w:rsid w:val="5CBF559E"/>
    <w:rsid w:val="5CF43483"/>
    <w:rsid w:val="5D1B5A98"/>
    <w:rsid w:val="5D900CE9"/>
    <w:rsid w:val="5DAE2216"/>
    <w:rsid w:val="5DB67DCD"/>
    <w:rsid w:val="5DDB6ECD"/>
    <w:rsid w:val="5E2D441E"/>
    <w:rsid w:val="5E504046"/>
    <w:rsid w:val="5E7D126D"/>
    <w:rsid w:val="5E7F31BE"/>
    <w:rsid w:val="5F160C0D"/>
    <w:rsid w:val="5F410A39"/>
    <w:rsid w:val="5F594CFF"/>
    <w:rsid w:val="5F7839D9"/>
    <w:rsid w:val="5FDE7933"/>
    <w:rsid w:val="5FF137C1"/>
    <w:rsid w:val="60260BC1"/>
    <w:rsid w:val="607B5C80"/>
    <w:rsid w:val="60BF3DBF"/>
    <w:rsid w:val="60F4333C"/>
    <w:rsid w:val="610B0F2F"/>
    <w:rsid w:val="621974FF"/>
    <w:rsid w:val="624765A0"/>
    <w:rsid w:val="62AA2731"/>
    <w:rsid w:val="62B3157B"/>
    <w:rsid w:val="632D0578"/>
    <w:rsid w:val="635D1397"/>
    <w:rsid w:val="63C07F39"/>
    <w:rsid w:val="63EE41D7"/>
    <w:rsid w:val="63F76ACF"/>
    <w:rsid w:val="640B6DBE"/>
    <w:rsid w:val="642743CC"/>
    <w:rsid w:val="6439584C"/>
    <w:rsid w:val="644A1BF1"/>
    <w:rsid w:val="644E6953"/>
    <w:rsid w:val="645C36D2"/>
    <w:rsid w:val="646031C3"/>
    <w:rsid w:val="64623156"/>
    <w:rsid w:val="64E85F4C"/>
    <w:rsid w:val="64F37AE5"/>
    <w:rsid w:val="650F2ECA"/>
    <w:rsid w:val="655679FB"/>
    <w:rsid w:val="656404FE"/>
    <w:rsid w:val="656B6F6F"/>
    <w:rsid w:val="65975EC8"/>
    <w:rsid w:val="65E9543A"/>
    <w:rsid w:val="65F934BA"/>
    <w:rsid w:val="65FC46C9"/>
    <w:rsid w:val="66507267"/>
    <w:rsid w:val="66561183"/>
    <w:rsid w:val="666C69CB"/>
    <w:rsid w:val="66882EA5"/>
    <w:rsid w:val="66A3383B"/>
    <w:rsid w:val="66AF38F3"/>
    <w:rsid w:val="66C20E08"/>
    <w:rsid w:val="66C2704C"/>
    <w:rsid w:val="67276807"/>
    <w:rsid w:val="67644223"/>
    <w:rsid w:val="676B54B2"/>
    <w:rsid w:val="67834E89"/>
    <w:rsid w:val="678C1DD8"/>
    <w:rsid w:val="67A21D44"/>
    <w:rsid w:val="67C577E1"/>
    <w:rsid w:val="67E1643F"/>
    <w:rsid w:val="67FB3202"/>
    <w:rsid w:val="68084075"/>
    <w:rsid w:val="684D4276"/>
    <w:rsid w:val="688915DD"/>
    <w:rsid w:val="688D23A8"/>
    <w:rsid w:val="68AB2673"/>
    <w:rsid w:val="68DD368C"/>
    <w:rsid w:val="690600B1"/>
    <w:rsid w:val="69083E29"/>
    <w:rsid w:val="695157D0"/>
    <w:rsid w:val="69992BB4"/>
    <w:rsid w:val="69B661C8"/>
    <w:rsid w:val="6A15505C"/>
    <w:rsid w:val="6A3C1E70"/>
    <w:rsid w:val="6A565CFB"/>
    <w:rsid w:val="6A8E035E"/>
    <w:rsid w:val="6AD56B25"/>
    <w:rsid w:val="6AD953B2"/>
    <w:rsid w:val="6AE0505D"/>
    <w:rsid w:val="6B9C3BAB"/>
    <w:rsid w:val="6BAF4A30"/>
    <w:rsid w:val="6BF5102E"/>
    <w:rsid w:val="6C20474C"/>
    <w:rsid w:val="6C262F44"/>
    <w:rsid w:val="6C795821"/>
    <w:rsid w:val="6CE81FA7"/>
    <w:rsid w:val="6CE85AC4"/>
    <w:rsid w:val="6D7418F5"/>
    <w:rsid w:val="6D81480B"/>
    <w:rsid w:val="6D8F5D46"/>
    <w:rsid w:val="6DCC39BB"/>
    <w:rsid w:val="6DE33CF7"/>
    <w:rsid w:val="6E091363"/>
    <w:rsid w:val="6E0D7A37"/>
    <w:rsid w:val="6E4753F3"/>
    <w:rsid w:val="6E8F2AB8"/>
    <w:rsid w:val="6EAD34A8"/>
    <w:rsid w:val="6ED3037C"/>
    <w:rsid w:val="6F5A0777"/>
    <w:rsid w:val="6F9A0492"/>
    <w:rsid w:val="700F10FE"/>
    <w:rsid w:val="70A950CE"/>
    <w:rsid w:val="70BC5C25"/>
    <w:rsid w:val="70C80B8C"/>
    <w:rsid w:val="70D647FB"/>
    <w:rsid w:val="70EE693E"/>
    <w:rsid w:val="70F94B71"/>
    <w:rsid w:val="71542056"/>
    <w:rsid w:val="71597917"/>
    <w:rsid w:val="71DE6BCF"/>
    <w:rsid w:val="720F6228"/>
    <w:rsid w:val="72215C43"/>
    <w:rsid w:val="72624E83"/>
    <w:rsid w:val="72B15531"/>
    <w:rsid w:val="72CE7E91"/>
    <w:rsid w:val="72DB2E43"/>
    <w:rsid w:val="733410F8"/>
    <w:rsid w:val="73443ED8"/>
    <w:rsid w:val="73697BBA"/>
    <w:rsid w:val="7375655F"/>
    <w:rsid w:val="739A500D"/>
    <w:rsid w:val="739C1D3D"/>
    <w:rsid w:val="73AA15D5"/>
    <w:rsid w:val="73B811A6"/>
    <w:rsid w:val="73EC573C"/>
    <w:rsid w:val="740334B9"/>
    <w:rsid w:val="741033A8"/>
    <w:rsid w:val="7418231F"/>
    <w:rsid w:val="741E2955"/>
    <w:rsid w:val="74224491"/>
    <w:rsid w:val="743907FF"/>
    <w:rsid w:val="74A36C7B"/>
    <w:rsid w:val="751A65D0"/>
    <w:rsid w:val="75273966"/>
    <w:rsid w:val="755328D0"/>
    <w:rsid w:val="75932CCC"/>
    <w:rsid w:val="75D879CB"/>
    <w:rsid w:val="75E111F9"/>
    <w:rsid w:val="75F15D9E"/>
    <w:rsid w:val="76130010"/>
    <w:rsid w:val="76761FBD"/>
    <w:rsid w:val="76976D91"/>
    <w:rsid w:val="76A4354A"/>
    <w:rsid w:val="76B124BB"/>
    <w:rsid w:val="76BC01B9"/>
    <w:rsid w:val="76E30BC3"/>
    <w:rsid w:val="76F9562B"/>
    <w:rsid w:val="770B3462"/>
    <w:rsid w:val="7750650A"/>
    <w:rsid w:val="776C1A27"/>
    <w:rsid w:val="778375A9"/>
    <w:rsid w:val="77895CD1"/>
    <w:rsid w:val="77A00CC0"/>
    <w:rsid w:val="77C96BB0"/>
    <w:rsid w:val="77DB4CAF"/>
    <w:rsid w:val="780305DD"/>
    <w:rsid w:val="781C51FB"/>
    <w:rsid w:val="782A3DBC"/>
    <w:rsid w:val="78406F27"/>
    <w:rsid w:val="78426D38"/>
    <w:rsid w:val="784B08F9"/>
    <w:rsid w:val="78967EE6"/>
    <w:rsid w:val="78DB3308"/>
    <w:rsid w:val="79267A88"/>
    <w:rsid w:val="794800DA"/>
    <w:rsid w:val="79CA0AFE"/>
    <w:rsid w:val="79D51B05"/>
    <w:rsid w:val="7A536490"/>
    <w:rsid w:val="7A707A80"/>
    <w:rsid w:val="7A92187A"/>
    <w:rsid w:val="7AB71463"/>
    <w:rsid w:val="7AD46261"/>
    <w:rsid w:val="7AD54A83"/>
    <w:rsid w:val="7B1E128A"/>
    <w:rsid w:val="7BC67434"/>
    <w:rsid w:val="7BC83312"/>
    <w:rsid w:val="7BE44282"/>
    <w:rsid w:val="7BF03718"/>
    <w:rsid w:val="7BFF3C4B"/>
    <w:rsid w:val="7C163A54"/>
    <w:rsid w:val="7C634321"/>
    <w:rsid w:val="7D3F2465"/>
    <w:rsid w:val="7D58415F"/>
    <w:rsid w:val="7D5B0252"/>
    <w:rsid w:val="7D5E0407"/>
    <w:rsid w:val="7D6D2002"/>
    <w:rsid w:val="7D8762A4"/>
    <w:rsid w:val="7DE8674C"/>
    <w:rsid w:val="7E01111B"/>
    <w:rsid w:val="7E1779E1"/>
    <w:rsid w:val="7E301A00"/>
    <w:rsid w:val="7E732430"/>
    <w:rsid w:val="7EA002A1"/>
    <w:rsid w:val="7EE236F9"/>
    <w:rsid w:val="7F17770C"/>
    <w:rsid w:val="7F390D49"/>
    <w:rsid w:val="7F4F44C1"/>
    <w:rsid w:val="7F863EFF"/>
    <w:rsid w:val="7F9658C9"/>
    <w:rsid w:val="7FE40652"/>
    <w:rsid w:val="7FF15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kern w:val="2"/>
      <w:sz w:val="21"/>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宋体" w:hAnsi="宋体" w:eastAsia="宋体" w:cs="宋体"/>
      <w:sz w:val="43"/>
      <w:szCs w:val="43"/>
      <w:lang w:val="en-US" w:eastAsia="en-US" w:bidi="ar-SA"/>
    </w:rPr>
  </w:style>
  <w:style w:type="paragraph" w:styleId="4">
    <w:name w:val="Body Text Indent"/>
    <w:basedOn w:val="1"/>
    <w:qFormat/>
    <w:uiPriority w:val="0"/>
    <w:pPr>
      <w:ind w:firstLine="645"/>
    </w:pPr>
    <w:rPr>
      <w:rFonts w:ascii="楷体_GB2312" w:hAnsi="Times New Roman" w:eastAsia="楷体_GB2312"/>
      <w:sz w:val="32"/>
      <w:szCs w:val="20"/>
    </w:rPr>
  </w:style>
  <w:style w:type="paragraph" w:styleId="5">
    <w:name w:val="Plain Text"/>
    <w:basedOn w:val="1"/>
    <w:qFormat/>
    <w:uiPriority w:val="99"/>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envelope return"/>
    <w:basedOn w:val="1"/>
    <w:unhideWhenUsed/>
    <w:qFormat/>
    <w:uiPriority w:val="99"/>
    <w:pPr>
      <w:snapToGrid w:val="0"/>
    </w:pPr>
    <w:rPr>
      <w:rFonts w:ascii="Arial" w:hAnsi="Arial"/>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next w:val="1"/>
    <w:unhideWhenUsed/>
    <w:qFormat/>
    <w:uiPriority w:val="99"/>
    <w:pPr>
      <w:spacing w:after="120"/>
      <w:ind w:left="420" w:leftChars="200" w:firstLine="420" w:firstLineChars="200"/>
    </w:pPr>
    <w:rPr>
      <w:rFonts w:ascii="Times New Roman" w:eastAsia="宋体"/>
      <w:sz w:val="21"/>
      <w:szCs w:val="2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Table Paragraph"/>
    <w:basedOn w:val="1"/>
    <w:qFormat/>
    <w:uiPriority w:val="1"/>
    <w:pPr>
      <w:ind w:left="107"/>
    </w:pPr>
    <w:rPr>
      <w:rFonts w:ascii="宋体" w:hAnsi="宋体" w:eastAsia="宋体" w:cs="宋体"/>
      <w:lang w:val="zh-CN" w:eastAsia="zh-CN" w:bidi="zh-CN"/>
    </w:rPr>
  </w:style>
  <w:style w:type="paragraph" w:styleId="18">
    <w:name w:val="List Paragraph"/>
    <w:basedOn w:val="1"/>
    <w:qFormat/>
    <w:uiPriority w:val="1"/>
    <w:pPr>
      <w:ind w:left="167" w:firstLine="420"/>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18260</Words>
  <Characters>18844</Characters>
  <Lines>0</Lines>
  <Paragraphs>0</Paragraphs>
  <TotalTime>1</TotalTime>
  <ScaleCrop>false</ScaleCrop>
  <LinksUpToDate>false</LinksUpToDate>
  <CharactersWithSpaces>19160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江婷</cp:lastModifiedBy>
  <cp:lastPrinted>2025-02-17T01:09:00Z</cp:lastPrinted>
  <dcterms:modified xsi:type="dcterms:W3CDTF">2025-02-17T09:05:41Z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F4643FA4B499499498749C1202230936_13</vt:lpwstr>
  </property>
  <property fmtid="{D5CDD505-2E9C-101B-9397-08002B2CF9AE}" pid="4" name="KSOTemplateDocerSaveRecord">
    <vt:lpwstr>eyJoZGlkIjoiZjQ0OGRjNDc5ZmU0ZmIxMGZmZDNkZDMzNzZhM2VlYjAiLCJ1c2VySWQiOiIxNjA2ODEzMzUxIn0=</vt:lpwstr>
  </property>
</Properties>
</file>