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rPr>
        <w:t>竞 价 文 件</w:t>
      </w: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rFonts w:hint="eastAsia" w:ascii="Garamond" w:hAnsi="Garamond"/>
        </w:rPr>
        <w:drawing>
          <wp:inline distT="0" distB="0" distL="0" distR="0">
            <wp:extent cx="2588260" cy="2026285"/>
            <wp:effectExtent l="0" t="0" r="2540" b="12065"/>
            <wp:docPr id="1" name="图片 1" descr="五星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五星LOGO-02"/>
                    <pic:cNvPicPr>
                      <a:picLocks noChangeAspect="1" noChangeArrowheads="1"/>
                    </pic:cNvPicPr>
                  </pic:nvPicPr>
                  <pic:blipFill>
                    <a:blip r:embed="rId11" cstate="print"/>
                    <a:srcRect/>
                    <a:stretch>
                      <a:fillRect/>
                    </a:stretch>
                  </pic:blipFill>
                  <pic:spPr>
                    <a:xfrm>
                      <a:off x="0" y="0"/>
                      <a:ext cx="2588260" cy="2026285"/>
                    </a:xfrm>
                    <a:prstGeom prst="rect">
                      <a:avLst/>
                    </a:prstGeom>
                    <a:noFill/>
                    <a:ln w="9525" cmpd="sng">
                      <a:noFill/>
                      <a:miter lim="800000"/>
                      <a:headEnd/>
                      <a:tailEnd/>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6"/>
        <w:spacing w:line="500" w:lineRule="exact"/>
        <w:ind w:left="1806" w:hanging="1806" w:hangingChars="500"/>
        <w:jc w:val="both"/>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项目名称：盐水鸭胚、鸭血粉丝、方糕等半成品原材料系列产品项目</w:t>
      </w:r>
    </w:p>
    <w:p>
      <w:pPr>
        <w:pStyle w:val="6"/>
        <w:spacing w:line="500" w:lineRule="exact"/>
        <w:jc w:val="both"/>
        <w:rPr>
          <w:rFonts w:ascii="宋体" w:hAnsi="宋体" w:cs="宋体"/>
          <w:b/>
          <w:bCs/>
          <w:color w:val="000000"/>
          <w:sz w:val="32"/>
          <w:szCs w:val="32"/>
        </w:rPr>
      </w:pPr>
      <w:bookmarkStart w:id="0" w:name="_Toc17843"/>
      <w:r>
        <w:rPr>
          <w:rFonts w:hint="eastAsia" w:ascii="宋体" w:hAnsi="DotumChe" w:cs="宋体"/>
          <w:b/>
          <w:color w:val="000000"/>
          <w:spacing w:val="20"/>
          <w:kern w:val="0"/>
          <w:sz w:val="32"/>
          <w:szCs w:val="32"/>
        </w:rPr>
        <w:t>项目编号：</w:t>
      </w:r>
      <w:r>
        <w:rPr>
          <w:rFonts w:hint="eastAsia" w:ascii="宋体" w:hAnsi="宋体" w:cs="宋体"/>
          <w:b/>
          <w:bCs/>
          <w:color w:val="000000"/>
          <w:sz w:val="32"/>
          <w:szCs w:val="32"/>
        </w:rPr>
        <w:t>2024HRJL0002号</w:t>
      </w:r>
      <w:bookmarkEnd w:id="0"/>
    </w:p>
    <w:p>
      <w:pPr>
        <w:pStyle w:val="6"/>
        <w:spacing w:line="500" w:lineRule="exact"/>
        <w:jc w:val="both"/>
        <w:outlineLvl w:val="0"/>
        <w:rPr>
          <w:rFonts w:ascii="宋体" w:hAnsi="DotumChe" w:cs="宋体"/>
          <w:b/>
          <w:color w:val="000000"/>
          <w:spacing w:val="20"/>
          <w:kern w:val="0"/>
          <w:sz w:val="32"/>
          <w:szCs w:val="32"/>
        </w:rPr>
      </w:pPr>
      <w:bookmarkStart w:id="1" w:name="_Toc10277"/>
      <w:bookmarkStart w:id="2" w:name="_Toc5632"/>
      <w:r>
        <w:rPr>
          <w:rFonts w:hint="eastAsia" w:ascii="宋体" w:hAnsi="DotumChe" w:cs="宋体"/>
          <w:b/>
          <w:color w:val="000000"/>
          <w:spacing w:val="20"/>
          <w:kern w:val="0"/>
          <w:sz w:val="32"/>
          <w:szCs w:val="32"/>
        </w:rPr>
        <w:t>招 标 人：合肥</w:t>
      </w:r>
      <w:r>
        <w:rPr>
          <w:rFonts w:hint="eastAsia" w:ascii="宋体" w:hAnsi="DotumChe" w:cs="宋体"/>
          <w:b/>
          <w:color w:val="000000"/>
          <w:spacing w:val="20"/>
          <w:kern w:val="0"/>
          <w:sz w:val="32"/>
          <w:szCs w:val="32"/>
          <w:lang w:eastAsia="zh-CN"/>
        </w:rPr>
        <w:t>泓瑞金陵大酒店有限责任</w:t>
      </w:r>
      <w:r>
        <w:rPr>
          <w:rFonts w:hint="eastAsia" w:ascii="宋体" w:hAnsi="DotumChe" w:cs="宋体"/>
          <w:b/>
          <w:color w:val="000000"/>
          <w:spacing w:val="20"/>
          <w:kern w:val="0"/>
          <w:sz w:val="32"/>
          <w:szCs w:val="32"/>
        </w:rPr>
        <w:t>公司</w:t>
      </w:r>
      <w:bookmarkEnd w:id="1"/>
      <w:bookmarkEnd w:id="2"/>
    </w:p>
    <w:p>
      <w:pPr>
        <w:pStyle w:val="6"/>
        <w:spacing w:line="500" w:lineRule="exact"/>
        <w:jc w:val="both"/>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年</w:t>
      </w:r>
      <w:r>
        <w:rPr>
          <w:rFonts w:hint="eastAsia" w:ascii="宋体" w:hAnsi="DotumChe" w:cs="宋体"/>
          <w:b/>
          <w:color w:val="000000"/>
          <w:spacing w:val="20"/>
          <w:kern w:val="0"/>
          <w:sz w:val="32"/>
          <w:szCs w:val="32"/>
          <w:lang w:val="en-US" w:eastAsia="zh-CN"/>
        </w:rPr>
        <w:t>1</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spacing w:line="360" w:lineRule="auto"/>
        <w:rPr>
          <w:rFonts w:ascii="黑体" w:hAnsi="宋体" w:eastAsia="黑体"/>
          <w:color w:val="000000"/>
          <w:sz w:val="32"/>
        </w:rPr>
        <w:sectPr>
          <w:headerReference r:id="rId3" w:type="default"/>
          <w:footerReference r:id="rId4" w:type="default"/>
          <w:pgSz w:w="11907" w:h="16840"/>
          <w:pgMar w:top="1440" w:right="1247" w:bottom="1440" w:left="1247" w:header="851" w:footer="992" w:gutter="0"/>
          <w:pgNumType w:fmt="decimal" w:start="1"/>
          <w:cols w:space="720" w:num="1"/>
          <w:docGrid w:linePitch="303" w:charSpace="0"/>
        </w:sectPr>
      </w:pPr>
    </w:p>
    <w:sdt>
      <w:sdtPr>
        <w:rPr>
          <w:rFonts w:ascii="宋体" w:hAnsi="宋体"/>
          <w:b/>
          <w:bCs/>
          <w:sz w:val="36"/>
          <w:szCs w:val="36"/>
        </w:rPr>
        <w:id w:val="147451261"/>
        <w:docPartObj>
          <w:docPartGallery w:val="Table of Contents"/>
          <w:docPartUnique/>
        </w:docPartObj>
      </w:sdtPr>
      <w:sdtEndPr>
        <w:rPr>
          <w:rFonts w:ascii="宋体" w:hAnsi="宋体"/>
          <w:b/>
          <w:bCs/>
          <w:sz w:val="36"/>
          <w:szCs w:val="36"/>
        </w:rPr>
      </w:sdtEndPr>
      <w:sdtContent>
        <w:p>
          <w:pPr>
            <w:jc w:val="center"/>
            <w:rPr>
              <w:b/>
              <w:bCs/>
              <w:sz w:val="36"/>
              <w:szCs w:val="36"/>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34"/>
            <w:tabs>
              <w:tab w:val="right" w:leader="dot" w:pos="9413"/>
            </w:tabs>
            <w:rPr>
              <w:b/>
            </w:rPr>
          </w:pPr>
          <w:r>
            <w:fldChar w:fldCharType="begin"/>
          </w:r>
          <w:r>
            <w:instrText xml:space="preserve">TOC \o "1-2" \h \u </w:instrText>
          </w:r>
          <w:r>
            <w:fldChar w:fldCharType="separate"/>
          </w:r>
        </w:p>
        <w:p>
          <w:pPr>
            <w:pStyle w:val="35"/>
            <w:tabs>
              <w:tab w:val="right" w:leader="dot" w:pos="9413"/>
            </w:tabs>
            <w:ind w:left="420"/>
            <w:rPr>
              <w:sz w:val="22"/>
              <w:szCs w:val="22"/>
            </w:rPr>
          </w:pPr>
          <w:r>
            <w:fldChar w:fldCharType="begin"/>
          </w:r>
          <w:r>
            <w:instrText xml:space="preserve"> HYPERLINK \l "_Toc2566" </w:instrText>
          </w:r>
          <w:r>
            <w:fldChar w:fldCharType="separate"/>
          </w:r>
          <w:r>
            <w:rPr>
              <w:rFonts w:hint="eastAsia" w:ascii="宋体" w:hAnsi="宋体" w:eastAsia="宋体"/>
              <w:b/>
              <w:bCs/>
              <w:sz w:val="22"/>
              <w:szCs w:val="22"/>
            </w:rPr>
            <w:t>第一章 投标邀请（招标公告）</w:t>
          </w:r>
          <w:r>
            <w:rPr>
              <w:sz w:val="22"/>
              <w:szCs w:val="22"/>
            </w:rPr>
            <w:tab/>
          </w:r>
          <w:r>
            <w:rPr>
              <w:sz w:val="22"/>
              <w:szCs w:val="22"/>
            </w:rPr>
            <w:fldChar w:fldCharType="begin"/>
          </w:r>
          <w:r>
            <w:rPr>
              <w:sz w:val="22"/>
              <w:szCs w:val="22"/>
            </w:rPr>
            <w:instrText xml:space="preserve"> PAGEREF _Toc2566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"_Toc94" </w:instrText>
          </w:r>
          <w:r>
            <w:fldChar w:fldCharType="separate"/>
          </w:r>
          <w:r>
            <w:rPr>
              <w:rFonts w:hint="eastAsia" w:ascii="宋体" w:hAnsi="宋体"/>
              <w:sz w:val="22"/>
              <w:szCs w:val="22"/>
            </w:rPr>
            <w:t>一、项目概况</w:t>
          </w:r>
          <w:r>
            <w:rPr>
              <w:sz w:val="22"/>
              <w:szCs w:val="22"/>
            </w:rPr>
            <w:tab/>
          </w:r>
          <w:r>
            <w:rPr>
              <w:sz w:val="22"/>
              <w:szCs w:val="22"/>
            </w:rPr>
            <w:fldChar w:fldCharType="begin"/>
          </w:r>
          <w:r>
            <w:rPr>
              <w:sz w:val="22"/>
              <w:szCs w:val="22"/>
            </w:rPr>
            <w:instrText xml:space="preserve"> PAGEREF _Toc94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"_Toc588" </w:instrText>
          </w:r>
          <w:r>
            <w:fldChar w:fldCharType="separate"/>
          </w:r>
          <w:r>
            <w:rPr>
              <w:rFonts w:hint="eastAsia" w:ascii="宋体" w:hAnsi="宋体"/>
              <w:sz w:val="22"/>
              <w:szCs w:val="22"/>
            </w:rPr>
            <w:t>二、投标人应具备的基本条件</w:t>
          </w:r>
          <w:r>
            <w:rPr>
              <w:sz w:val="22"/>
              <w:szCs w:val="22"/>
            </w:rPr>
            <w:tab/>
          </w:r>
          <w:r>
            <w:rPr>
              <w:sz w:val="22"/>
              <w:szCs w:val="22"/>
            </w:rPr>
            <w:fldChar w:fldCharType="begin"/>
          </w:r>
          <w:r>
            <w:rPr>
              <w:sz w:val="22"/>
              <w:szCs w:val="22"/>
            </w:rPr>
            <w:instrText xml:space="preserve"> PAGEREF _Toc588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"_Toc30995" </w:instrText>
          </w:r>
          <w:r>
            <w:fldChar w:fldCharType="separate"/>
          </w:r>
          <w:r>
            <w:rPr>
              <w:rFonts w:hint="eastAsia" w:ascii="宋体" w:hAnsi="宋体"/>
              <w:bCs/>
              <w:sz w:val="22"/>
              <w:szCs w:val="22"/>
            </w:rPr>
            <w:t>三、投标报名</w:t>
          </w:r>
          <w:r>
            <w:rPr>
              <w:sz w:val="22"/>
              <w:szCs w:val="22"/>
            </w:rPr>
            <w:tab/>
          </w:r>
          <w:r>
            <w:rPr>
              <w:sz w:val="22"/>
              <w:szCs w:val="22"/>
            </w:rPr>
            <w:fldChar w:fldCharType="begin"/>
          </w:r>
          <w:r>
            <w:rPr>
              <w:sz w:val="22"/>
              <w:szCs w:val="22"/>
            </w:rPr>
            <w:instrText xml:space="preserve"> PAGEREF _Toc30995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"_Toc23731" </w:instrText>
          </w:r>
          <w:r>
            <w:fldChar w:fldCharType="separate"/>
          </w:r>
          <w:r>
            <w:rPr>
              <w:rFonts w:hint="eastAsia" w:ascii="宋体" w:hAnsi="宋体" w:cs="宋体"/>
              <w:sz w:val="22"/>
              <w:szCs w:val="22"/>
            </w:rPr>
            <w:t>四、开标时间及地点</w:t>
          </w:r>
          <w:r>
            <w:rPr>
              <w:sz w:val="22"/>
              <w:szCs w:val="22"/>
            </w:rPr>
            <w:tab/>
          </w:r>
          <w:r>
            <w:rPr>
              <w:sz w:val="22"/>
              <w:szCs w:val="22"/>
            </w:rPr>
            <w:fldChar w:fldCharType="begin"/>
          </w:r>
          <w:r>
            <w:rPr>
              <w:sz w:val="22"/>
              <w:szCs w:val="22"/>
            </w:rPr>
            <w:instrText xml:space="preserve"> PAGEREF _Toc23731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"_Toc24805" </w:instrText>
          </w:r>
          <w:r>
            <w:fldChar w:fldCharType="separate"/>
          </w:r>
          <w:r>
            <w:rPr>
              <w:rFonts w:hint="eastAsia" w:ascii="宋体" w:hAnsi="宋体" w:cs="宋体"/>
              <w:sz w:val="22"/>
              <w:szCs w:val="22"/>
            </w:rPr>
            <w:t>五、投标截止时间</w:t>
          </w:r>
          <w:r>
            <w:rPr>
              <w:sz w:val="22"/>
              <w:szCs w:val="22"/>
            </w:rPr>
            <w:tab/>
          </w:r>
          <w:r>
            <w:rPr>
              <w:rFonts w:hint="eastAsia"/>
              <w:sz w:val="22"/>
              <w:szCs w:val="22"/>
              <w:lang w:val="en-US" w:eastAsia="zh-CN"/>
            </w:rPr>
            <w:t>3</w:t>
          </w:r>
          <w:r>
            <w:rPr>
              <w:sz w:val="22"/>
              <w:szCs w:val="22"/>
            </w:rPr>
            <w:fldChar w:fldCharType="end"/>
          </w:r>
        </w:p>
        <w:p>
          <w:pPr>
            <w:pStyle w:val="35"/>
            <w:tabs>
              <w:tab w:val="right" w:leader="dot" w:pos="9413"/>
            </w:tabs>
            <w:ind w:left="420"/>
            <w:rPr>
              <w:sz w:val="22"/>
              <w:szCs w:val="22"/>
            </w:rPr>
          </w:pPr>
          <w:r>
            <w:fldChar w:fldCharType="begin"/>
          </w:r>
          <w:r>
            <w:instrText xml:space="preserve"> HYPERLINK \l "_Toc29259" </w:instrText>
          </w:r>
          <w:r>
            <w:fldChar w:fldCharType="separate"/>
          </w:r>
          <w:r>
            <w:rPr>
              <w:rFonts w:hint="eastAsia" w:ascii="宋体" w:hAnsi="宋体" w:cs="宋体"/>
              <w:sz w:val="22"/>
              <w:szCs w:val="22"/>
            </w:rPr>
            <w:t>六、联系方法</w:t>
          </w:r>
          <w:r>
            <w:rPr>
              <w:sz w:val="22"/>
              <w:szCs w:val="22"/>
            </w:rPr>
            <w:tab/>
          </w:r>
          <w:r>
            <w:rPr>
              <w:rFonts w:hint="eastAsia"/>
              <w:sz w:val="22"/>
              <w:szCs w:val="22"/>
              <w:lang w:val="en-US" w:eastAsia="zh-CN"/>
            </w:rPr>
            <w:t>3</w:t>
          </w:r>
          <w:r>
            <w:rPr>
              <w:sz w:val="22"/>
              <w:szCs w:val="22"/>
            </w:rPr>
            <w:fldChar w:fldCharType="end"/>
          </w:r>
        </w:p>
        <w:p>
          <w:pPr>
            <w:pStyle w:val="35"/>
            <w:tabs>
              <w:tab w:val="right" w:leader="dot" w:pos="9413"/>
            </w:tabs>
            <w:ind w:left="420"/>
            <w:rPr>
              <w:sz w:val="22"/>
              <w:szCs w:val="22"/>
            </w:rPr>
          </w:pPr>
          <w:r>
            <w:fldChar w:fldCharType="begin"/>
          </w:r>
          <w:r>
            <w:instrText xml:space="preserve"> HYPERLINK \l "_Toc8851" </w:instrText>
          </w:r>
          <w:r>
            <w:fldChar w:fldCharType="separate"/>
          </w:r>
          <w:r>
            <w:rPr>
              <w:rFonts w:hint="eastAsia" w:ascii="宋体" w:hAnsi="宋体" w:cs="宋体"/>
              <w:sz w:val="22"/>
              <w:szCs w:val="22"/>
            </w:rPr>
            <w:t>七、其他补充事宜</w:t>
          </w:r>
          <w:r>
            <w:rPr>
              <w:sz w:val="22"/>
              <w:szCs w:val="22"/>
            </w:rPr>
            <w:tab/>
          </w:r>
          <w:r>
            <w:rPr>
              <w:sz w:val="22"/>
              <w:szCs w:val="22"/>
            </w:rPr>
            <w:fldChar w:fldCharType="begin"/>
          </w:r>
          <w:r>
            <w:rPr>
              <w:sz w:val="22"/>
              <w:szCs w:val="22"/>
            </w:rPr>
            <w:instrText xml:space="preserve"> PAGEREF _Toc8851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"_Toc26881" </w:instrText>
          </w:r>
          <w:r>
            <w:fldChar w:fldCharType="separate"/>
          </w:r>
          <w:r>
            <w:rPr>
              <w:rFonts w:hint="eastAsia" w:ascii="宋体" w:hAnsi="宋体" w:cs="宋体"/>
              <w:sz w:val="22"/>
              <w:szCs w:val="22"/>
            </w:rPr>
            <w:t>八、 招标文件的异议、投诉</w:t>
          </w:r>
          <w:r>
            <w:rPr>
              <w:sz w:val="22"/>
              <w:szCs w:val="22"/>
            </w:rPr>
            <w:tab/>
          </w:r>
          <w:r>
            <w:rPr>
              <w:sz w:val="22"/>
              <w:szCs w:val="22"/>
            </w:rPr>
            <w:fldChar w:fldCharType="begin"/>
          </w:r>
          <w:r>
            <w:rPr>
              <w:sz w:val="22"/>
              <w:szCs w:val="22"/>
            </w:rPr>
            <w:instrText xml:space="preserve"> PAGEREF _Toc26881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"_Toc16859" </w:instrText>
          </w:r>
          <w:r>
            <w:fldChar w:fldCharType="separate"/>
          </w:r>
          <w:r>
            <w:rPr>
              <w:rFonts w:hint="eastAsia" w:ascii="宋体" w:hAnsi="宋体" w:eastAsia="宋体"/>
              <w:b/>
              <w:bCs/>
              <w:sz w:val="22"/>
              <w:szCs w:val="22"/>
            </w:rPr>
            <w:t>第二章 投标人须知前附表</w:t>
          </w:r>
          <w:r>
            <w:rPr>
              <w:sz w:val="22"/>
              <w:szCs w:val="22"/>
            </w:rPr>
            <w:tab/>
          </w:r>
          <w:r>
            <w:rPr>
              <w:sz w:val="22"/>
              <w:szCs w:val="22"/>
            </w:rPr>
            <w:fldChar w:fldCharType="begin"/>
          </w:r>
          <w:r>
            <w:rPr>
              <w:sz w:val="22"/>
              <w:szCs w:val="22"/>
            </w:rPr>
            <w:instrText xml:space="preserve"> PAGEREF _Toc16859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34"/>
            <w:tabs>
              <w:tab w:val="right" w:leader="dot" w:pos="9413"/>
            </w:tabs>
            <w:ind w:firstLine="400" w:firstLineChars="200"/>
            <w:rPr>
              <w:b/>
              <w:sz w:val="22"/>
              <w:szCs w:val="22"/>
            </w:rPr>
          </w:pPr>
          <w:r>
            <w:fldChar w:fldCharType="begin"/>
          </w:r>
          <w:r>
            <w:instrText xml:space="preserve"> HYPERLINK \l "_Toc23823" </w:instrText>
          </w:r>
          <w:r>
            <w:fldChar w:fldCharType="separate"/>
          </w:r>
          <w:r>
            <w:rPr>
              <w:rFonts w:hint="eastAsia" w:ascii="宋体" w:hAnsi="宋体" w:cs="宋体"/>
              <w:b/>
              <w:bCs/>
              <w:sz w:val="22"/>
              <w:szCs w:val="22"/>
            </w:rPr>
            <w:t>第三章  招标需求</w:t>
          </w:r>
          <w:r>
            <w:rPr>
              <w:bCs/>
              <w:sz w:val="22"/>
              <w:szCs w:val="22"/>
            </w:rPr>
            <w:tab/>
          </w:r>
          <w:r>
            <w:rPr>
              <w:bCs/>
              <w:sz w:val="22"/>
              <w:szCs w:val="22"/>
            </w:rPr>
            <w:fldChar w:fldCharType="begin"/>
          </w:r>
          <w:r>
            <w:rPr>
              <w:bCs/>
              <w:sz w:val="22"/>
              <w:szCs w:val="22"/>
            </w:rPr>
            <w:instrText xml:space="preserve"> PAGEREF _Toc23823 \h </w:instrText>
          </w:r>
          <w:r>
            <w:rPr>
              <w:bCs/>
              <w:sz w:val="22"/>
              <w:szCs w:val="22"/>
            </w:rPr>
            <w:fldChar w:fldCharType="separate"/>
          </w:r>
          <w:r>
            <w:rPr>
              <w:bCs/>
              <w:sz w:val="22"/>
              <w:szCs w:val="22"/>
            </w:rPr>
            <w:t>7</w:t>
          </w:r>
          <w:r>
            <w:rPr>
              <w:bCs/>
              <w:sz w:val="22"/>
              <w:szCs w:val="22"/>
            </w:rPr>
            <w:fldChar w:fldCharType="end"/>
          </w:r>
          <w:r>
            <w:rPr>
              <w:bCs/>
              <w:sz w:val="22"/>
              <w:szCs w:val="22"/>
            </w:rPr>
            <w:fldChar w:fldCharType="end"/>
          </w:r>
        </w:p>
        <w:p>
          <w:pPr>
            <w:pStyle w:val="35"/>
            <w:tabs>
              <w:tab w:val="right" w:leader="dot" w:pos="9413"/>
            </w:tabs>
            <w:ind w:left="420"/>
            <w:rPr>
              <w:sz w:val="22"/>
              <w:szCs w:val="22"/>
            </w:rPr>
          </w:pPr>
          <w:r>
            <w:fldChar w:fldCharType="begin"/>
          </w:r>
          <w:r>
            <w:instrText xml:space="preserve"> HYPERLINK \l "_Toc23454" </w:instrText>
          </w:r>
          <w:r>
            <w:fldChar w:fldCharType="separate"/>
          </w:r>
          <w:r>
            <w:rPr>
              <w:rFonts w:hint="eastAsia" w:ascii="宋体" w:hAnsi="宋体"/>
              <w:bCs/>
              <w:sz w:val="22"/>
              <w:szCs w:val="22"/>
            </w:rPr>
            <w:t>一、项目概况</w:t>
          </w:r>
          <w:r>
            <w:rPr>
              <w:sz w:val="22"/>
              <w:szCs w:val="22"/>
            </w:rPr>
            <w:tab/>
          </w:r>
          <w:r>
            <w:rPr>
              <w:sz w:val="22"/>
              <w:szCs w:val="22"/>
            </w:rPr>
            <w:fldChar w:fldCharType="begin"/>
          </w:r>
          <w:r>
            <w:rPr>
              <w:sz w:val="22"/>
              <w:szCs w:val="22"/>
            </w:rPr>
            <w:instrText xml:space="preserve"> PAGEREF _Toc23454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"_Toc27422" </w:instrText>
          </w:r>
          <w:r>
            <w:fldChar w:fldCharType="separate"/>
          </w:r>
          <w:r>
            <w:rPr>
              <w:rFonts w:hint="eastAsia" w:ascii="宋体" w:hAnsi="宋体" w:eastAsia="宋体" w:cs="宋体"/>
              <w:bCs/>
              <w:kern w:val="2"/>
              <w:sz w:val="22"/>
              <w:szCs w:val="22"/>
            </w:rPr>
            <w:t xml:space="preserve">二、 </w:t>
          </w:r>
          <w:r>
            <w:rPr>
              <w:rFonts w:hint="eastAsia" w:ascii="宋体" w:hAnsi="宋体" w:eastAsia="宋体" w:cs="Times New Roman"/>
              <w:bCs/>
              <w:kern w:val="2"/>
              <w:sz w:val="22"/>
              <w:szCs w:val="22"/>
            </w:rPr>
            <w:t>项目预算</w:t>
          </w:r>
          <w:r>
            <w:rPr>
              <w:sz w:val="22"/>
              <w:szCs w:val="22"/>
            </w:rPr>
            <w:tab/>
          </w:r>
          <w:r>
            <w:rPr>
              <w:sz w:val="22"/>
              <w:szCs w:val="22"/>
            </w:rPr>
            <w:fldChar w:fldCharType="end"/>
          </w:r>
          <w:r>
            <w:rPr>
              <w:rFonts w:hint="eastAsia"/>
              <w:sz w:val="22"/>
              <w:szCs w:val="22"/>
              <w:lang w:val="en-US" w:eastAsia="zh-CN"/>
            </w:rPr>
            <w:t>6</w:t>
          </w:r>
        </w:p>
        <w:p>
          <w:pPr>
            <w:pStyle w:val="35"/>
            <w:tabs>
              <w:tab w:val="right" w:leader="dot" w:pos="9413"/>
            </w:tabs>
            <w:ind w:left="420"/>
            <w:rPr>
              <w:sz w:val="22"/>
              <w:szCs w:val="22"/>
            </w:rPr>
          </w:pPr>
          <w:r>
            <w:fldChar w:fldCharType="begin"/>
          </w:r>
          <w:r>
            <w:instrText xml:space="preserve"> HYPERLINK \l "_Toc26628" </w:instrText>
          </w:r>
          <w:r>
            <w:fldChar w:fldCharType="separate"/>
          </w:r>
          <w:r>
            <w:rPr>
              <w:rFonts w:hint="eastAsia" w:ascii="宋体" w:hAnsi="宋体" w:eastAsia="宋体" w:cs="宋体"/>
              <w:bCs/>
              <w:sz w:val="22"/>
              <w:szCs w:val="22"/>
            </w:rPr>
            <w:t xml:space="preserve">三、 </w:t>
          </w:r>
          <w:r>
            <w:rPr>
              <w:rFonts w:hint="eastAsia" w:ascii="宋体" w:hAnsi="宋体" w:cs="Times New Roman"/>
              <w:bCs/>
              <w:kern w:val="2"/>
              <w:sz w:val="22"/>
              <w:szCs w:val="22"/>
            </w:rPr>
            <w:t>采购方式</w:t>
          </w:r>
          <w:r>
            <w:rPr>
              <w:sz w:val="22"/>
              <w:szCs w:val="22"/>
            </w:rPr>
            <w:tab/>
          </w:r>
          <w:r>
            <w:rPr>
              <w:rFonts w:hint="eastAsia"/>
              <w:sz w:val="22"/>
              <w:szCs w:val="22"/>
              <w:lang w:val="en-US" w:eastAsia="zh-CN"/>
            </w:rPr>
            <w:t>6</w:t>
          </w:r>
          <w:r>
            <w:rPr>
              <w:sz w:val="22"/>
              <w:szCs w:val="22"/>
            </w:rPr>
            <w:fldChar w:fldCharType="end"/>
          </w:r>
        </w:p>
        <w:p>
          <w:pPr>
            <w:pStyle w:val="35"/>
            <w:tabs>
              <w:tab w:val="right" w:leader="dot" w:pos="9413"/>
            </w:tabs>
            <w:ind w:left="420"/>
            <w:rPr>
              <w:sz w:val="22"/>
              <w:szCs w:val="22"/>
            </w:rPr>
          </w:pPr>
          <w:r>
            <w:fldChar w:fldCharType="begin"/>
          </w:r>
          <w:r>
            <w:instrText xml:space="preserve"> HYPERLINK \l "_Toc18517" </w:instrText>
          </w:r>
          <w:r>
            <w:fldChar w:fldCharType="separate"/>
          </w:r>
          <w:r>
            <w:rPr>
              <w:rFonts w:hint="eastAsia" w:ascii="宋体" w:hAnsi="宋体" w:eastAsia="宋体" w:cs="宋体"/>
              <w:bCs/>
              <w:sz w:val="22"/>
              <w:szCs w:val="22"/>
            </w:rPr>
            <w:t xml:space="preserve">四、 </w:t>
          </w:r>
          <w:r>
            <w:rPr>
              <w:rFonts w:hint="eastAsia" w:ascii="宋体" w:hAnsi="宋体" w:eastAsia="宋体" w:cs="Times New Roman"/>
              <w:bCs/>
              <w:sz w:val="22"/>
              <w:szCs w:val="22"/>
            </w:rPr>
            <w:t>服务期限</w:t>
          </w:r>
          <w:r>
            <w:rPr>
              <w:sz w:val="22"/>
              <w:szCs w:val="22"/>
            </w:rPr>
            <w:tab/>
          </w:r>
          <w:r>
            <w:rPr>
              <w:sz w:val="22"/>
              <w:szCs w:val="22"/>
            </w:rPr>
            <w:fldChar w:fldCharType="begin"/>
          </w:r>
          <w:r>
            <w:rPr>
              <w:sz w:val="22"/>
              <w:szCs w:val="22"/>
            </w:rPr>
            <w:instrText xml:space="preserve"> PAGEREF _Toc18517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"_Toc22218" </w:instrText>
          </w:r>
          <w:r>
            <w:fldChar w:fldCharType="separate"/>
          </w:r>
          <w:r>
            <w:rPr>
              <w:rFonts w:hint="eastAsia" w:ascii="宋体" w:hAnsi="宋体" w:eastAsia="宋体" w:cs="宋体"/>
              <w:bCs/>
              <w:sz w:val="22"/>
              <w:szCs w:val="22"/>
            </w:rPr>
            <w:t xml:space="preserve">五、 </w:t>
          </w:r>
          <w:r>
            <w:rPr>
              <w:rFonts w:hint="eastAsia" w:ascii="宋体" w:hAnsi="宋体"/>
              <w:bCs/>
              <w:sz w:val="22"/>
              <w:szCs w:val="22"/>
            </w:rPr>
            <w:t>报价方式</w:t>
          </w:r>
          <w:r>
            <w:rPr>
              <w:sz w:val="22"/>
              <w:szCs w:val="22"/>
            </w:rPr>
            <w:tab/>
          </w:r>
          <w:r>
            <w:rPr>
              <w:sz w:val="22"/>
              <w:szCs w:val="22"/>
            </w:rPr>
            <w:fldChar w:fldCharType="begin"/>
          </w:r>
          <w:r>
            <w:rPr>
              <w:sz w:val="22"/>
              <w:szCs w:val="22"/>
            </w:rPr>
            <w:instrText xml:space="preserve"> PAGEREF _Toc22218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"_Toc16350" </w:instrText>
          </w:r>
          <w:r>
            <w:fldChar w:fldCharType="separate"/>
          </w:r>
          <w:r>
            <w:rPr>
              <w:rFonts w:hint="eastAsia" w:ascii="宋体" w:hAnsi="宋体" w:eastAsia="宋体" w:cs="宋体"/>
              <w:bCs/>
              <w:sz w:val="22"/>
              <w:szCs w:val="22"/>
            </w:rPr>
            <w:t xml:space="preserve">七、 </w:t>
          </w:r>
          <w:r>
            <w:rPr>
              <w:rFonts w:hint="eastAsia" w:ascii="宋体" w:hAnsi="宋体"/>
              <w:bCs/>
              <w:sz w:val="22"/>
              <w:szCs w:val="22"/>
            </w:rPr>
            <w:t>投标人资格：</w:t>
          </w:r>
          <w:r>
            <w:rPr>
              <w:sz w:val="22"/>
              <w:szCs w:val="22"/>
            </w:rPr>
            <w:tab/>
          </w:r>
          <w:r>
            <w:rPr>
              <w:rFonts w:hint="eastAsia"/>
              <w:sz w:val="22"/>
              <w:szCs w:val="22"/>
              <w:lang w:val="en-US" w:eastAsia="zh-CN"/>
            </w:rPr>
            <w:t>6</w:t>
          </w:r>
          <w:r>
            <w:rPr>
              <w:sz w:val="22"/>
              <w:szCs w:val="22"/>
            </w:rPr>
            <w:fldChar w:fldCharType="end"/>
          </w:r>
        </w:p>
        <w:p>
          <w:pPr>
            <w:pStyle w:val="35"/>
            <w:tabs>
              <w:tab w:val="right" w:leader="dot" w:pos="9413"/>
            </w:tabs>
            <w:ind w:left="420"/>
            <w:rPr>
              <w:sz w:val="22"/>
              <w:szCs w:val="22"/>
            </w:rPr>
          </w:pPr>
          <w:r>
            <w:fldChar w:fldCharType="begin"/>
          </w:r>
          <w:r>
            <w:instrText xml:space="preserve"> HYPERLINK \l "_Toc7987" </w:instrText>
          </w:r>
          <w:r>
            <w:fldChar w:fldCharType="separate"/>
          </w:r>
          <w:r>
            <w:rPr>
              <w:rFonts w:hint="eastAsia" w:ascii="宋体" w:hAnsi="宋体" w:eastAsia="宋体" w:cs="宋体"/>
              <w:bCs/>
              <w:sz w:val="22"/>
              <w:szCs w:val="22"/>
            </w:rPr>
            <w:t xml:space="preserve">八、 </w:t>
          </w:r>
          <w:r>
            <w:rPr>
              <w:rFonts w:hint="eastAsia" w:ascii="宋体" w:hAnsi="宋体"/>
              <w:bCs/>
              <w:sz w:val="22"/>
              <w:szCs w:val="22"/>
            </w:rPr>
            <w:t>服务要求</w:t>
          </w:r>
          <w:r>
            <w:rPr>
              <w:sz w:val="22"/>
              <w:szCs w:val="22"/>
            </w:rPr>
            <w:tab/>
          </w:r>
          <w:r>
            <w:rPr>
              <w:rFonts w:hint="eastAsia"/>
              <w:sz w:val="22"/>
              <w:szCs w:val="22"/>
              <w:lang w:val="en-US" w:eastAsia="zh-CN"/>
            </w:rPr>
            <w:t>6</w:t>
          </w:r>
          <w:r>
            <w:rPr>
              <w:sz w:val="22"/>
              <w:szCs w:val="22"/>
            </w:rPr>
            <w:fldChar w:fldCharType="end"/>
          </w:r>
        </w:p>
        <w:p>
          <w:pPr>
            <w:pStyle w:val="35"/>
            <w:tabs>
              <w:tab w:val="right" w:leader="dot" w:pos="9413"/>
            </w:tabs>
            <w:ind w:left="420"/>
            <w:rPr>
              <w:sz w:val="22"/>
              <w:szCs w:val="22"/>
            </w:rPr>
          </w:pPr>
          <w:r>
            <w:fldChar w:fldCharType="begin"/>
          </w:r>
          <w:r>
            <w:instrText xml:space="preserve"> HYPERLINK \l "_Toc27061" </w:instrText>
          </w:r>
          <w:r>
            <w:fldChar w:fldCharType="separate"/>
          </w:r>
          <w:r>
            <w:rPr>
              <w:rFonts w:hint="eastAsia" w:ascii="宋体" w:hAnsi="宋体" w:eastAsia="宋体"/>
              <w:b/>
              <w:bCs/>
              <w:sz w:val="22"/>
              <w:szCs w:val="22"/>
            </w:rPr>
            <w:t>第四章 评标办法</w:t>
          </w:r>
          <w:r>
            <w:rPr>
              <w:sz w:val="22"/>
              <w:szCs w:val="22"/>
            </w:rPr>
            <w:tab/>
          </w:r>
          <w:r>
            <w:rPr>
              <w:sz w:val="22"/>
              <w:szCs w:val="22"/>
            </w:rPr>
            <w:fldChar w:fldCharType="begin"/>
          </w:r>
          <w:r>
            <w:rPr>
              <w:sz w:val="22"/>
              <w:szCs w:val="22"/>
            </w:rPr>
            <w:instrText xml:space="preserve"> PAGEREF _Toc27061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35"/>
            <w:tabs>
              <w:tab w:val="right" w:leader="dot" w:pos="9413"/>
            </w:tabs>
            <w:ind w:left="420"/>
            <w:rPr>
              <w:sz w:val="22"/>
              <w:szCs w:val="22"/>
            </w:rPr>
          </w:pPr>
          <w:r>
            <w:fldChar w:fldCharType="begin"/>
          </w:r>
          <w:r>
            <w:instrText xml:space="preserve"> HYPERLINK \l "_Toc32364" </w:instrText>
          </w:r>
          <w:r>
            <w:fldChar w:fldCharType="separate"/>
          </w:r>
          <w:r>
            <w:rPr>
              <w:rFonts w:hint="eastAsia" w:ascii="宋体" w:hAnsi="宋体" w:eastAsia="宋体"/>
              <w:b/>
              <w:bCs/>
              <w:sz w:val="22"/>
              <w:szCs w:val="22"/>
            </w:rPr>
            <w:t>第五章 投标文件格式</w:t>
          </w:r>
          <w:r>
            <w:rPr>
              <w:sz w:val="22"/>
              <w:szCs w:val="22"/>
            </w:rPr>
            <w:tab/>
          </w:r>
          <w:r>
            <w:rPr>
              <w:sz w:val="22"/>
              <w:szCs w:val="22"/>
            </w:rPr>
            <w:fldChar w:fldCharType="begin"/>
          </w:r>
          <w:r>
            <w:rPr>
              <w:sz w:val="22"/>
              <w:szCs w:val="22"/>
            </w:rPr>
            <w:instrText xml:space="preserve"> PAGEREF _Toc32364 \h </w:instrText>
          </w:r>
          <w:r>
            <w:rPr>
              <w:sz w:val="22"/>
              <w:szCs w:val="22"/>
            </w:rPr>
            <w:fldChar w:fldCharType="separate"/>
          </w:r>
          <w:r>
            <w:rPr>
              <w:sz w:val="22"/>
              <w:szCs w:val="22"/>
            </w:rPr>
            <w:t>12</w:t>
          </w:r>
          <w:r>
            <w:rPr>
              <w:sz w:val="22"/>
              <w:szCs w:val="22"/>
            </w:rPr>
            <w:fldChar w:fldCharType="end"/>
          </w:r>
          <w:r>
            <w:rPr>
              <w:sz w:val="22"/>
              <w:szCs w:val="22"/>
            </w:rPr>
            <w:fldChar w:fldCharType="end"/>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"_Toc9171" </w:instrText>
          </w:r>
          <w:r>
            <w:fldChar w:fldCharType="separate"/>
          </w:r>
          <w:r>
            <w:rPr>
              <w:rFonts w:hint="eastAsia" w:ascii="Arial" w:hAnsi="Arial" w:cs="Calibri"/>
              <w:bCs/>
              <w:sz w:val="22"/>
              <w:szCs w:val="22"/>
            </w:rPr>
            <w:t>评审因素索引表</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2</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"_Toc28491" </w:instrText>
          </w:r>
          <w:r>
            <w:fldChar w:fldCharType="separate"/>
          </w:r>
          <w:r>
            <w:rPr>
              <w:rFonts w:hint="eastAsia" w:ascii="宋体" w:hAnsi="宋体"/>
              <w:bCs/>
              <w:sz w:val="22"/>
              <w:szCs w:val="22"/>
            </w:rPr>
            <w:t>投标文件格式及资料清单</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2</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"_Toc24591" </w:instrText>
          </w:r>
          <w:r>
            <w:fldChar w:fldCharType="separate"/>
          </w:r>
          <w:r>
            <w:rPr>
              <w:rFonts w:hint="eastAsia" w:ascii="宋体" w:hAnsi="宋体"/>
              <w:bCs/>
              <w:sz w:val="22"/>
              <w:szCs w:val="22"/>
            </w:rPr>
            <w:t>一．投标函</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3</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"_Toc16814" </w:instrText>
          </w:r>
          <w:r>
            <w:fldChar w:fldCharType="separate"/>
          </w:r>
          <w:r>
            <w:rPr>
              <w:rFonts w:hint="eastAsia" w:ascii="宋体" w:hAnsi="宋体"/>
              <w:bCs/>
              <w:sz w:val="22"/>
              <w:szCs w:val="22"/>
            </w:rPr>
            <w:t>二．投标人情况综合简介</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4</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"_Toc14530" </w:instrText>
          </w:r>
          <w:r>
            <w:fldChar w:fldCharType="separate"/>
          </w:r>
          <w:r>
            <w:rPr>
              <w:rFonts w:hint="eastAsia" w:ascii="宋体" w:hAnsi="宋体"/>
              <w:bCs/>
              <w:sz w:val="22"/>
              <w:szCs w:val="22"/>
            </w:rPr>
            <w:t>三．开标一览表</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4</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"_Toc6304" </w:instrText>
          </w:r>
          <w:r>
            <w:fldChar w:fldCharType="separate"/>
          </w:r>
          <w:r>
            <w:rPr>
              <w:rFonts w:hint="eastAsia" w:ascii="宋体" w:hAnsi="宋体"/>
              <w:bCs/>
              <w:sz w:val="22"/>
              <w:szCs w:val="22"/>
            </w:rPr>
            <w:t>四．单项报价表</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5</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"_Toc7908" </w:instrText>
          </w:r>
          <w:r>
            <w:fldChar w:fldCharType="separate"/>
          </w:r>
          <w:r>
            <w:rPr>
              <w:rFonts w:hint="eastAsia" w:ascii="宋体" w:hAnsi="宋体"/>
              <w:bCs/>
              <w:sz w:val="22"/>
              <w:szCs w:val="22"/>
            </w:rPr>
            <w:t>五．投标人信用承诺</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6</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"_Toc31472" </w:instrText>
          </w:r>
          <w:r>
            <w:fldChar w:fldCharType="separate"/>
          </w:r>
          <w:r>
            <w:rPr>
              <w:rFonts w:hint="eastAsia" w:ascii="宋体" w:hAnsi="宋体"/>
              <w:bCs/>
              <w:sz w:val="22"/>
              <w:szCs w:val="22"/>
            </w:rPr>
            <w:t>六. 投标业绩</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7</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"_Toc14581" </w:instrText>
          </w:r>
          <w:r>
            <w:fldChar w:fldCharType="separate"/>
          </w:r>
          <w:r>
            <w:rPr>
              <w:rFonts w:hint="eastAsia" w:ascii="宋体" w:hAnsi="宋体"/>
              <w:bCs/>
              <w:sz w:val="22"/>
              <w:szCs w:val="22"/>
            </w:rPr>
            <w:t>七．拟投入本项目的人员情况（如有）</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7</w:t>
          </w:r>
        </w:p>
        <w:p>
          <w:pPr>
            <w:pStyle w:val="35"/>
            <w:tabs>
              <w:tab w:val="right" w:leader="dot" w:pos="9413"/>
            </w:tabs>
            <w:rPr>
              <w:rFonts w:hint="eastAsia" w:eastAsiaTheme="minorEastAsia"/>
              <w:sz w:val="22"/>
              <w:szCs w:val="22"/>
              <w:lang w:val="en-US" w:eastAsia="zh-CN"/>
            </w:rPr>
          </w:pPr>
          <w:r>
            <w:fldChar w:fldCharType="begin"/>
          </w:r>
          <w:r>
            <w:instrText xml:space="preserve"> HYPERLINK \l "_Toc10562" </w:instrText>
          </w:r>
          <w:r>
            <w:fldChar w:fldCharType="separate"/>
          </w:r>
          <w:r>
            <w:rPr>
              <w:rFonts w:hint="eastAsia"/>
              <w:lang w:eastAsia="zh-CN"/>
            </w:rPr>
            <w:t>八</w:t>
          </w:r>
          <w:r>
            <w:rPr>
              <w:rFonts w:hint="eastAsia" w:ascii="宋体" w:hAnsi="宋体"/>
              <w:bCs/>
              <w:sz w:val="22"/>
              <w:szCs w:val="22"/>
            </w:rPr>
            <w:t>．投标授权书</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8</w:t>
          </w:r>
        </w:p>
        <w:p>
          <w:pPr>
            <w:pStyle w:val="35"/>
            <w:tabs>
              <w:tab w:val="right" w:leader="dot" w:pos="9413"/>
            </w:tabs>
            <w:ind w:left="420"/>
            <w:rPr>
              <w:rFonts w:hint="eastAsia" w:eastAsiaTheme="minorEastAsia"/>
              <w:sz w:val="22"/>
              <w:szCs w:val="22"/>
              <w:lang w:val="en-US" w:eastAsia="zh-CN"/>
            </w:rPr>
          </w:pPr>
          <w:r>
            <w:fldChar w:fldCharType="begin"/>
          </w:r>
          <w:r>
            <w:instrText xml:space="preserve"> HYPERLINK \l "_Toc23755" </w:instrText>
          </w:r>
          <w:r>
            <w:fldChar w:fldCharType="separate"/>
          </w:r>
          <w:r>
            <w:rPr>
              <w:rFonts w:hint="eastAsia"/>
              <w:lang w:eastAsia="zh-CN"/>
            </w:rPr>
            <w:t>九</w:t>
          </w:r>
          <w:r>
            <w:rPr>
              <w:rFonts w:hint="eastAsia" w:ascii="宋体" w:hAnsi="宋体"/>
              <w:bCs/>
              <w:sz w:val="22"/>
              <w:szCs w:val="22"/>
            </w:rPr>
            <w:t>．投标人认为需提供的其他</w:t>
          </w:r>
          <w:r>
            <w:rPr>
              <w:sz w:val="22"/>
              <w:szCs w:val="22"/>
            </w:rPr>
            <w:tab/>
          </w:r>
          <w:r>
            <w:rPr>
              <w:rFonts w:hint="eastAsia"/>
              <w:sz w:val="22"/>
              <w:szCs w:val="22"/>
              <w:lang w:val="en-US" w:eastAsia="zh-CN"/>
            </w:rPr>
            <w:t>1</w:t>
          </w:r>
          <w:r>
            <w:rPr>
              <w:sz w:val="22"/>
              <w:szCs w:val="22"/>
            </w:rPr>
            <w:fldChar w:fldCharType="end"/>
          </w:r>
          <w:r>
            <w:rPr>
              <w:rFonts w:hint="eastAsia"/>
              <w:sz w:val="22"/>
              <w:szCs w:val="22"/>
              <w:lang w:val="en-US" w:eastAsia="zh-CN"/>
            </w:rPr>
            <w:t>8</w:t>
          </w:r>
        </w:p>
        <w:p>
          <w:pPr>
            <w:pStyle w:val="34"/>
            <w:tabs>
              <w:tab w:val="right" w:leader="dot" w:pos="9413"/>
            </w:tabs>
            <w:ind w:firstLine="400" w:firstLineChars="200"/>
            <w:rPr>
              <w:rFonts w:hint="eastAsia"/>
              <w:bCs/>
              <w:sz w:val="22"/>
              <w:szCs w:val="22"/>
              <w:lang w:val="en-US" w:eastAsia="zh-CN"/>
            </w:rPr>
          </w:pPr>
          <w:r>
            <w:fldChar w:fldCharType="begin"/>
          </w:r>
          <w:r>
            <w:instrText xml:space="preserve"> HYPERLINK \l "_Toc24752" </w:instrText>
          </w:r>
          <w:r>
            <w:fldChar w:fldCharType="separate"/>
          </w:r>
          <w:r>
            <w:rPr>
              <w:rFonts w:hint="eastAsia"/>
              <w:b/>
              <w:sz w:val="22"/>
              <w:szCs w:val="22"/>
            </w:rPr>
            <w:t>第六章  合同</w:t>
          </w:r>
          <w:r>
            <w:rPr>
              <w:bCs/>
              <w:sz w:val="22"/>
              <w:szCs w:val="22"/>
            </w:rPr>
            <w:tab/>
          </w:r>
          <w:r>
            <w:rPr>
              <w:rFonts w:hint="eastAsia"/>
              <w:bCs/>
              <w:sz w:val="22"/>
              <w:szCs w:val="22"/>
              <w:lang w:val="en-US" w:eastAsia="zh-CN"/>
            </w:rPr>
            <w:t>1</w:t>
          </w:r>
          <w:r>
            <w:rPr>
              <w:bCs/>
              <w:sz w:val="22"/>
              <w:szCs w:val="22"/>
            </w:rPr>
            <w:fldChar w:fldCharType="end"/>
          </w:r>
          <w:r>
            <w:rPr>
              <w:rFonts w:hint="eastAsia"/>
              <w:bCs/>
              <w:sz w:val="22"/>
              <w:szCs w:val="22"/>
              <w:lang w:val="en-US" w:eastAsia="zh-CN"/>
            </w:rPr>
            <w:t>9</w:t>
          </w:r>
        </w:p>
        <w:p>
          <w:pPr>
            <w:pStyle w:val="34"/>
            <w:tabs>
              <w:tab w:val="right" w:leader="dot" w:pos="9413"/>
            </w:tabs>
            <w:ind w:firstLine="400" w:firstLineChars="200"/>
            <w:rPr>
              <w:rFonts w:hint="eastAsia" w:eastAsiaTheme="minorEastAsia"/>
              <w:bCs/>
              <w:sz w:val="22"/>
              <w:szCs w:val="22"/>
              <w:lang w:val="en-US" w:eastAsia="zh-CN"/>
            </w:rPr>
          </w:pPr>
          <w:r>
            <w:fldChar w:fldCharType="begin"/>
          </w:r>
          <w:r>
            <w:instrText xml:space="preserve"> HYPERLINK \l "_Toc24752" </w:instrText>
          </w:r>
          <w:r>
            <w:fldChar w:fldCharType="separate"/>
          </w:r>
          <w:r>
            <w:rPr>
              <w:rFonts w:hint="eastAsia"/>
              <w:lang w:val="en-US" w:eastAsia="zh-CN"/>
            </w:rPr>
            <w:t xml:space="preserve">   </w:t>
          </w:r>
          <w:r>
            <w:rPr>
              <w:rFonts w:hint="eastAsia"/>
              <w:b/>
              <w:sz w:val="22"/>
              <w:szCs w:val="22"/>
            </w:rPr>
            <w:t xml:space="preserve"> </w:t>
          </w:r>
          <w:r>
            <w:rPr>
              <w:rFonts w:hint="eastAsia"/>
              <w:b/>
              <w:sz w:val="22"/>
              <w:szCs w:val="22"/>
              <w:lang w:eastAsia="zh-CN"/>
            </w:rPr>
            <w:t>廉政协议</w:t>
          </w:r>
          <w:r>
            <w:rPr>
              <w:bCs/>
              <w:sz w:val="22"/>
              <w:szCs w:val="22"/>
            </w:rPr>
            <w:tab/>
          </w:r>
          <w:r>
            <w:rPr>
              <w:rFonts w:hint="eastAsia"/>
              <w:bCs/>
              <w:sz w:val="22"/>
              <w:szCs w:val="22"/>
              <w:lang w:val="en-US" w:eastAsia="zh-CN"/>
            </w:rPr>
            <w:t>2</w:t>
          </w:r>
          <w:r>
            <w:rPr>
              <w:bCs/>
              <w:sz w:val="22"/>
              <w:szCs w:val="22"/>
            </w:rPr>
            <w:fldChar w:fldCharType="end"/>
          </w:r>
          <w:r>
            <w:rPr>
              <w:rFonts w:hint="eastAsia"/>
              <w:bCs/>
              <w:sz w:val="22"/>
              <w:szCs w:val="22"/>
              <w:lang w:val="en-US" w:eastAsia="zh-CN"/>
            </w:rPr>
            <w:t>7</w:t>
          </w:r>
        </w:p>
        <w:p>
          <w:pPr>
            <w:pStyle w:val="34"/>
            <w:tabs>
              <w:tab w:val="right" w:leader="dot" w:pos="9413"/>
            </w:tabs>
            <w:ind w:firstLine="440" w:firstLineChars="200"/>
            <w:rPr>
              <w:rFonts w:hint="eastAsia"/>
              <w:bCs/>
              <w:sz w:val="22"/>
              <w:szCs w:val="22"/>
              <w:lang w:val="en-US" w:eastAsia="zh-CN"/>
            </w:rPr>
          </w:pPr>
        </w:p>
        <w:p>
          <w:pPr>
            <w:pStyle w:val="35"/>
            <w:tabs>
              <w:tab w:val="right" w:leader="dot" w:pos="9413"/>
            </w:tabs>
            <w:ind w:left="420"/>
            <w:outlineLvl w:val="0"/>
            <w:rPr>
              <w:rFonts w:eastAsia="宋体"/>
            </w:rPr>
          </w:pPr>
        </w:p>
        <w:p>
          <w:r>
            <w:rPr>
              <w:b/>
            </w:rPr>
            <w:fldChar w:fldCharType="end"/>
          </w:r>
        </w:p>
      </w:sdtContent>
    </w:sdt>
    <w:p>
      <w:pPr>
        <w:pStyle w:val="3"/>
        <w:spacing w:before="0" w:after="0" w:line="360" w:lineRule="auto"/>
        <w:ind w:firstLine="0"/>
        <w:jc w:val="both"/>
        <w:rPr>
          <w:rFonts w:ascii="宋体" w:hAnsi="宋体" w:eastAsia="宋体"/>
          <w:color w:val="000000"/>
        </w:rPr>
      </w:pPr>
      <w:bookmarkStart w:id="3" w:name="_Toc183"/>
      <w:bookmarkStart w:id="4" w:name="_Toc126309118"/>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3"/>
        <w:spacing w:before="0" w:after="0" w:line="360" w:lineRule="auto"/>
        <w:ind w:firstLine="0"/>
        <w:rPr>
          <w:rFonts w:ascii="宋体" w:hAnsi="宋体" w:eastAsia="宋体"/>
          <w:color w:val="000000"/>
        </w:rPr>
        <w:sectPr>
          <w:footerReference r:id="rId5" w:type="default"/>
          <w:footerReference r:id="rId6" w:type="even"/>
          <w:pgSz w:w="11907" w:h="16840"/>
          <w:pgMar w:top="1440" w:right="1077" w:bottom="1440" w:left="1077" w:header="851" w:footer="992" w:gutter="0"/>
          <w:pgNumType w:fmt="decimal"/>
          <w:cols w:space="425" w:num="1"/>
          <w:docGrid w:linePitch="303" w:charSpace="0"/>
        </w:sectPr>
      </w:pPr>
      <w:bookmarkStart w:id="5" w:name="_Toc2566"/>
      <w:bookmarkStart w:id="6" w:name="_Toc802"/>
    </w:p>
    <w:p>
      <w:pPr>
        <w:pStyle w:val="3"/>
        <w:spacing w:before="0" w:after="0" w:line="360" w:lineRule="auto"/>
        <w:ind w:firstLine="0"/>
        <w:rPr>
          <w:rFonts w:ascii="宋体" w:hAnsi="宋体" w:eastAsia="宋体"/>
          <w:color w:val="000000"/>
        </w:rPr>
      </w:pPr>
      <w:r>
        <w:rPr>
          <w:rFonts w:hint="eastAsia" w:ascii="宋体" w:hAnsi="宋体" w:eastAsia="宋体"/>
          <w:color w:val="000000"/>
        </w:rPr>
        <w:t>第一章 投标邀请（招标公告）</w:t>
      </w:r>
      <w:bookmarkEnd w:id="3"/>
      <w:bookmarkEnd w:id="4"/>
      <w:bookmarkEnd w:id="5"/>
      <w:bookmarkEnd w:id="6"/>
    </w:p>
    <w:p>
      <w:pPr>
        <w:pStyle w:val="6"/>
        <w:spacing w:line="500" w:lineRule="exact"/>
        <w:ind w:firstLine="480" w:firstLineChars="200"/>
        <w:rPr>
          <w:rFonts w:ascii="宋体" w:hAnsi="宋体"/>
          <w:color w:val="000000"/>
          <w:sz w:val="24"/>
          <w:szCs w:val="24"/>
        </w:rPr>
      </w:pPr>
      <w:r>
        <w:rPr>
          <w:rFonts w:hint="eastAsia" w:ascii="宋体" w:hAnsi="宋体"/>
          <w:color w:val="000000"/>
          <w:sz w:val="24"/>
          <w:szCs w:val="24"/>
        </w:rPr>
        <w:t>合肥泓瑞金陵大酒店有限责任公司（以下简称：酒店）现对盐水鸭胚、鸭血粉丝、方糕等半成品原材料系列产品项目（以下简称“本项目”）进行公开竞价，欢迎具备条件的投标人参加投标。</w:t>
      </w:r>
    </w:p>
    <w:p>
      <w:pPr>
        <w:spacing w:line="480" w:lineRule="exact"/>
        <w:ind w:firstLine="482" w:firstLineChars="200"/>
        <w:outlineLvl w:val="1"/>
        <w:rPr>
          <w:rFonts w:ascii="宋体" w:hAnsi="宋体"/>
          <w:b/>
          <w:color w:val="000000"/>
          <w:sz w:val="24"/>
          <w:szCs w:val="24"/>
        </w:rPr>
      </w:pPr>
      <w:bookmarkStart w:id="7" w:name="_Toc94"/>
      <w:r>
        <w:rPr>
          <w:rFonts w:hint="eastAsia" w:ascii="宋体" w:hAnsi="宋体"/>
          <w:b/>
          <w:color w:val="000000"/>
          <w:sz w:val="24"/>
          <w:szCs w:val="24"/>
        </w:rPr>
        <w:t>一、项目概况</w:t>
      </w:r>
      <w:bookmarkEnd w:id="7"/>
    </w:p>
    <w:p>
      <w:pPr>
        <w:pStyle w:val="6"/>
        <w:spacing w:line="480" w:lineRule="exact"/>
        <w:ind w:firstLine="480" w:firstLineChars="200"/>
        <w:jc w:val="both"/>
        <w:rPr>
          <w:rFonts w:ascii="宋体" w:hAnsi="宋体"/>
          <w:color w:val="000000"/>
          <w:sz w:val="24"/>
          <w:szCs w:val="24"/>
        </w:rPr>
      </w:pPr>
      <w:r>
        <w:rPr>
          <w:rFonts w:hint="eastAsia" w:ascii="宋体" w:hAnsi="宋体"/>
          <w:color w:val="000000"/>
          <w:sz w:val="24"/>
          <w:szCs w:val="24"/>
        </w:rPr>
        <w:t>（1）项目名称：盐水鸭胚、鸭血粉丝、方糕等半成品原材料系列产品项目</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（2）项目编号：20</w:t>
      </w:r>
      <w:r>
        <w:rPr>
          <w:rFonts w:hint="eastAsia" w:ascii="宋体" w:hAnsi="宋体"/>
          <w:color w:val="000000"/>
          <w:sz w:val="24"/>
          <w:szCs w:val="24"/>
          <w:lang w:val="en-US" w:eastAsia="zh-CN"/>
        </w:rPr>
        <w:t>24</w:t>
      </w:r>
      <w:r>
        <w:rPr>
          <w:rFonts w:hint="eastAsia" w:ascii="宋体" w:hAnsi="宋体"/>
          <w:color w:val="000000"/>
          <w:sz w:val="24"/>
          <w:szCs w:val="24"/>
        </w:rPr>
        <w:t>HRJL0002号</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（3）项目预算：26万元/年</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（4）项目类型：货物类</w:t>
      </w:r>
    </w:p>
    <w:p>
      <w:pPr>
        <w:spacing w:line="52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（5）项目概况: 盐水鸭胚、鸭血粉丝、方糕等半成品原材料系列产品项目</w:t>
      </w:r>
    </w:p>
    <w:p>
      <w:pPr>
        <w:spacing w:line="520" w:lineRule="exact"/>
        <w:ind w:firstLine="520" w:firstLineChars="200"/>
        <w:rPr>
          <w:rFonts w:ascii="宋体" w:hAnsi="宋体"/>
          <w:color w:val="000000"/>
          <w:sz w:val="26"/>
          <w:szCs w:val="26"/>
          <w:highlight w:val="none"/>
        </w:rPr>
      </w:pPr>
    </w:p>
    <w:p>
      <w:pPr>
        <w:spacing w:line="480" w:lineRule="exact"/>
        <w:ind w:firstLine="482" w:firstLineChars="200"/>
        <w:outlineLvl w:val="1"/>
        <w:rPr>
          <w:rFonts w:ascii="宋体" w:hAnsi="宋体"/>
          <w:b/>
          <w:color w:val="000000"/>
          <w:sz w:val="24"/>
          <w:szCs w:val="24"/>
          <w:highlight w:val="none"/>
        </w:rPr>
      </w:pPr>
      <w:bookmarkStart w:id="8" w:name="_Toc588"/>
      <w:r>
        <w:rPr>
          <w:rFonts w:hint="eastAsia" w:ascii="宋体" w:hAnsi="宋体"/>
          <w:b/>
          <w:color w:val="000000"/>
          <w:sz w:val="24"/>
          <w:szCs w:val="24"/>
          <w:highlight w:val="none"/>
        </w:rPr>
        <w:t>二、投标人应具备的基本条件</w:t>
      </w:r>
      <w:bookmarkEnd w:id="8"/>
    </w:p>
    <w:p>
      <w:pPr>
        <w:widowControl/>
        <w:spacing w:line="500" w:lineRule="exact"/>
        <w:ind w:firstLine="480" w:firstLineChars="200"/>
        <w:rPr>
          <w:rFonts w:ascii="宋体" w:hAnsi="宋体"/>
          <w:color w:val="FF0000"/>
          <w:sz w:val="24"/>
          <w:szCs w:val="24"/>
          <w:highlight w:val="none"/>
        </w:rPr>
      </w:pPr>
      <w:r>
        <w:rPr>
          <w:rFonts w:hint="eastAsia" w:ascii="宋体" w:hAnsi="宋体"/>
          <w:color w:val="000000"/>
          <w:sz w:val="24"/>
          <w:szCs w:val="24"/>
          <w:highlight w:val="none"/>
        </w:rPr>
        <w:t>1.具有独立承担民事责任的能力；</w:t>
      </w:r>
    </w:p>
    <w:p>
      <w:pPr>
        <w:widowControl/>
        <w:spacing w:line="500" w:lineRule="exact"/>
        <w:ind w:firstLine="480" w:firstLineChars="200"/>
        <w:rPr>
          <w:rFonts w:ascii="宋体" w:hAnsi="宋体"/>
          <w:color w:val="FF0000"/>
          <w:sz w:val="24"/>
          <w:szCs w:val="24"/>
          <w:highlight w:val="none"/>
        </w:rPr>
      </w:pPr>
      <w:r>
        <w:rPr>
          <w:rFonts w:hint="eastAsia" w:ascii="宋体" w:hAnsi="宋体"/>
          <w:sz w:val="24"/>
          <w:szCs w:val="24"/>
          <w:highlight w:val="none"/>
        </w:rPr>
        <w:t>2.提供食品经营许可证、生产经营许可证、营业执照</w:t>
      </w:r>
      <w:r>
        <w:rPr>
          <w:rFonts w:hint="eastAsia" w:ascii="宋体" w:hAnsi="宋体"/>
          <w:sz w:val="24"/>
          <w:szCs w:val="24"/>
          <w:highlight w:val="none"/>
          <w:lang w:eastAsia="zh-CN"/>
        </w:rPr>
        <w:t>、征信报告</w:t>
      </w:r>
      <w:r>
        <w:rPr>
          <w:rFonts w:hint="eastAsia" w:ascii="宋体" w:hAnsi="宋体"/>
          <w:sz w:val="24"/>
          <w:szCs w:val="24"/>
          <w:highlight w:val="none"/>
        </w:rPr>
        <w:t>等相关资质文件</w:t>
      </w:r>
      <w:r>
        <w:rPr>
          <w:rFonts w:hint="eastAsia" w:ascii="宋体" w:hAnsi="宋体"/>
          <w:color w:val="000000"/>
          <w:sz w:val="26"/>
          <w:szCs w:val="26"/>
          <w:highlight w:val="none"/>
        </w:rPr>
        <w:t>；</w:t>
      </w:r>
    </w:p>
    <w:p>
      <w:pPr>
        <w:widowControl/>
        <w:spacing w:line="50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3.本项目不接受联合体投标；</w:t>
      </w:r>
    </w:p>
    <w:p>
      <w:pPr>
        <w:spacing w:line="48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4.符合下列情形之一：</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6.投标人存在以下不良信用记录情形之一的，不得推荐为中标候选人，不得确定为中标人：</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（1）投标人被人民法院列入失信被执行人的；</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widowControl/>
        <w:spacing w:line="480" w:lineRule="exact"/>
        <w:ind w:firstLine="480" w:firstLineChars="200"/>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autoSpaceDE w:val="0"/>
        <w:autoSpaceDN w:val="0"/>
        <w:adjustRightInd w:val="0"/>
        <w:spacing w:line="460" w:lineRule="exact"/>
        <w:ind w:firstLine="241" w:firstLineChars="100"/>
        <w:jc w:val="left"/>
        <w:outlineLvl w:val="1"/>
        <w:rPr>
          <w:rFonts w:ascii="宋体" w:hAnsi="宋体"/>
          <w:b/>
          <w:bCs/>
          <w:color w:val="000000"/>
          <w:sz w:val="24"/>
          <w:szCs w:val="24"/>
        </w:rPr>
      </w:pPr>
      <w:bookmarkStart w:id="9" w:name="_Toc30995"/>
      <w:r>
        <w:rPr>
          <w:rFonts w:hint="eastAsia" w:ascii="宋体" w:hAnsi="宋体"/>
          <w:b/>
          <w:bCs/>
          <w:color w:val="000000"/>
          <w:sz w:val="24"/>
          <w:szCs w:val="24"/>
        </w:rPr>
        <w:t>三、投标报名</w:t>
      </w:r>
      <w:bookmarkEnd w:id="9"/>
    </w:p>
    <w:p>
      <w:pPr>
        <w:autoSpaceDE w:val="0"/>
        <w:autoSpaceDN w:val="0"/>
        <w:adjustRightInd w:val="0"/>
        <w:spacing w:line="460" w:lineRule="exact"/>
        <w:ind w:firstLine="200"/>
        <w:jc w:val="left"/>
        <w:rPr>
          <w:rFonts w:ascii="宋体" w:hAnsi="宋体" w:cs="宋体"/>
          <w:color w:val="000000"/>
          <w:kern w:val="0"/>
          <w:sz w:val="24"/>
          <w:szCs w:val="24"/>
          <w:highlight w:val="none"/>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u w:val="single"/>
        </w:rPr>
        <w:t>202</w:t>
      </w:r>
      <w:r>
        <w:rPr>
          <w:rFonts w:hint="eastAsia" w:ascii="宋体" w:hAnsi="宋体" w:cs="宋体"/>
          <w:color w:val="000000"/>
          <w:kern w:val="0"/>
          <w:sz w:val="24"/>
          <w:szCs w:val="24"/>
          <w:highlight w:val="none"/>
          <w:u w:val="single"/>
          <w:lang w:val="en-US" w:eastAsia="zh-CN"/>
        </w:rPr>
        <w:t>4</w:t>
      </w:r>
      <w:r>
        <w:rPr>
          <w:rFonts w:hint="eastAsia" w:ascii="宋体" w:hAnsi="宋体" w:cs="宋体"/>
          <w:color w:val="000000"/>
          <w:kern w:val="0"/>
          <w:sz w:val="24"/>
          <w:szCs w:val="24"/>
          <w:highlight w:val="none"/>
          <w:u w:val="single"/>
        </w:rPr>
        <w:t>年</w:t>
      </w:r>
      <w:r>
        <w:rPr>
          <w:rFonts w:hint="eastAsia" w:ascii="宋体" w:hAnsi="宋体" w:cs="宋体"/>
          <w:color w:val="000000"/>
          <w:kern w:val="0"/>
          <w:sz w:val="24"/>
          <w:szCs w:val="24"/>
          <w:highlight w:val="none"/>
          <w:u w:val="single"/>
          <w:lang w:val="en-US" w:eastAsia="zh-CN"/>
        </w:rPr>
        <w:t>1</w:t>
      </w:r>
      <w:r>
        <w:rPr>
          <w:rFonts w:hint="eastAsia" w:ascii="宋体" w:hAnsi="宋体" w:cs="宋体"/>
          <w:color w:val="000000"/>
          <w:kern w:val="0"/>
          <w:sz w:val="24"/>
          <w:szCs w:val="24"/>
          <w:highlight w:val="none"/>
          <w:u w:val="single"/>
        </w:rPr>
        <w:t>月</w:t>
      </w:r>
      <w:r>
        <w:rPr>
          <w:rFonts w:hint="eastAsia" w:ascii="宋体" w:hAnsi="宋体" w:cs="宋体"/>
          <w:color w:val="000000"/>
          <w:kern w:val="0"/>
          <w:sz w:val="24"/>
          <w:szCs w:val="24"/>
          <w:highlight w:val="none"/>
          <w:u w:val="single"/>
          <w:lang w:val="en-US" w:eastAsia="zh-CN"/>
        </w:rPr>
        <w:t>11</w:t>
      </w:r>
      <w:r>
        <w:rPr>
          <w:rFonts w:hint="eastAsia" w:ascii="宋体" w:hAnsi="宋体" w:cs="宋体"/>
          <w:color w:val="000000"/>
          <w:kern w:val="0"/>
          <w:sz w:val="24"/>
          <w:szCs w:val="24"/>
          <w:highlight w:val="none"/>
          <w:u w:val="single"/>
        </w:rPr>
        <w:t>日上午09:00至</w:t>
      </w:r>
      <w:r>
        <w:rPr>
          <w:rFonts w:ascii="宋体" w:hAnsi="宋体" w:cs="宋体"/>
          <w:color w:val="000000"/>
          <w:kern w:val="0"/>
          <w:sz w:val="24"/>
          <w:szCs w:val="24"/>
          <w:highlight w:val="none"/>
          <w:u w:val="single"/>
        </w:rPr>
        <w:t>202</w:t>
      </w:r>
      <w:r>
        <w:rPr>
          <w:rFonts w:hint="eastAsia" w:ascii="宋体" w:hAnsi="宋体" w:cs="宋体"/>
          <w:color w:val="000000"/>
          <w:kern w:val="0"/>
          <w:sz w:val="24"/>
          <w:szCs w:val="24"/>
          <w:highlight w:val="none"/>
          <w:u w:val="single"/>
          <w:lang w:val="en-US" w:eastAsia="zh-CN"/>
        </w:rPr>
        <w:t>4</w:t>
      </w:r>
      <w:r>
        <w:rPr>
          <w:rFonts w:hint="eastAsia" w:ascii="宋体" w:hAnsi="宋体" w:cs="宋体"/>
          <w:color w:val="000000"/>
          <w:kern w:val="0"/>
          <w:sz w:val="24"/>
          <w:szCs w:val="24"/>
          <w:highlight w:val="none"/>
          <w:u w:val="single"/>
        </w:rPr>
        <w:t>年</w:t>
      </w:r>
      <w:r>
        <w:rPr>
          <w:rFonts w:hint="eastAsia" w:ascii="宋体" w:hAnsi="宋体" w:cs="宋体"/>
          <w:color w:val="000000"/>
          <w:kern w:val="0"/>
          <w:sz w:val="24"/>
          <w:szCs w:val="24"/>
          <w:highlight w:val="none"/>
          <w:u w:val="single"/>
          <w:lang w:val="en-US" w:eastAsia="zh-CN"/>
        </w:rPr>
        <w:t>1</w:t>
      </w:r>
      <w:r>
        <w:rPr>
          <w:rFonts w:hint="eastAsia" w:ascii="宋体" w:hAnsi="宋体" w:cs="宋体"/>
          <w:color w:val="000000"/>
          <w:kern w:val="0"/>
          <w:sz w:val="24"/>
          <w:szCs w:val="24"/>
          <w:highlight w:val="none"/>
          <w:u w:val="single"/>
        </w:rPr>
        <w:t>月</w:t>
      </w:r>
      <w:r>
        <w:rPr>
          <w:rFonts w:hint="eastAsia" w:ascii="宋体" w:hAnsi="宋体" w:cs="宋体"/>
          <w:color w:val="000000"/>
          <w:kern w:val="0"/>
          <w:sz w:val="24"/>
          <w:szCs w:val="24"/>
          <w:highlight w:val="none"/>
          <w:u w:val="single"/>
          <w:lang w:val="en-US" w:eastAsia="zh-CN"/>
        </w:rPr>
        <w:t>17</w:t>
      </w:r>
      <w:r>
        <w:rPr>
          <w:rFonts w:hint="eastAsia" w:ascii="宋体" w:hAnsi="宋体" w:cs="宋体"/>
          <w:color w:val="000000"/>
          <w:kern w:val="0"/>
          <w:sz w:val="24"/>
          <w:szCs w:val="24"/>
          <w:highlight w:val="none"/>
          <w:u w:val="single"/>
        </w:rPr>
        <w:t>日下午17:00</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2.领取方法：</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1）领取方法1：微信订阅号消息---搜“合肥泓瑞金陵大酒店有限责任公司”关注公众号，里面下载标书；</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2）关注文旅博览集团有限公司官方网站招标信息下载标书；</w:t>
      </w:r>
    </w:p>
    <w:p>
      <w:pPr>
        <w:autoSpaceDE w:val="0"/>
        <w:autoSpaceDN w:val="0"/>
        <w:adjustRightInd w:val="0"/>
        <w:spacing w:line="360" w:lineRule="auto"/>
        <w:ind w:firstLine="200"/>
        <w:jc w:val="left"/>
        <w:rPr>
          <w:rFonts w:ascii="宋体" w:hAnsi="宋体"/>
          <w:sz w:val="24"/>
          <w:szCs w:val="24"/>
          <w:highlight w:val="none"/>
        </w:rPr>
      </w:pPr>
      <w:r>
        <w:rPr>
          <w:rFonts w:hint="eastAsia" w:ascii="宋体" w:hAnsi="宋体" w:cs="宋体"/>
          <w:kern w:val="0"/>
          <w:sz w:val="24"/>
          <w:szCs w:val="24"/>
          <w:highlight w:val="none"/>
        </w:rPr>
        <w:t>3.报名方法：下载附件《合肥泓瑞金陵大酒店</w:t>
      </w:r>
      <w:r>
        <w:rPr>
          <w:rFonts w:hint="eastAsia" w:ascii="宋体" w:hAnsi="宋体"/>
          <w:color w:val="000000"/>
          <w:sz w:val="24"/>
          <w:szCs w:val="24"/>
          <w:highlight w:val="none"/>
        </w:rPr>
        <w:t>盐水鸭胚、鸭血粉丝、方糕等半成品原材料系列产品</w:t>
      </w:r>
      <w:r>
        <w:rPr>
          <w:rFonts w:hint="eastAsia" w:ascii="宋体" w:hAnsi="宋体" w:cs="宋体"/>
          <w:kern w:val="0"/>
          <w:sz w:val="24"/>
          <w:szCs w:val="24"/>
          <w:highlight w:val="none"/>
        </w:rPr>
        <w:t>项目投标报名信息表》并完整填写信息</w:t>
      </w:r>
      <w:r>
        <w:rPr>
          <w:rFonts w:hint="eastAsia" w:ascii="宋体" w:hAnsi="宋体"/>
          <w:sz w:val="24"/>
          <w:szCs w:val="24"/>
          <w:highlight w:val="none"/>
        </w:rPr>
        <w:t>后在规定</w:t>
      </w:r>
      <w:r>
        <w:rPr>
          <w:rFonts w:hint="eastAsia" w:ascii="宋体" w:hAnsi="宋体" w:cs="宋体"/>
          <w:kern w:val="0"/>
          <w:sz w:val="24"/>
          <w:szCs w:val="24"/>
          <w:highlight w:val="none"/>
        </w:rPr>
        <w:t>的报名日期内发送至邮箱：</w:t>
      </w:r>
      <w:r>
        <w:rPr>
          <w:highlight w:val="none"/>
        </w:rPr>
        <w:fldChar w:fldCharType="begin"/>
      </w:r>
      <w:r>
        <w:rPr>
          <w:highlight w:val="none"/>
        </w:rPr>
        <w:instrText xml:space="preserve"> HYPERLINK "mailto:361923526@qq.com" </w:instrText>
      </w:r>
      <w:r>
        <w:rPr>
          <w:highlight w:val="none"/>
        </w:rPr>
        <w:fldChar w:fldCharType="separate"/>
      </w:r>
      <w:r>
        <w:rPr>
          <w:rFonts w:hint="eastAsia" w:ascii="宋体" w:hAnsi="宋体" w:cs="宋体"/>
          <w:kern w:val="0"/>
          <w:sz w:val="24"/>
          <w:szCs w:val="24"/>
          <w:highlight w:val="none"/>
        </w:rPr>
        <w:t>1161414857@qq.com</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 xml:space="preserve"> 。</w:t>
      </w:r>
      <w:r>
        <w:rPr>
          <w:rFonts w:hint="eastAsia" w:ascii="宋体" w:hAnsi="宋体"/>
          <w:sz w:val="24"/>
          <w:szCs w:val="24"/>
          <w:highlight w:val="none"/>
        </w:rPr>
        <w:t xml:space="preserve"> </w:t>
      </w:r>
    </w:p>
    <w:p>
      <w:pPr>
        <w:autoSpaceDE w:val="0"/>
        <w:autoSpaceDN w:val="0"/>
        <w:adjustRightInd w:val="0"/>
        <w:spacing w:line="460" w:lineRule="exact"/>
        <w:ind w:firstLine="200"/>
        <w:jc w:val="left"/>
        <w:outlineLvl w:val="1"/>
        <w:rPr>
          <w:rFonts w:ascii="宋体" w:hAnsi="宋体" w:cs="宋体"/>
          <w:b/>
          <w:color w:val="000000"/>
          <w:kern w:val="0"/>
          <w:sz w:val="24"/>
          <w:szCs w:val="24"/>
          <w:highlight w:val="none"/>
        </w:rPr>
      </w:pPr>
      <w:bookmarkStart w:id="10" w:name="_Toc23731"/>
      <w:r>
        <w:rPr>
          <w:rFonts w:hint="eastAsia" w:ascii="宋体" w:hAnsi="宋体" w:cs="宋体"/>
          <w:b/>
          <w:color w:val="000000"/>
          <w:kern w:val="0"/>
          <w:sz w:val="24"/>
          <w:szCs w:val="24"/>
          <w:highlight w:val="none"/>
        </w:rPr>
        <w:t>四、开标时间及地点</w:t>
      </w:r>
      <w:bookmarkEnd w:id="10"/>
    </w:p>
    <w:p>
      <w:pPr>
        <w:autoSpaceDE w:val="0"/>
        <w:autoSpaceDN w:val="0"/>
        <w:adjustRightInd w:val="0"/>
        <w:spacing w:line="460" w:lineRule="exact"/>
        <w:ind w:firstLine="200"/>
        <w:jc w:val="left"/>
        <w:outlineLvl w:val="2"/>
        <w:rPr>
          <w:rFonts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1.开标时间：</w:t>
      </w:r>
      <w:r>
        <w:rPr>
          <w:rFonts w:hint="eastAsia" w:ascii="宋体" w:hAnsi="宋体" w:cs="宋体"/>
          <w:color w:val="000000"/>
          <w:kern w:val="0"/>
          <w:sz w:val="24"/>
          <w:szCs w:val="24"/>
          <w:highlight w:val="none"/>
          <w:u w:val="single"/>
        </w:rPr>
        <w:t>202</w:t>
      </w:r>
      <w:r>
        <w:rPr>
          <w:rFonts w:hint="eastAsia" w:ascii="宋体" w:hAnsi="宋体" w:cs="宋体"/>
          <w:color w:val="000000"/>
          <w:kern w:val="0"/>
          <w:sz w:val="24"/>
          <w:szCs w:val="24"/>
          <w:highlight w:val="none"/>
          <w:u w:val="single"/>
          <w:lang w:val="en-US" w:eastAsia="zh-CN"/>
        </w:rPr>
        <w:t>4</w:t>
      </w:r>
      <w:r>
        <w:rPr>
          <w:rFonts w:hint="eastAsia" w:ascii="宋体" w:hAnsi="宋体" w:cs="宋体"/>
          <w:color w:val="000000"/>
          <w:kern w:val="0"/>
          <w:sz w:val="24"/>
          <w:szCs w:val="24"/>
          <w:highlight w:val="none"/>
          <w:u w:val="single"/>
        </w:rPr>
        <w:t>年</w:t>
      </w:r>
      <w:r>
        <w:rPr>
          <w:rFonts w:hint="eastAsia" w:ascii="宋体" w:hAnsi="宋体" w:cs="宋体"/>
          <w:color w:val="000000"/>
          <w:kern w:val="0"/>
          <w:sz w:val="24"/>
          <w:szCs w:val="24"/>
          <w:highlight w:val="none"/>
          <w:u w:val="single"/>
          <w:lang w:val="en-US" w:eastAsia="zh-CN"/>
        </w:rPr>
        <w:t>1</w:t>
      </w:r>
      <w:r>
        <w:rPr>
          <w:rFonts w:hint="eastAsia" w:ascii="宋体" w:hAnsi="宋体" w:cs="宋体"/>
          <w:color w:val="000000"/>
          <w:kern w:val="0"/>
          <w:sz w:val="24"/>
          <w:szCs w:val="24"/>
          <w:highlight w:val="none"/>
          <w:u w:val="single"/>
        </w:rPr>
        <w:t>月</w:t>
      </w:r>
      <w:r>
        <w:rPr>
          <w:rFonts w:hint="eastAsia" w:ascii="宋体" w:hAnsi="宋体" w:cs="宋体"/>
          <w:color w:val="000000"/>
          <w:kern w:val="0"/>
          <w:sz w:val="24"/>
          <w:szCs w:val="24"/>
          <w:highlight w:val="none"/>
          <w:u w:val="single"/>
          <w:lang w:val="en-US" w:eastAsia="zh-CN"/>
        </w:rPr>
        <w:t>18</w:t>
      </w:r>
      <w:r>
        <w:rPr>
          <w:rFonts w:hint="eastAsia" w:ascii="宋体" w:hAnsi="宋体" w:cs="宋体"/>
          <w:color w:val="000000"/>
          <w:kern w:val="0"/>
          <w:sz w:val="24"/>
          <w:szCs w:val="24"/>
          <w:highlight w:val="none"/>
          <w:u w:val="single"/>
        </w:rPr>
        <w:t>日</w:t>
      </w:r>
      <w:r>
        <w:rPr>
          <w:rFonts w:hint="eastAsia" w:ascii="宋体" w:hAnsi="宋体" w:cs="宋体"/>
          <w:color w:val="000000"/>
          <w:kern w:val="0"/>
          <w:sz w:val="24"/>
          <w:szCs w:val="24"/>
          <w:highlight w:val="none"/>
          <w:u w:val="single"/>
          <w:lang w:val="en-US" w:eastAsia="zh-CN"/>
        </w:rPr>
        <w:t>14</w:t>
      </w:r>
      <w:r>
        <w:rPr>
          <w:rFonts w:hint="eastAsia" w:ascii="宋体" w:hAnsi="宋体" w:cs="宋体"/>
          <w:color w:val="000000"/>
          <w:kern w:val="0"/>
          <w:sz w:val="24"/>
          <w:szCs w:val="24"/>
          <w:highlight w:val="none"/>
          <w:u w:val="single"/>
        </w:rPr>
        <w:t>：30</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2.开标地点：合肥市蜀山区祁门路1799号合肥泓瑞金陵大酒店四楼蜀山厅</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b/>
          <w:kern w:val="0"/>
          <w:sz w:val="24"/>
          <w:szCs w:val="24"/>
          <w:highlight w:val="none"/>
        </w:rPr>
        <w:t xml:space="preserve">五、投标截止时间：  </w:t>
      </w:r>
      <w:r>
        <w:rPr>
          <w:rFonts w:hint="eastAsia" w:ascii="宋体" w:hAnsi="宋体" w:cs="宋体"/>
          <w:kern w:val="0"/>
          <w:sz w:val="24"/>
          <w:szCs w:val="24"/>
          <w:highlight w:val="none"/>
        </w:rPr>
        <w:t>2024年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17</w:t>
      </w:r>
      <w:r>
        <w:rPr>
          <w:rFonts w:hint="eastAsia" w:ascii="宋体" w:hAnsi="宋体" w:cs="宋体"/>
          <w:kern w:val="0"/>
          <w:sz w:val="24"/>
          <w:szCs w:val="24"/>
          <w:highlight w:val="none"/>
        </w:rPr>
        <w:t>日17：00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六、联系方法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招 标 人：合肥泓瑞金陵大酒店有限责任公司</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地    址：合肥市蜀山区祁门路1799号合肥泓瑞金陵大酒店采购部</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 xml:space="preserve">联  系 人：胡工   联系电话：0551-62266887 </w:t>
      </w:r>
    </w:p>
    <w:p>
      <w:pPr>
        <w:widowControl/>
        <w:spacing w:line="460" w:lineRule="exact"/>
        <w:ind w:firstLine="241" w:firstLineChars="100"/>
        <w:jc w:val="left"/>
        <w:outlineLvl w:val="1"/>
        <w:rPr>
          <w:rFonts w:ascii="宋体" w:hAnsi="宋体" w:cs="宋体"/>
          <w:b/>
          <w:kern w:val="0"/>
          <w:sz w:val="24"/>
          <w:szCs w:val="24"/>
        </w:rPr>
      </w:pPr>
      <w:bookmarkStart w:id="11" w:name="_Toc8851"/>
      <w:r>
        <w:rPr>
          <w:rFonts w:hint="eastAsia" w:ascii="宋体" w:hAnsi="宋体" w:cs="宋体"/>
          <w:b/>
          <w:kern w:val="0"/>
          <w:sz w:val="24"/>
          <w:szCs w:val="24"/>
        </w:rPr>
        <w:t>七、其他补充事宜</w:t>
      </w:r>
      <w:bookmarkEnd w:id="11"/>
    </w:p>
    <w:p>
      <w:pPr>
        <w:widowControl/>
        <w:spacing w:line="460" w:lineRule="exact"/>
        <w:ind w:firstLine="560"/>
        <w:jc w:val="left"/>
        <w:rPr>
          <w:rFonts w:ascii="宋体" w:hAnsi="宋体" w:cs="宋体"/>
          <w:kern w:val="0"/>
          <w:sz w:val="24"/>
          <w:szCs w:val="24"/>
        </w:rPr>
      </w:pPr>
      <w:r>
        <w:rPr>
          <w:rFonts w:hint="eastAsia" w:ascii="宋体" w:hAnsi="宋体" w:cs="宋体"/>
          <w:kern w:val="0"/>
          <w:sz w:val="24"/>
          <w:szCs w:val="24"/>
        </w:rPr>
        <w:t>有任何疑问或问题，请在工作时间（周一至周五，上午08:00-12:00，下午2:30-5:30，节假日休息）与项目联系人联系。</w:t>
      </w:r>
    </w:p>
    <w:p>
      <w:pPr>
        <w:widowControl/>
        <w:spacing w:line="460" w:lineRule="exact"/>
        <w:ind w:firstLine="241" w:firstLineChars="100"/>
        <w:jc w:val="left"/>
        <w:outlineLvl w:val="1"/>
        <w:rPr>
          <w:rFonts w:ascii="宋体" w:hAnsi="宋体" w:cs="宋体"/>
          <w:b/>
          <w:kern w:val="0"/>
          <w:sz w:val="24"/>
          <w:szCs w:val="24"/>
        </w:rPr>
      </w:pPr>
      <w:bookmarkStart w:id="12" w:name="_Toc26881"/>
      <w:r>
        <w:rPr>
          <w:rFonts w:hint="eastAsia" w:ascii="宋体" w:hAnsi="宋体" w:cs="宋体"/>
          <w:b/>
          <w:kern w:val="0"/>
          <w:sz w:val="24"/>
          <w:szCs w:val="24"/>
        </w:rPr>
        <w:t>八、 招标文件的异议、投诉</w:t>
      </w:r>
      <w:bookmarkEnd w:id="12"/>
    </w:p>
    <w:p>
      <w:pPr>
        <w:widowControl/>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1、投标人或者其他利害关系人对招标文件有异议的，应当在规定时间通过电子邮件形式提出或以书面形式向招标人提出。</w:t>
      </w:r>
    </w:p>
    <w:p>
      <w:pPr>
        <w:spacing w:line="500" w:lineRule="exact"/>
        <w:ind w:firstLine="480" w:firstLineChars="200"/>
        <w:rPr>
          <w:rFonts w:ascii="宋体" w:hAnsi="宋体"/>
        </w:rPr>
      </w:pPr>
      <w:r>
        <w:rPr>
          <w:rFonts w:hint="eastAsia" w:ascii="宋体" w:hAnsi="宋体" w:cs="宋体"/>
          <w:kern w:val="0"/>
          <w:sz w:val="24"/>
          <w:szCs w:val="24"/>
        </w:rPr>
        <w:t>2、招标人未在规定时间内予以答复的，可以向招标人党支部纪检委员投诉。联系电话：</w:t>
      </w:r>
      <w:r>
        <w:rPr>
          <w:rFonts w:hint="eastAsia" w:ascii="宋体" w:hAnsi="宋体"/>
          <w:sz w:val="28"/>
        </w:rPr>
        <w:t>0551-62266404</w:t>
      </w:r>
      <w:r>
        <w:rPr>
          <w:rFonts w:hint="eastAsia" w:ascii="宋体" w:hAnsi="宋体" w:cs="宋体"/>
          <w:kern w:val="0"/>
          <w:sz w:val="24"/>
          <w:szCs w:val="24"/>
        </w:rPr>
        <w:t>。</w:t>
      </w:r>
      <w:r>
        <w:rPr>
          <w:rFonts w:hint="eastAsia" w:ascii="宋体" w:hAnsi="宋体" w:cs="宋体"/>
          <w:kern w:val="0"/>
          <w:sz w:val="24"/>
          <w:szCs w:val="24"/>
        </w:rPr>
        <w:br w:type="page"/>
      </w:r>
    </w:p>
    <w:p>
      <w:pPr>
        <w:pStyle w:val="3"/>
        <w:spacing w:before="0" w:after="0" w:line="360" w:lineRule="auto"/>
        <w:ind w:firstLine="0"/>
        <w:rPr>
          <w:rFonts w:ascii="宋体" w:hAnsi="宋体" w:eastAsia="宋体"/>
          <w:color w:val="000000"/>
        </w:rPr>
      </w:pPr>
      <w:bookmarkStart w:id="13" w:name="_Toc2168"/>
      <w:bookmarkStart w:id="14" w:name="_Toc16859"/>
      <w:r>
        <w:rPr>
          <w:rFonts w:hint="eastAsia" w:ascii="宋体" w:hAnsi="宋体" w:eastAsia="宋体"/>
          <w:color w:val="000000"/>
        </w:rPr>
        <w:t>第二章 投标人须知前附表</w:t>
      </w:r>
      <w:bookmarkEnd w:id="13"/>
      <w:bookmarkEnd w:id="14"/>
    </w:p>
    <w:tbl>
      <w:tblPr>
        <w:tblStyle w:val="20"/>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1418" w:type="dxa"/>
            <w:vAlign w:val="center"/>
          </w:tcPr>
          <w:p>
            <w:pPr>
              <w:jc w:val="center"/>
              <w:rPr>
                <w:rFonts w:ascii="宋体" w:hAnsi="宋体"/>
                <w:b/>
                <w:sz w:val="24"/>
                <w:szCs w:val="24"/>
              </w:rPr>
            </w:pPr>
            <w:r>
              <w:rPr>
                <w:rFonts w:hint="eastAsia" w:ascii="宋体" w:hAnsi="宋体"/>
                <w:b/>
                <w:sz w:val="24"/>
                <w:szCs w:val="24"/>
              </w:rPr>
              <w:t>内容</w:t>
            </w:r>
          </w:p>
        </w:tc>
        <w:tc>
          <w:tcPr>
            <w:tcW w:w="7342" w:type="dxa"/>
            <w:vAlign w:val="center"/>
          </w:tcPr>
          <w:p>
            <w:pPr>
              <w:pStyle w:val="25"/>
              <w:widowControl w:val="0"/>
              <w:spacing w:before="0" w:beforeAutospacing="0" w:after="0" w:afterAutospacing="0"/>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bCs/>
                <w:kern w:val="2"/>
                <w:szCs w:val="24"/>
              </w:rPr>
            </w:pPr>
            <w:r>
              <w:rPr>
                <w:rFonts w:hint="eastAsia" w:ascii="宋体" w:hAnsi="宋体"/>
                <w:bCs/>
                <w:kern w:val="2"/>
                <w:szCs w:val="24"/>
              </w:rPr>
              <w:t>1</w:t>
            </w:r>
          </w:p>
        </w:tc>
        <w:tc>
          <w:tcPr>
            <w:tcW w:w="1418" w:type="dxa"/>
            <w:vAlign w:val="center"/>
          </w:tcPr>
          <w:p>
            <w:pPr>
              <w:jc w:val="center"/>
              <w:rPr>
                <w:rFonts w:ascii="宋体" w:hAnsi="宋体"/>
                <w:bCs/>
                <w:sz w:val="24"/>
                <w:szCs w:val="24"/>
              </w:rPr>
            </w:pPr>
            <w:r>
              <w:rPr>
                <w:rFonts w:hint="eastAsia" w:ascii="宋体" w:hAnsi="宋体"/>
                <w:bCs/>
                <w:sz w:val="24"/>
                <w:szCs w:val="24"/>
              </w:rPr>
              <w:t>招标人</w:t>
            </w:r>
          </w:p>
        </w:tc>
        <w:tc>
          <w:tcPr>
            <w:tcW w:w="7342" w:type="dxa"/>
            <w:vAlign w:val="center"/>
          </w:tcPr>
          <w:p>
            <w:pPr>
              <w:pStyle w:val="25"/>
              <w:widowControl w:val="0"/>
              <w:spacing w:before="0" w:beforeAutospacing="0" w:after="0" w:afterAutospacing="0"/>
              <w:jc w:val="both"/>
              <w:rPr>
                <w:b w:val="0"/>
                <w:kern w:val="2"/>
                <w:sz w:val="24"/>
                <w:szCs w:val="24"/>
              </w:rPr>
            </w:pPr>
            <w:r>
              <w:rPr>
                <w:rFonts w:hint="eastAsia" w:asciiTheme="minorEastAsia" w:hAnsiTheme="minorEastAsia" w:eastAsiaTheme="minorEastAsia"/>
                <w:b w:val="0"/>
                <w:bCs w:val="0"/>
                <w:kern w:val="2"/>
                <w:sz w:val="24"/>
                <w:szCs w:val="24"/>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sz w:val="24"/>
                <w:szCs w:val="24"/>
              </w:rPr>
            </w:pPr>
            <w:r>
              <w:rPr>
                <w:rFonts w:hint="eastAsia" w:ascii="宋体" w:hAnsi="宋体"/>
                <w:bCs/>
                <w:sz w:val="24"/>
                <w:szCs w:val="24"/>
              </w:rPr>
              <w:t>2</w:t>
            </w:r>
          </w:p>
        </w:tc>
        <w:tc>
          <w:tcPr>
            <w:tcW w:w="1418" w:type="dxa"/>
            <w:vAlign w:val="center"/>
          </w:tcPr>
          <w:p>
            <w:pPr>
              <w:jc w:val="center"/>
              <w:rPr>
                <w:rFonts w:ascii="宋体" w:hAnsi="宋体"/>
                <w:sz w:val="24"/>
                <w:szCs w:val="24"/>
              </w:rPr>
            </w:pPr>
            <w:r>
              <w:rPr>
                <w:rFonts w:hint="eastAsia" w:ascii="宋体" w:hAnsi="宋体"/>
                <w:sz w:val="24"/>
                <w:szCs w:val="24"/>
              </w:rPr>
              <w:t>项目名称</w:t>
            </w:r>
          </w:p>
        </w:tc>
        <w:tc>
          <w:tcPr>
            <w:tcW w:w="7342" w:type="dxa"/>
            <w:vAlign w:val="center"/>
          </w:tcPr>
          <w:p>
            <w:pPr>
              <w:spacing w:line="360" w:lineRule="auto"/>
              <w:rPr>
                <w:rFonts w:ascii="宋体" w:hAnsi="宋体" w:eastAsiaTheme="minorEastAsia"/>
                <w:bCs/>
                <w:sz w:val="24"/>
                <w:szCs w:val="24"/>
              </w:rPr>
            </w:pPr>
            <w:r>
              <w:rPr>
                <w:rFonts w:hint="eastAsia" w:asciiTheme="minorEastAsia" w:hAnsiTheme="minorEastAsia" w:eastAsiaTheme="minorEastAsia"/>
                <w:sz w:val="24"/>
                <w:szCs w:val="24"/>
              </w:rPr>
              <w:t xml:space="preserve">合肥泓瑞金陵大酒店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szCs w:val="24"/>
              </w:rPr>
            </w:pPr>
            <w:r>
              <w:rPr>
                <w:rFonts w:hint="eastAsia" w:ascii="宋体" w:hAnsi="宋体"/>
                <w:bCs/>
                <w:sz w:val="24"/>
                <w:szCs w:val="24"/>
              </w:rPr>
              <w:t>3</w:t>
            </w:r>
          </w:p>
        </w:tc>
        <w:tc>
          <w:tcPr>
            <w:tcW w:w="1418" w:type="dxa"/>
            <w:vAlign w:val="center"/>
          </w:tcPr>
          <w:p>
            <w:pPr>
              <w:jc w:val="center"/>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项目编号</w:t>
            </w:r>
          </w:p>
        </w:tc>
        <w:tc>
          <w:tcPr>
            <w:tcW w:w="7342" w:type="dxa"/>
            <w:vAlign w:val="center"/>
          </w:tcPr>
          <w:p>
            <w:pPr>
              <w:tabs>
                <w:tab w:val="left" w:pos="2410"/>
              </w:tabs>
              <w:autoSpaceDE w:val="0"/>
              <w:autoSpaceDN w:val="0"/>
              <w:adjustRightInd w:val="0"/>
              <w:snapToGrid w:val="0"/>
              <w:spacing w:line="360" w:lineRule="auto"/>
              <w:rPr>
                <w:rFonts w:asciiTheme="minorEastAsia" w:hAnsiTheme="minorEastAsia" w:eastAsiaTheme="minorEastAsia"/>
                <w:bCs/>
                <w:color w:val="000000"/>
                <w:kern w:val="0"/>
                <w:sz w:val="24"/>
                <w:szCs w:val="24"/>
                <w:highlight w:val="yellow"/>
              </w:rPr>
            </w:pPr>
            <w:r>
              <w:rPr>
                <w:rFonts w:hint="eastAsia" w:asciiTheme="minorEastAsia" w:hAnsiTheme="minorEastAsia" w:eastAsiaTheme="minorEastAsia"/>
                <w:bCs/>
                <w:color w:val="000000"/>
                <w:kern w:val="0"/>
                <w:sz w:val="24"/>
                <w:szCs w:val="24"/>
              </w:rPr>
              <w:t>2024HRJL0002号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trPr>
        <w:tc>
          <w:tcPr>
            <w:tcW w:w="709" w:type="dxa"/>
            <w:vAlign w:val="center"/>
          </w:tcPr>
          <w:p>
            <w:pPr>
              <w:jc w:val="center"/>
              <w:rPr>
                <w:rFonts w:ascii="宋体" w:hAnsi="宋体"/>
                <w:bCs/>
                <w:sz w:val="24"/>
                <w:szCs w:val="24"/>
              </w:rPr>
            </w:pPr>
            <w:r>
              <w:rPr>
                <w:rFonts w:hint="eastAsia" w:ascii="宋体" w:hAnsi="宋体"/>
                <w:bCs/>
                <w:sz w:val="24"/>
                <w:szCs w:val="24"/>
              </w:rPr>
              <w:t>4</w:t>
            </w:r>
          </w:p>
        </w:tc>
        <w:tc>
          <w:tcPr>
            <w:tcW w:w="1418" w:type="dxa"/>
            <w:vAlign w:val="center"/>
          </w:tcPr>
          <w:p>
            <w:pPr>
              <w:spacing w:line="500" w:lineRule="exact"/>
              <w:jc w:val="center"/>
              <w:rPr>
                <w:rFonts w:ascii="宋体" w:hAnsi="宋体"/>
                <w:sz w:val="24"/>
                <w:szCs w:val="24"/>
              </w:rPr>
            </w:pPr>
            <w:r>
              <w:rPr>
                <w:rFonts w:hint="eastAsia" w:ascii="宋体" w:hAnsi="宋体"/>
                <w:sz w:val="24"/>
                <w:szCs w:val="24"/>
                <w:lang w:val="zh-CN"/>
              </w:rPr>
              <w:t>付款方式</w:t>
            </w:r>
          </w:p>
        </w:tc>
        <w:tc>
          <w:tcPr>
            <w:tcW w:w="7342" w:type="dxa"/>
          </w:tcPr>
          <w:p>
            <w:pPr>
              <w:spacing w:line="360" w:lineRule="auto"/>
              <w:rPr>
                <w:rFonts w:cs="宋体"/>
              </w:rPr>
            </w:pPr>
            <w:r>
              <w:rPr>
                <w:rFonts w:hint="eastAsia" w:asciiTheme="minorEastAsia" w:hAnsiTheme="minorEastAsia" w:eastAsiaTheme="minorEastAsia"/>
                <w:sz w:val="24"/>
                <w:szCs w:val="24"/>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9" w:type="dxa"/>
            <w:vAlign w:val="center"/>
          </w:tcPr>
          <w:p>
            <w:pPr>
              <w:jc w:val="center"/>
              <w:rPr>
                <w:rFonts w:ascii="宋体" w:hAnsi="宋体"/>
                <w:sz w:val="24"/>
                <w:szCs w:val="24"/>
                <w:lang w:val="zh-CN"/>
              </w:rPr>
            </w:pPr>
            <w:r>
              <w:rPr>
                <w:rFonts w:hint="eastAsia" w:ascii="宋体" w:hAnsi="宋体"/>
                <w:bCs/>
                <w:sz w:val="24"/>
                <w:szCs w:val="24"/>
              </w:rPr>
              <w:t>5</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供货地点</w:t>
            </w:r>
          </w:p>
        </w:tc>
        <w:tc>
          <w:tcPr>
            <w:tcW w:w="7342" w:type="dxa"/>
            <w:vAlign w:val="center"/>
          </w:tcPr>
          <w:p>
            <w:pPr>
              <w:tabs>
                <w:tab w:val="left" w:pos="2410"/>
              </w:tabs>
              <w:autoSpaceDE w:val="0"/>
              <w:autoSpaceDN w:val="0"/>
              <w:adjustRightInd w:val="0"/>
              <w:snapToGrid w:val="0"/>
              <w:spacing w:line="500" w:lineRule="exact"/>
              <w:jc w:val="center"/>
              <w:rPr>
                <w:rFonts w:ascii="宋体" w:hAnsi="宋体" w:eastAsiaTheme="minorEastAsia"/>
                <w:sz w:val="24"/>
                <w:szCs w:val="24"/>
              </w:rPr>
            </w:pPr>
            <w:r>
              <w:rPr>
                <w:rFonts w:hint="eastAsia" w:ascii="宋体" w:hAnsi="宋体" w:eastAsiaTheme="minorEastAsia"/>
                <w:sz w:val="24"/>
                <w:szCs w:val="24"/>
              </w:rPr>
              <w:t>合肥泓瑞金陵大酒店采购部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709" w:type="dxa"/>
            <w:vAlign w:val="center"/>
          </w:tcPr>
          <w:p>
            <w:pPr>
              <w:spacing w:line="500" w:lineRule="exact"/>
              <w:ind w:right="102"/>
              <w:jc w:val="center"/>
              <w:rPr>
                <w:rFonts w:ascii="宋体" w:hAnsi="宋体"/>
                <w:sz w:val="24"/>
                <w:szCs w:val="24"/>
              </w:rPr>
            </w:pPr>
            <w:r>
              <w:rPr>
                <w:rFonts w:hint="eastAsia" w:ascii="宋体" w:hAnsi="宋体"/>
                <w:sz w:val="24"/>
                <w:szCs w:val="24"/>
                <w:lang w:val="zh-CN"/>
              </w:rPr>
              <w:t>6</w:t>
            </w:r>
          </w:p>
        </w:tc>
        <w:tc>
          <w:tcPr>
            <w:tcW w:w="1418" w:type="dxa"/>
            <w:vAlign w:val="center"/>
          </w:tcPr>
          <w:p>
            <w:pPr>
              <w:spacing w:line="500" w:lineRule="exact"/>
              <w:ind w:firstLine="120" w:firstLineChars="50"/>
              <w:rPr>
                <w:rFonts w:ascii="宋体" w:hAnsi="宋体"/>
                <w:sz w:val="24"/>
                <w:szCs w:val="24"/>
              </w:rPr>
            </w:pPr>
            <w:r>
              <w:rPr>
                <w:rFonts w:hint="eastAsia" w:ascii="宋体" w:hAnsi="宋体"/>
                <w:sz w:val="24"/>
                <w:szCs w:val="24"/>
              </w:rPr>
              <w:t>供货期限</w:t>
            </w:r>
          </w:p>
        </w:tc>
        <w:tc>
          <w:tcPr>
            <w:tcW w:w="7342" w:type="dxa"/>
            <w:vAlign w:val="center"/>
          </w:tcPr>
          <w:p>
            <w:pPr>
              <w:spacing w:line="500" w:lineRule="exact"/>
              <w:rPr>
                <w:rFonts w:ascii="宋体" w:hAnsi="宋体"/>
                <w:sz w:val="24"/>
                <w:szCs w:val="24"/>
              </w:rPr>
            </w:pPr>
            <w:r>
              <w:rPr>
                <w:rFonts w:hint="eastAsia" w:ascii="宋体" w:hAnsi="宋体"/>
                <w:sz w:val="24"/>
                <w:szCs w:val="24"/>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418" w:type="dxa"/>
            <w:vAlign w:val="center"/>
          </w:tcPr>
          <w:p>
            <w:pPr>
              <w:spacing w:line="500" w:lineRule="exact"/>
              <w:jc w:val="center"/>
              <w:rPr>
                <w:rFonts w:ascii="宋体" w:hAnsi="宋体"/>
                <w:sz w:val="24"/>
                <w:szCs w:val="24"/>
                <w:lang w:val="zh-CN"/>
              </w:rPr>
            </w:pPr>
            <w:r>
              <w:rPr>
                <w:rFonts w:hint="eastAsia" w:ascii="宋体" w:hAnsi="宋体"/>
                <w:sz w:val="24"/>
                <w:szCs w:val="24"/>
                <w:lang w:val="zh-CN"/>
              </w:rPr>
              <w:t>质保期</w:t>
            </w:r>
          </w:p>
        </w:tc>
        <w:tc>
          <w:tcPr>
            <w:tcW w:w="7342" w:type="dxa"/>
            <w:vAlign w:val="center"/>
          </w:tcPr>
          <w:p>
            <w:pPr>
              <w:adjustRightInd w:val="0"/>
              <w:spacing w:line="500" w:lineRule="exact"/>
              <w:rPr>
                <w:rFonts w:ascii="宋体" w:hAnsi="宋体"/>
                <w:sz w:val="24"/>
                <w:szCs w:val="24"/>
                <w:lang w:val="zh-CN"/>
              </w:rPr>
            </w:pPr>
            <w:r>
              <w:rPr>
                <w:rFonts w:hint="eastAsia" w:ascii="宋体" w:hAnsi="宋体"/>
                <w:sz w:val="24"/>
                <w:szCs w:val="24"/>
              </w:rPr>
              <w:t>所供产品生产日期需在供货之日前3个月内，</w:t>
            </w:r>
            <w:r>
              <w:rPr>
                <w:rFonts w:hint="eastAsia" w:ascii="宋体" w:hAnsi="宋体"/>
                <w:sz w:val="24"/>
                <w:szCs w:val="24"/>
                <w:lang w:val="zh-CN"/>
              </w:rPr>
              <w:t>经委托人验收合格之日起壹</w:t>
            </w:r>
            <w:r>
              <w:rPr>
                <w:rFonts w:hint="eastAsia" w:ascii="宋体" w:hAnsi="宋体"/>
                <w:sz w:val="24"/>
                <w:szCs w:val="24"/>
              </w:rPr>
              <w:t>年，法律法规或生产厂家等对质保期的规定长于壹年的，依照国家相关三包规定要求。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418" w:type="dxa"/>
            <w:vAlign w:val="center"/>
          </w:tcPr>
          <w:p>
            <w:pPr>
              <w:spacing w:line="500" w:lineRule="exact"/>
              <w:jc w:val="center"/>
              <w:rPr>
                <w:rFonts w:ascii="宋体" w:hAnsi="宋体"/>
                <w:bCs/>
                <w:sz w:val="24"/>
                <w:szCs w:val="24"/>
              </w:rPr>
            </w:pPr>
            <w:r>
              <w:rPr>
                <w:rFonts w:hint="eastAsia" w:ascii="宋体" w:hAnsi="宋体"/>
                <w:bCs/>
                <w:sz w:val="24"/>
                <w:szCs w:val="24"/>
              </w:rPr>
              <w:t>踏勘现场</w:t>
            </w:r>
          </w:p>
        </w:tc>
        <w:tc>
          <w:tcPr>
            <w:tcW w:w="7342" w:type="dxa"/>
            <w:vAlign w:val="center"/>
          </w:tcPr>
          <w:p>
            <w:pPr>
              <w:spacing w:line="380" w:lineRule="exact"/>
              <w:rPr>
                <w:rFonts w:ascii="宋体" w:hAnsi="宋体"/>
                <w:sz w:val="24"/>
                <w:szCs w:val="24"/>
                <w:lang w:val="zh-CN"/>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418" w:type="dxa"/>
            <w:vAlign w:val="center"/>
          </w:tcPr>
          <w:p>
            <w:pPr>
              <w:spacing w:line="500" w:lineRule="exact"/>
              <w:jc w:val="center"/>
              <w:rPr>
                <w:rFonts w:ascii="宋体" w:hAnsi="宋体"/>
                <w:bCs/>
                <w:sz w:val="24"/>
                <w:szCs w:val="24"/>
              </w:rPr>
            </w:pPr>
            <w:r>
              <w:rPr>
                <w:rFonts w:hint="eastAsia" w:ascii="宋体" w:hAnsi="宋体"/>
                <w:bCs/>
                <w:sz w:val="24"/>
                <w:szCs w:val="24"/>
              </w:rPr>
              <w:t>投标文件</w:t>
            </w:r>
          </w:p>
        </w:tc>
        <w:tc>
          <w:tcPr>
            <w:tcW w:w="7342" w:type="dxa"/>
            <w:vAlign w:val="center"/>
          </w:tcPr>
          <w:p>
            <w:pPr>
              <w:spacing w:line="380" w:lineRule="exact"/>
              <w:rPr>
                <w:rFonts w:ascii="宋体" w:hAnsi="宋体"/>
                <w:b/>
                <w:bCs/>
                <w:sz w:val="24"/>
                <w:szCs w:val="24"/>
              </w:rPr>
            </w:pP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rPr>
              <w:t>份</w:t>
            </w:r>
            <w:r>
              <w:rPr>
                <w:rFonts w:hint="eastAsia" w:ascii="宋体" w:hAnsi="宋体"/>
                <w:kern w:val="0"/>
                <w:sz w:val="24"/>
                <w:szCs w:val="24"/>
              </w:rPr>
              <w:t>，装订成册并封装于一个文件袋内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418" w:type="dxa"/>
            <w:vAlign w:val="center"/>
          </w:tcPr>
          <w:p>
            <w:pPr>
              <w:spacing w:line="380" w:lineRule="exact"/>
              <w:ind w:left="839" w:hanging="839"/>
              <w:rPr>
                <w:rFonts w:ascii="宋体" w:hAnsi="宋体"/>
                <w:sz w:val="24"/>
                <w:szCs w:val="24"/>
              </w:rPr>
            </w:pPr>
            <w:r>
              <w:rPr>
                <w:rFonts w:hint="eastAsia" w:ascii="宋体" w:hAnsi="宋体"/>
                <w:sz w:val="24"/>
                <w:szCs w:val="24"/>
              </w:rPr>
              <w:t>开标时间</w:t>
            </w:r>
          </w:p>
          <w:p>
            <w:pPr>
              <w:spacing w:line="380" w:lineRule="exact"/>
              <w:ind w:left="839" w:hanging="839"/>
              <w:rPr>
                <w:rFonts w:ascii="宋体" w:hAnsi="宋体"/>
                <w:sz w:val="24"/>
                <w:szCs w:val="24"/>
              </w:rPr>
            </w:pPr>
            <w:r>
              <w:rPr>
                <w:rFonts w:hint="eastAsia" w:ascii="宋体" w:hAnsi="宋体"/>
                <w:sz w:val="24"/>
                <w:szCs w:val="24"/>
              </w:rPr>
              <w:t>及地点</w:t>
            </w:r>
          </w:p>
        </w:tc>
        <w:tc>
          <w:tcPr>
            <w:tcW w:w="7342" w:type="dxa"/>
            <w:vAlign w:val="center"/>
          </w:tcPr>
          <w:p>
            <w:pPr>
              <w:spacing w:line="380" w:lineRule="exact"/>
              <w:ind w:left="841" w:hanging="841"/>
              <w:rPr>
                <w:rFonts w:ascii="宋体" w:hAnsi="宋体"/>
                <w:sz w:val="24"/>
                <w:szCs w:val="24"/>
              </w:rPr>
            </w:pPr>
            <w:r>
              <w:rPr>
                <w:rFonts w:hint="eastAsia" w:ascii="宋体" w:hAnsi="宋体"/>
                <w:sz w:val="24"/>
                <w:szCs w:val="24"/>
              </w:rPr>
              <w:t>开标时间：详见招标公告</w:t>
            </w:r>
          </w:p>
          <w:p>
            <w:pPr>
              <w:spacing w:line="38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09" w:type="dxa"/>
            <w:vAlign w:val="center"/>
          </w:tcPr>
          <w:p>
            <w:pPr>
              <w:jc w:val="center"/>
              <w:rPr>
                <w:rFonts w:ascii="宋体" w:hAnsi="宋体"/>
                <w:sz w:val="24"/>
                <w:szCs w:val="24"/>
              </w:rPr>
            </w:pPr>
            <w:r>
              <w:rPr>
                <w:rFonts w:hint="eastAsia" w:ascii="宋体" w:hAnsi="宋体"/>
                <w:sz w:val="24"/>
                <w:szCs w:val="24"/>
              </w:rPr>
              <w:t>11</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评标办法</w:t>
            </w:r>
          </w:p>
        </w:tc>
        <w:tc>
          <w:tcPr>
            <w:tcW w:w="7342" w:type="dxa"/>
            <w:vAlign w:val="center"/>
          </w:tcPr>
          <w:p>
            <w:pPr>
              <w:spacing w:line="380" w:lineRule="exact"/>
              <w:rPr>
                <w:rFonts w:ascii="宋体" w:hAnsi="宋体"/>
                <w:sz w:val="24"/>
                <w:szCs w:val="24"/>
              </w:rPr>
            </w:pPr>
            <w:r>
              <w:rPr>
                <w:rFonts w:hint="eastAsia" w:ascii="宋体" w:hAnsi="宋体"/>
                <w:sz w:val="24"/>
                <w:szCs w:val="24"/>
              </w:rPr>
              <w:t>有效最低价法。详见招标</w:t>
            </w:r>
            <w:r>
              <w:rPr>
                <w:rFonts w:hint="eastAsia" w:ascii="宋体" w:hAnsi="宋体"/>
                <w:sz w:val="24"/>
                <w:szCs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12</w:t>
            </w:r>
          </w:p>
        </w:tc>
        <w:tc>
          <w:tcPr>
            <w:tcW w:w="1418" w:type="dxa"/>
            <w:vAlign w:val="center"/>
          </w:tcPr>
          <w:p>
            <w:pPr>
              <w:spacing w:line="500" w:lineRule="exact"/>
              <w:jc w:val="center"/>
              <w:rPr>
                <w:rFonts w:ascii="宋体" w:hAnsi="宋体"/>
                <w:sz w:val="24"/>
                <w:highlight w:val="yellow"/>
              </w:rPr>
            </w:pPr>
            <w:r>
              <w:rPr>
                <w:rFonts w:hint="eastAsia" w:ascii="宋体" w:hAnsi="宋体"/>
                <w:sz w:val="24"/>
              </w:rPr>
              <w:t>投标保证金</w:t>
            </w:r>
          </w:p>
        </w:tc>
        <w:tc>
          <w:tcPr>
            <w:tcW w:w="7342" w:type="dxa"/>
            <w:vAlign w:val="center"/>
          </w:tcPr>
          <w:p>
            <w:pPr>
              <w:spacing w:line="460" w:lineRule="exact"/>
              <w:rPr>
                <w:b/>
                <w:bCs/>
                <w:sz w:val="24"/>
              </w:rPr>
            </w:pPr>
            <w:r>
              <w:rPr>
                <w:rFonts w:hint="eastAsia"/>
                <w:b/>
                <w:bCs/>
                <w:sz w:val="24"/>
              </w:rPr>
              <w:sym w:font="Wingdings" w:char="00A8"/>
            </w:r>
            <w:r>
              <w:rPr>
                <w:rFonts w:hint="eastAsia"/>
                <w:b/>
                <w:bCs/>
                <w:sz w:val="24"/>
                <w:u w:val="single"/>
              </w:rPr>
              <w:t xml:space="preserve">        </w:t>
            </w:r>
            <w:r>
              <w:rPr>
                <w:rFonts w:hint="eastAsia"/>
                <w:b/>
                <w:bCs/>
                <w:sz w:val="24"/>
              </w:rPr>
              <w:t xml:space="preserve">元    </w:t>
            </w:r>
            <w:r>
              <w:rPr>
                <w:rFonts w:hint="eastAsia" w:ascii="宋体" w:hAnsi="宋体"/>
                <w:b/>
                <w:sz w:val="24"/>
              </w:rPr>
              <w:sym w:font="Wingdings 2" w:char="0052"/>
            </w:r>
            <w:r>
              <w:rPr>
                <w:rFonts w:hint="eastAsia" w:ascii="宋体" w:hAnsi="宋体"/>
                <w:sz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13</w:t>
            </w:r>
          </w:p>
        </w:tc>
        <w:tc>
          <w:tcPr>
            <w:tcW w:w="1418" w:type="dxa"/>
            <w:vAlign w:val="center"/>
          </w:tcPr>
          <w:p>
            <w:pPr>
              <w:spacing w:line="500" w:lineRule="exact"/>
              <w:jc w:val="center"/>
              <w:rPr>
                <w:rFonts w:ascii="宋体" w:hAnsi="宋体"/>
                <w:sz w:val="24"/>
                <w:highlight w:val="yellow"/>
              </w:rPr>
            </w:pPr>
            <w:r>
              <w:rPr>
                <w:rFonts w:hint="eastAsia" w:ascii="宋体" w:hAnsi="宋体"/>
                <w:sz w:val="24"/>
                <w:highlight w:val="yellow"/>
              </w:rPr>
              <w:t>投标样品</w:t>
            </w:r>
          </w:p>
        </w:tc>
        <w:tc>
          <w:tcPr>
            <w:tcW w:w="7342" w:type="dxa"/>
            <w:vAlign w:val="center"/>
          </w:tcPr>
          <w:p>
            <w:pPr>
              <w:spacing w:line="460" w:lineRule="exact"/>
              <w:rPr>
                <w:rFonts w:ascii="宋体" w:hAnsi="宋体"/>
                <w:sz w:val="24"/>
                <w:highlight w:val="none"/>
              </w:rPr>
            </w:pPr>
            <w:r>
              <w:rPr>
                <w:rFonts w:hint="eastAsia"/>
                <w:b/>
                <w:bCs/>
                <w:sz w:val="24"/>
                <w:highlight w:val="yellow"/>
              </w:rPr>
              <w:sym w:font="Wingdings" w:char="00FE"/>
            </w:r>
            <w:r>
              <w:rPr>
                <w:rFonts w:hint="eastAsia" w:ascii="宋体" w:hAnsi="宋体"/>
                <w:sz w:val="24"/>
                <w:highlight w:val="yellow"/>
              </w:rPr>
              <w:t xml:space="preserve">需要  </w:t>
            </w:r>
            <w:bookmarkStart w:id="42" w:name="_GoBack"/>
            <w:r>
              <w:rPr>
                <w:rFonts w:hint="eastAsia" w:ascii="宋体" w:hAnsi="宋体"/>
                <w:b/>
                <w:sz w:val="24"/>
                <w:highlight w:val="none"/>
              </w:rPr>
              <w:sym w:font="Wingdings 2" w:char="00A3"/>
            </w:r>
            <w:r>
              <w:rPr>
                <w:rFonts w:hint="eastAsia" w:ascii="宋体" w:hAnsi="宋体"/>
                <w:sz w:val="24"/>
                <w:highlight w:val="none"/>
              </w:rPr>
              <w:t>不需要</w:t>
            </w:r>
          </w:p>
          <w:p>
            <w:pPr>
              <w:spacing w:line="460" w:lineRule="exact"/>
              <w:rPr>
                <w:rFonts w:ascii="宋体" w:hAnsi="宋体"/>
                <w:sz w:val="24"/>
                <w:highlight w:val="yellow"/>
              </w:rPr>
            </w:pPr>
            <w:r>
              <w:rPr>
                <w:rFonts w:hint="eastAsia" w:ascii="宋体" w:hAnsi="宋体"/>
                <w:sz w:val="24"/>
                <w:highlight w:val="none"/>
              </w:rPr>
              <w:t>(如需要) 详见招标文件第四章招标需</w:t>
            </w:r>
            <w:bookmarkEnd w:id="42"/>
            <w:r>
              <w:rPr>
                <w:rFonts w:hint="eastAsia" w:ascii="宋体" w:hAnsi="宋体"/>
                <w:sz w:val="24"/>
                <w:highlight w:val="yellow"/>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jc w:val="center"/>
              <w:rPr>
                <w:rFonts w:ascii="宋体" w:hAnsi="宋体"/>
                <w:sz w:val="24"/>
                <w:szCs w:val="24"/>
              </w:rPr>
            </w:pPr>
            <w:r>
              <w:rPr>
                <w:rFonts w:hint="eastAsia" w:ascii="宋体" w:hAnsi="宋体"/>
                <w:sz w:val="24"/>
                <w:szCs w:val="24"/>
              </w:rPr>
              <w:t>14</w:t>
            </w:r>
          </w:p>
        </w:tc>
        <w:tc>
          <w:tcPr>
            <w:tcW w:w="1418" w:type="dxa"/>
            <w:vAlign w:val="center"/>
          </w:tcPr>
          <w:p>
            <w:pPr>
              <w:spacing w:line="360" w:lineRule="auto"/>
              <w:rPr>
                <w:rFonts w:ascii="宋体" w:hAnsi="宋体"/>
                <w:sz w:val="24"/>
                <w:szCs w:val="24"/>
              </w:rPr>
            </w:pPr>
            <w:r>
              <w:rPr>
                <w:rFonts w:hint="eastAsia" w:ascii="宋体" w:hAnsi="宋体"/>
                <w:sz w:val="24"/>
                <w:szCs w:val="24"/>
              </w:rPr>
              <w:t>投标人信用记录</w:t>
            </w:r>
          </w:p>
        </w:tc>
        <w:tc>
          <w:tcPr>
            <w:tcW w:w="7342" w:type="dxa"/>
            <w:vAlign w:val="center"/>
          </w:tcPr>
          <w:p>
            <w:pPr>
              <w:spacing w:line="360" w:lineRule="auto"/>
              <w:rPr>
                <w:rFonts w:ascii="宋体" w:hAnsi="宋体"/>
                <w:sz w:val="24"/>
                <w:szCs w:val="24"/>
              </w:rPr>
            </w:pPr>
            <w:r>
              <w:rPr>
                <w:rFonts w:hint="eastAsia" w:ascii="宋体" w:hAnsi="宋体"/>
                <w:sz w:val="24"/>
                <w:szCs w:val="24"/>
              </w:rPr>
              <w:t>1.投标人存在以下不良信用记录情形之一的，不得推荐为中标候选人，不得确定为中标人：</w:t>
            </w:r>
          </w:p>
          <w:p>
            <w:pPr>
              <w:spacing w:line="360" w:lineRule="auto"/>
              <w:rPr>
                <w:rFonts w:ascii="宋体" w:hAnsi="宋体"/>
                <w:sz w:val="24"/>
                <w:szCs w:val="24"/>
              </w:rPr>
            </w:pPr>
            <w:r>
              <w:rPr>
                <w:rFonts w:hint="eastAsia" w:ascii="宋体" w:hAnsi="宋体"/>
                <w:sz w:val="24"/>
                <w:szCs w:val="24"/>
              </w:rPr>
              <w:t>（1）投标人被人民法院列入失信被执行人的；</w:t>
            </w:r>
          </w:p>
          <w:p>
            <w:pPr>
              <w:spacing w:line="360" w:lineRule="auto"/>
              <w:rPr>
                <w:rFonts w:ascii="宋体" w:hAnsi="宋体"/>
                <w:sz w:val="24"/>
                <w:szCs w:val="24"/>
              </w:rPr>
            </w:pPr>
            <w:r>
              <w:rPr>
                <w:rFonts w:hint="eastAsia" w:ascii="宋体" w:hAnsi="宋体"/>
                <w:sz w:val="24"/>
                <w:szCs w:val="24"/>
              </w:rPr>
              <w:t>（2）投标人被工商行政管理部门列入企业经营异常名录的；</w:t>
            </w:r>
          </w:p>
          <w:p>
            <w:pPr>
              <w:spacing w:line="360" w:lineRule="auto"/>
              <w:rPr>
                <w:rFonts w:ascii="宋体" w:hAnsi="宋体"/>
                <w:sz w:val="24"/>
                <w:szCs w:val="24"/>
              </w:rPr>
            </w:pPr>
            <w:r>
              <w:rPr>
                <w:rFonts w:hint="eastAsia" w:ascii="宋体" w:hAnsi="宋体"/>
                <w:sz w:val="24"/>
                <w:szCs w:val="24"/>
              </w:rPr>
              <w:t>（3）投标人被税务部门列入重大税收违法案件当事人名单的。</w:t>
            </w:r>
          </w:p>
          <w:p>
            <w:pPr>
              <w:spacing w:line="360" w:lineRule="auto"/>
              <w:rPr>
                <w:rFonts w:ascii="宋体" w:hAnsi="宋体"/>
                <w:sz w:val="24"/>
                <w:szCs w:val="24"/>
              </w:rPr>
            </w:pPr>
            <w:r>
              <w:rPr>
                <w:rFonts w:hint="eastAsia" w:ascii="宋体" w:hAnsi="宋体"/>
                <w:sz w:val="24"/>
                <w:szCs w:val="24"/>
              </w:rPr>
              <w:t>2.联合体投标人，联合体任何一方存在上述不良信用记录的，视同联合体存在不良信用记录。</w:t>
            </w:r>
          </w:p>
          <w:p>
            <w:pPr>
              <w:spacing w:line="360" w:lineRule="auto"/>
              <w:rPr>
                <w:rFonts w:ascii="宋体" w:hAnsi="宋体"/>
                <w:sz w:val="24"/>
                <w:szCs w:val="24"/>
              </w:rPr>
            </w:pPr>
            <w:r>
              <w:rPr>
                <w:rFonts w:hint="eastAsia" w:ascii="宋体" w:hAnsi="宋体"/>
                <w:sz w:val="24"/>
                <w:szCs w:val="24"/>
              </w:rPr>
              <w:t>3.不良信用记录仅以下列渠道查询结果为准：</w:t>
            </w:r>
          </w:p>
          <w:p>
            <w:pPr>
              <w:spacing w:line="360" w:lineRule="auto"/>
              <w:rPr>
                <w:rFonts w:ascii="宋体" w:hAnsi="宋体"/>
                <w:b/>
                <w:sz w:val="24"/>
                <w:szCs w:val="24"/>
              </w:rPr>
            </w:pPr>
            <w:r>
              <w:rPr>
                <w:rFonts w:hint="eastAsia" w:ascii="宋体" w:hAnsi="宋体"/>
                <w:b/>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sz w:val="24"/>
                <w:szCs w:val="24"/>
              </w:rPr>
            </w:pPr>
            <w:r>
              <w:rPr>
                <w:rFonts w:hint="eastAsia" w:ascii="宋体" w:hAnsi="宋体"/>
                <w:sz w:val="24"/>
                <w:szCs w:val="24"/>
              </w:rPr>
              <w:t>4.投标文件中应当提供无不良信用记录承诺（第七章“投标人信用承诺”）。</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19"/>
        <w:ind w:firstLine="480"/>
        <w:rPr>
          <w:rFonts w:ascii="宋体" w:hAnsi="宋体"/>
          <w:color w:val="000000"/>
          <w:sz w:val="24"/>
          <w:szCs w:val="24"/>
        </w:rPr>
      </w:pPr>
    </w:p>
    <w:p>
      <w:pPr>
        <w:rPr>
          <w:rFonts w:ascii="宋体" w:hAnsi="宋体"/>
          <w:color w:val="000000"/>
          <w:sz w:val="24"/>
          <w:szCs w:val="24"/>
        </w:rPr>
      </w:pPr>
    </w:p>
    <w:p>
      <w:pPr>
        <w:pStyle w:val="19"/>
        <w:ind w:firstLine="480"/>
        <w:rPr>
          <w:rFonts w:ascii="宋体" w:hAnsi="宋体"/>
          <w:color w:val="000000"/>
          <w:sz w:val="24"/>
          <w:szCs w:val="24"/>
        </w:rPr>
      </w:pPr>
    </w:p>
    <w:p>
      <w:pPr>
        <w:rPr>
          <w:rFonts w:ascii="宋体" w:hAnsi="宋体"/>
          <w:color w:val="000000"/>
          <w:sz w:val="24"/>
          <w:szCs w:val="24"/>
        </w:rPr>
      </w:pPr>
    </w:p>
    <w:p>
      <w:pPr>
        <w:pStyle w:val="19"/>
        <w:ind w:firstLine="480"/>
        <w:rPr>
          <w:rFonts w:ascii="宋体" w:hAnsi="宋体"/>
          <w:color w:val="000000"/>
          <w:sz w:val="24"/>
          <w:szCs w:val="24"/>
        </w:rPr>
      </w:pPr>
    </w:p>
    <w:p>
      <w:pPr>
        <w:rPr>
          <w:rFonts w:ascii="宋体" w:hAnsi="宋体"/>
          <w:color w:val="000000"/>
          <w:sz w:val="24"/>
          <w:szCs w:val="24"/>
        </w:rPr>
      </w:pPr>
    </w:p>
    <w:p>
      <w:pPr>
        <w:pStyle w:val="19"/>
        <w:ind w:firstLine="480"/>
        <w:rPr>
          <w:rFonts w:ascii="宋体" w:hAnsi="宋体"/>
          <w:color w:val="000000"/>
          <w:sz w:val="24"/>
          <w:szCs w:val="24"/>
        </w:rPr>
      </w:pPr>
    </w:p>
    <w:p>
      <w:pPr>
        <w:rPr>
          <w:rFonts w:ascii="宋体" w:hAnsi="宋体"/>
          <w:color w:val="000000"/>
          <w:sz w:val="24"/>
          <w:szCs w:val="24"/>
        </w:rPr>
      </w:pPr>
    </w:p>
    <w:p>
      <w:pPr>
        <w:pStyle w:val="19"/>
        <w:ind w:firstLine="480"/>
        <w:rPr>
          <w:rFonts w:ascii="宋体" w:hAnsi="宋体"/>
          <w:color w:val="000000"/>
          <w:sz w:val="24"/>
          <w:szCs w:val="24"/>
        </w:rPr>
      </w:pPr>
    </w:p>
    <w:p>
      <w:pPr>
        <w:rPr>
          <w:rFonts w:ascii="宋体" w:hAnsi="宋体"/>
          <w:color w:val="000000"/>
          <w:sz w:val="24"/>
          <w:szCs w:val="24"/>
        </w:rPr>
      </w:pPr>
    </w:p>
    <w:p>
      <w:pPr>
        <w:pStyle w:val="19"/>
        <w:ind w:firstLine="640"/>
      </w:pPr>
    </w:p>
    <w:p>
      <w:pPr>
        <w:spacing w:line="520" w:lineRule="exact"/>
        <w:ind w:firstLine="723" w:firstLineChars="200"/>
        <w:jc w:val="center"/>
        <w:outlineLvl w:val="0"/>
        <w:rPr>
          <w:rFonts w:ascii="宋体" w:hAnsi="宋体" w:cs="宋体"/>
          <w:b/>
          <w:bCs/>
          <w:color w:val="000000"/>
          <w:sz w:val="36"/>
          <w:szCs w:val="36"/>
        </w:rPr>
      </w:pPr>
      <w:bookmarkStart w:id="15" w:name="_Toc23823"/>
      <w:r>
        <w:rPr>
          <w:rFonts w:hint="eastAsia" w:ascii="宋体" w:hAnsi="宋体" w:cs="宋体"/>
          <w:b/>
          <w:bCs/>
          <w:color w:val="000000"/>
          <w:sz w:val="36"/>
          <w:szCs w:val="36"/>
        </w:rPr>
        <w:t>第三章  招标需求</w:t>
      </w:r>
      <w:bookmarkEnd w:id="15"/>
    </w:p>
    <w:p>
      <w:pPr>
        <w:spacing w:line="520" w:lineRule="exact"/>
        <w:ind w:firstLine="522" w:firstLineChars="200"/>
        <w:outlineLvl w:val="1"/>
        <w:rPr>
          <w:rFonts w:hint="default" w:ascii="宋体" w:hAnsi="宋体" w:eastAsia="宋体"/>
          <w:b/>
          <w:bCs/>
          <w:color w:val="000000"/>
          <w:sz w:val="26"/>
          <w:szCs w:val="26"/>
          <w:highlight w:val="none"/>
          <w:lang w:val="en-US" w:eastAsia="zh-CN"/>
        </w:rPr>
      </w:pPr>
      <w:bookmarkStart w:id="16" w:name="_Toc23454"/>
      <w:r>
        <w:rPr>
          <w:rFonts w:hint="eastAsia" w:ascii="宋体" w:hAnsi="宋体"/>
          <w:b/>
          <w:bCs/>
          <w:color w:val="000000"/>
          <w:sz w:val="26"/>
          <w:szCs w:val="26"/>
          <w:highlight w:val="none"/>
        </w:rPr>
        <w:t>一、项目概况</w:t>
      </w:r>
      <w:bookmarkEnd w:id="16"/>
      <w:r>
        <w:rPr>
          <w:rFonts w:hint="eastAsia" w:ascii="宋体" w:hAnsi="宋体"/>
          <w:color w:val="000000"/>
          <w:sz w:val="24"/>
          <w:szCs w:val="24"/>
          <w:highlight w:val="none"/>
        </w:rPr>
        <w:t>盐水鸭胚、鸭血粉丝、方糕等半成品原材料系列产品项目</w:t>
      </w:r>
      <w:r>
        <w:rPr>
          <w:rFonts w:hint="eastAsia" w:ascii="宋体" w:hAnsi="宋体"/>
          <w:color w:val="000000"/>
          <w:sz w:val="24"/>
          <w:szCs w:val="24"/>
          <w:highlight w:val="none"/>
          <w:lang w:eastAsia="zh-CN"/>
        </w:rPr>
        <w:t>用于酒店餐饮日常经营对客使用，提高酒店利润营收。</w:t>
      </w:r>
    </w:p>
    <w:p>
      <w:pPr>
        <w:spacing w:line="520" w:lineRule="exact"/>
        <w:ind w:firstLine="480" w:firstLineChars="200"/>
        <w:rPr>
          <w:rFonts w:ascii="宋体" w:hAnsi="宋体" w:cs="宋体"/>
          <w:color w:val="000000"/>
          <w:kern w:val="0"/>
          <w:sz w:val="24"/>
          <w:szCs w:val="24"/>
          <w:highlight w:val="none"/>
        </w:rPr>
      </w:pPr>
    </w:p>
    <w:p>
      <w:pPr>
        <w:widowControl/>
        <w:numPr>
          <w:ilvl w:val="0"/>
          <w:numId w:val="1"/>
        </w:numPr>
        <w:spacing w:line="520" w:lineRule="exact"/>
        <w:ind w:firstLine="522" w:firstLineChars="200"/>
        <w:rPr>
          <w:rFonts w:ascii="宋体" w:hAnsi="宋体"/>
          <w:b/>
          <w:bCs/>
          <w:color w:val="000000"/>
          <w:sz w:val="26"/>
          <w:szCs w:val="26"/>
          <w:highlight w:val="none"/>
        </w:rPr>
      </w:pPr>
      <w:r>
        <w:rPr>
          <w:rFonts w:hint="eastAsia" w:ascii="宋体" w:hAnsi="宋体"/>
          <w:b/>
          <w:bCs/>
          <w:color w:val="000000"/>
          <w:sz w:val="26"/>
          <w:szCs w:val="26"/>
          <w:highlight w:val="none"/>
        </w:rPr>
        <w:t>供货需求清单</w:t>
      </w:r>
    </w:p>
    <w:tbl>
      <w:tblPr>
        <w:tblStyle w:val="20"/>
        <w:tblW w:w="10080" w:type="dxa"/>
        <w:tblInd w:w="87" w:type="dxa"/>
        <w:tblLayout w:type="fixed"/>
        <w:tblCellMar>
          <w:top w:w="0" w:type="dxa"/>
          <w:left w:w="108" w:type="dxa"/>
          <w:bottom w:w="0" w:type="dxa"/>
          <w:right w:w="108" w:type="dxa"/>
        </w:tblCellMar>
      </w:tblPr>
      <w:tblGrid>
        <w:gridCol w:w="1735"/>
        <w:gridCol w:w="2562"/>
        <w:gridCol w:w="1161"/>
        <w:gridCol w:w="2311"/>
        <w:gridCol w:w="2311"/>
      </w:tblGrid>
      <w:tr>
        <w:tblPrEx>
          <w:tblLayout w:type="fixed"/>
          <w:tblCellMar>
            <w:top w:w="0" w:type="dxa"/>
            <w:left w:w="108" w:type="dxa"/>
            <w:bottom w:w="0" w:type="dxa"/>
            <w:right w:w="108" w:type="dxa"/>
          </w:tblCellMar>
        </w:tblPrEx>
        <w:trPr>
          <w:trHeight w:val="428" w:hRule="atLeast"/>
        </w:trPr>
        <w:tc>
          <w:tcPr>
            <w:tcW w:w="1735" w:type="dxa"/>
            <w:tcBorders>
              <w:top w:val="single" w:color="C0C0C0" w:sz="4" w:space="0"/>
              <w:left w:val="single" w:color="C0C0C0" w:sz="4" w:space="0"/>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highlight w:val="none"/>
              </w:rPr>
            </w:pPr>
            <w:r>
              <w:rPr>
                <w:rFonts w:hint="eastAsia" w:ascii="宋体" w:hAnsi="宋体" w:cs="Arial"/>
                <w:b/>
                <w:bCs/>
                <w:color w:val="333399"/>
                <w:kern w:val="0"/>
                <w:sz w:val="21"/>
                <w:szCs w:val="21"/>
                <w:highlight w:val="none"/>
              </w:rPr>
              <w:t>名称</w:t>
            </w:r>
          </w:p>
        </w:tc>
        <w:tc>
          <w:tcPr>
            <w:tcW w:w="2562"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highlight w:val="none"/>
              </w:rPr>
            </w:pPr>
            <w:r>
              <w:rPr>
                <w:rFonts w:hint="eastAsia" w:ascii="宋体" w:hAnsi="宋体" w:cs="Arial"/>
                <w:b/>
                <w:bCs/>
                <w:color w:val="333399"/>
                <w:kern w:val="0"/>
                <w:sz w:val="21"/>
                <w:szCs w:val="21"/>
                <w:highlight w:val="none"/>
              </w:rPr>
              <w:t>规格型号</w:t>
            </w:r>
          </w:p>
        </w:tc>
        <w:tc>
          <w:tcPr>
            <w:tcW w:w="1161"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highlight w:val="none"/>
              </w:rPr>
            </w:pPr>
            <w:r>
              <w:rPr>
                <w:rFonts w:hint="eastAsia" w:ascii="宋体" w:hAnsi="宋体" w:cs="Arial"/>
                <w:b/>
                <w:bCs/>
                <w:color w:val="333399"/>
                <w:kern w:val="0"/>
                <w:sz w:val="21"/>
                <w:szCs w:val="21"/>
                <w:highlight w:val="none"/>
              </w:rPr>
              <w:t xml:space="preserve"> 单位</w:t>
            </w:r>
          </w:p>
        </w:tc>
        <w:tc>
          <w:tcPr>
            <w:tcW w:w="2311"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sz w:val="21"/>
                <w:szCs w:val="21"/>
                <w:highlight w:val="none"/>
              </w:rPr>
            </w:pPr>
            <w:r>
              <w:rPr>
                <w:rFonts w:hint="eastAsia" w:ascii="宋体" w:hAnsi="宋体" w:cs="Arial"/>
                <w:b/>
                <w:bCs/>
                <w:color w:val="333399"/>
                <w:kern w:val="0"/>
                <w:sz w:val="21"/>
                <w:szCs w:val="21"/>
                <w:highlight w:val="none"/>
              </w:rPr>
              <w:t xml:space="preserve"> 数量</w:t>
            </w:r>
          </w:p>
        </w:tc>
        <w:tc>
          <w:tcPr>
            <w:tcW w:w="2311"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hint="eastAsia" w:ascii="宋体" w:hAnsi="宋体" w:eastAsia="宋体" w:cs="Arial"/>
                <w:b/>
                <w:bCs/>
                <w:color w:val="333399"/>
                <w:kern w:val="0"/>
                <w:sz w:val="21"/>
                <w:szCs w:val="21"/>
                <w:highlight w:val="none"/>
                <w:lang w:val="en-US" w:eastAsia="zh-CN"/>
              </w:rPr>
            </w:pPr>
            <w:r>
              <w:rPr>
                <w:rFonts w:hint="eastAsia" w:ascii="宋体" w:hAnsi="宋体" w:cs="Arial"/>
                <w:b/>
                <w:bCs/>
                <w:color w:val="333399"/>
                <w:kern w:val="0"/>
                <w:sz w:val="21"/>
                <w:szCs w:val="21"/>
                <w:highlight w:val="none"/>
                <w:lang w:val="en-US" w:eastAsia="zh-CN"/>
              </w:rPr>
              <w:t>备注</w:t>
            </w:r>
          </w:p>
        </w:tc>
      </w:tr>
      <w:tr>
        <w:tblPrEx>
          <w:tblLayout w:type="fixed"/>
          <w:tblCellMar>
            <w:top w:w="0" w:type="dxa"/>
            <w:left w:w="108" w:type="dxa"/>
            <w:bottom w:w="0" w:type="dxa"/>
            <w:right w:w="108" w:type="dxa"/>
          </w:tblCellMar>
        </w:tblPrEx>
        <w:trPr>
          <w:trHeight w:val="582" w:hRule="atLeast"/>
        </w:trPr>
        <w:tc>
          <w:tcPr>
            <w:tcW w:w="1735"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方糕</w:t>
            </w:r>
          </w:p>
        </w:tc>
        <w:tc>
          <w:tcPr>
            <w:tcW w:w="2562"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32g*12</w:t>
            </w:r>
          </w:p>
        </w:tc>
        <w:tc>
          <w:tcPr>
            <w:tcW w:w="116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盒</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highlight w:val="none"/>
              </w:rPr>
            </w:pPr>
            <w:r>
              <w:rPr>
                <w:rFonts w:hint="eastAsia" w:ascii="宋体" w:hAnsi="宋体" w:cs="Arial"/>
                <w:color w:val="000000"/>
                <w:kern w:val="0"/>
                <w:sz w:val="21"/>
                <w:szCs w:val="21"/>
                <w:highlight w:val="none"/>
                <w:lang w:val="en-US" w:eastAsia="zh-CN"/>
              </w:rPr>
              <w:t>900</w:t>
            </w:r>
            <w:r>
              <w:rPr>
                <w:rFonts w:hint="eastAsia" w:ascii="宋体" w:hAnsi="宋体" w:cs="Arial"/>
                <w:color w:val="000000"/>
                <w:kern w:val="0"/>
                <w:sz w:val="21"/>
                <w:szCs w:val="21"/>
                <w:highlight w:val="none"/>
              </w:rPr>
              <w:t xml:space="preserve">.00 </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rFonts w:hint="default" w:ascii="宋体" w:hAnsi="宋体" w:eastAsia="宋体" w:cs="Arial"/>
                <w:color w:val="000000"/>
                <w:kern w:val="0"/>
                <w:sz w:val="21"/>
                <w:szCs w:val="21"/>
                <w:highlight w:val="none"/>
                <w:lang w:val="en-US" w:eastAsia="zh-CN"/>
              </w:rPr>
            </w:pPr>
            <w:r>
              <w:rPr>
                <w:rFonts w:hint="eastAsia" w:ascii="宋体" w:hAnsi="宋体" w:cs="Arial"/>
                <w:color w:val="000000"/>
                <w:kern w:val="0"/>
                <w:sz w:val="21"/>
                <w:szCs w:val="21"/>
                <w:highlight w:val="none"/>
                <w:lang w:eastAsia="zh-CN"/>
              </w:rPr>
              <w:t>定制金陵</w:t>
            </w:r>
            <w:r>
              <w:rPr>
                <w:rFonts w:hint="eastAsia" w:ascii="宋体" w:hAnsi="宋体" w:cs="Arial"/>
                <w:color w:val="000000"/>
                <w:kern w:val="0"/>
                <w:sz w:val="21"/>
                <w:szCs w:val="21"/>
                <w:highlight w:val="none"/>
                <w:lang w:val="en-US" w:eastAsia="zh-CN"/>
              </w:rPr>
              <w:t>LOGO</w:t>
            </w:r>
          </w:p>
        </w:tc>
      </w:tr>
      <w:tr>
        <w:tblPrEx>
          <w:tblLayout w:type="fixed"/>
          <w:tblCellMar>
            <w:top w:w="0" w:type="dxa"/>
            <w:left w:w="108" w:type="dxa"/>
            <w:bottom w:w="0" w:type="dxa"/>
            <w:right w:w="108" w:type="dxa"/>
          </w:tblCellMar>
        </w:tblPrEx>
        <w:trPr>
          <w:trHeight w:val="428" w:hRule="atLeast"/>
        </w:trPr>
        <w:tc>
          <w:tcPr>
            <w:tcW w:w="1735"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鸭胚</w:t>
            </w:r>
          </w:p>
        </w:tc>
        <w:tc>
          <w:tcPr>
            <w:tcW w:w="2562"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lang w:val="en-US" w:eastAsia="zh-CN"/>
              </w:rPr>
              <w:t>1500-</w:t>
            </w:r>
            <w:r>
              <w:rPr>
                <w:rFonts w:hint="eastAsia" w:ascii="宋体" w:hAnsi="宋体" w:cs="Arial"/>
                <w:color w:val="000000"/>
                <w:kern w:val="0"/>
                <w:sz w:val="21"/>
                <w:szCs w:val="21"/>
                <w:highlight w:val="none"/>
              </w:rPr>
              <w:t>1</w:t>
            </w:r>
            <w:r>
              <w:rPr>
                <w:rFonts w:hint="eastAsia" w:ascii="宋体" w:hAnsi="宋体" w:cs="Arial"/>
                <w:color w:val="000000"/>
                <w:kern w:val="0"/>
                <w:sz w:val="21"/>
                <w:szCs w:val="21"/>
                <w:highlight w:val="none"/>
                <w:lang w:val="en-US" w:eastAsia="zh-CN"/>
              </w:rPr>
              <w:t>7</w:t>
            </w:r>
            <w:r>
              <w:rPr>
                <w:rFonts w:hint="eastAsia" w:ascii="宋体" w:hAnsi="宋体" w:cs="Arial"/>
                <w:color w:val="000000"/>
                <w:kern w:val="0"/>
                <w:sz w:val="21"/>
                <w:szCs w:val="21"/>
                <w:highlight w:val="none"/>
              </w:rPr>
              <w:t>00g</w:t>
            </w:r>
          </w:p>
        </w:tc>
        <w:tc>
          <w:tcPr>
            <w:tcW w:w="116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只</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highlight w:val="none"/>
              </w:rPr>
            </w:pPr>
            <w:r>
              <w:rPr>
                <w:rFonts w:hint="eastAsia" w:ascii="宋体" w:hAnsi="宋体" w:cs="Arial"/>
                <w:color w:val="000000"/>
                <w:kern w:val="0"/>
                <w:sz w:val="21"/>
                <w:szCs w:val="21"/>
                <w:highlight w:val="none"/>
                <w:lang w:val="en-US" w:eastAsia="zh-CN"/>
              </w:rPr>
              <w:t>55</w:t>
            </w:r>
            <w:r>
              <w:rPr>
                <w:rFonts w:hint="eastAsia" w:ascii="宋体" w:hAnsi="宋体" w:cs="Arial"/>
                <w:color w:val="000000"/>
                <w:kern w:val="0"/>
                <w:sz w:val="21"/>
                <w:szCs w:val="21"/>
                <w:highlight w:val="none"/>
              </w:rPr>
              <w:t xml:space="preserve">00.00 </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eastAsia="宋体" w:cs="Arial"/>
                <w:color w:val="000000"/>
                <w:kern w:val="0"/>
                <w:sz w:val="21"/>
                <w:szCs w:val="21"/>
                <w:highlight w:val="none"/>
                <w:lang w:eastAsia="zh-CN"/>
              </w:rPr>
            </w:pPr>
            <w:r>
              <w:rPr>
                <w:rFonts w:hint="eastAsia" w:ascii="宋体" w:hAnsi="宋体" w:cs="Arial"/>
                <w:color w:val="000000"/>
                <w:kern w:val="0"/>
                <w:sz w:val="21"/>
                <w:szCs w:val="21"/>
                <w:highlight w:val="none"/>
                <w:lang w:eastAsia="zh-CN"/>
              </w:rPr>
              <w:t>按照实际规格填写报价</w:t>
            </w:r>
          </w:p>
        </w:tc>
      </w:tr>
      <w:tr>
        <w:tblPrEx>
          <w:tblLayout w:type="fixed"/>
          <w:tblCellMar>
            <w:top w:w="0" w:type="dxa"/>
            <w:left w:w="108" w:type="dxa"/>
            <w:bottom w:w="0" w:type="dxa"/>
            <w:right w:w="108" w:type="dxa"/>
          </w:tblCellMar>
        </w:tblPrEx>
        <w:trPr>
          <w:trHeight w:val="582" w:hRule="atLeast"/>
        </w:trPr>
        <w:tc>
          <w:tcPr>
            <w:tcW w:w="1735"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鸭血粉丝汤</w:t>
            </w:r>
          </w:p>
        </w:tc>
        <w:tc>
          <w:tcPr>
            <w:tcW w:w="2562"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182.2G*24/桶，24桶/箱</w:t>
            </w:r>
          </w:p>
        </w:tc>
        <w:tc>
          <w:tcPr>
            <w:tcW w:w="116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桶</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highlight w:val="none"/>
              </w:rPr>
            </w:pPr>
            <w:r>
              <w:rPr>
                <w:rFonts w:hint="eastAsia" w:ascii="宋体" w:hAnsi="宋体" w:cs="Arial"/>
                <w:color w:val="000000"/>
                <w:kern w:val="0"/>
                <w:sz w:val="21"/>
                <w:szCs w:val="21"/>
                <w:highlight w:val="none"/>
                <w:lang w:val="en-US" w:eastAsia="zh-CN"/>
              </w:rPr>
              <w:t>1256</w:t>
            </w:r>
            <w:r>
              <w:rPr>
                <w:rFonts w:hint="eastAsia" w:ascii="宋体" w:hAnsi="宋体" w:cs="Arial"/>
                <w:color w:val="000000"/>
                <w:kern w:val="0"/>
                <w:sz w:val="21"/>
                <w:szCs w:val="21"/>
                <w:highlight w:val="none"/>
              </w:rPr>
              <w:t xml:space="preserve">.00 </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highlight w:val="none"/>
              </w:rPr>
            </w:pPr>
          </w:p>
        </w:tc>
      </w:tr>
      <w:tr>
        <w:tblPrEx>
          <w:tblLayout w:type="fixed"/>
          <w:tblCellMar>
            <w:top w:w="0" w:type="dxa"/>
            <w:left w:w="108" w:type="dxa"/>
            <w:bottom w:w="0" w:type="dxa"/>
            <w:right w:w="108" w:type="dxa"/>
          </w:tblCellMar>
        </w:tblPrEx>
        <w:trPr>
          <w:trHeight w:val="582" w:hRule="atLeast"/>
        </w:trPr>
        <w:tc>
          <w:tcPr>
            <w:tcW w:w="1735"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鸭血粉丝汤</w:t>
            </w:r>
          </w:p>
        </w:tc>
        <w:tc>
          <w:tcPr>
            <w:tcW w:w="2562"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341G*6/袋，6袋/箱</w:t>
            </w:r>
          </w:p>
        </w:tc>
        <w:tc>
          <w:tcPr>
            <w:tcW w:w="116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highlight w:val="none"/>
              </w:rPr>
            </w:pPr>
            <w:r>
              <w:rPr>
                <w:rFonts w:hint="eastAsia" w:ascii="宋体" w:hAnsi="宋体" w:cs="Arial"/>
                <w:color w:val="000000"/>
                <w:kern w:val="0"/>
                <w:sz w:val="21"/>
                <w:szCs w:val="21"/>
                <w:highlight w:val="none"/>
              </w:rPr>
              <w:t>袋</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highlight w:val="none"/>
              </w:rPr>
            </w:pPr>
            <w:r>
              <w:rPr>
                <w:rFonts w:hint="eastAsia" w:ascii="宋体" w:hAnsi="宋体" w:cs="Arial"/>
                <w:color w:val="000000"/>
                <w:kern w:val="0"/>
                <w:sz w:val="21"/>
                <w:szCs w:val="21"/>
                <w:highlight w:val="none"/>
                <w:lang w:val="en-US" w:eastAsia="zh-CN"/>
              </w:rPr>
              <w:t>1256</w:t>
            </w:r>
            <w:r>
              <w:rPr>
                <w:rFonts w:hint="eastAsia" w:ascii="宋体" w:hAnsi="宋体" w:cs="Arial"/>
                <w:color w:val="000000"/>
                <w:kern w:val="0"/>
                <w:sz w:val="21"/>
                <w:szCs w:val="21"/>
                <w:highlight w:val="none"/>
              </w:rPr>
              <w:t xml:space="preserve">.00 </w:t>
            </w:r>
          </w:p>
        </w:tc>
        <w:tc>
          <w:tcPr>
            <w:tcW w:w="2311"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highlight w:val="none"/>
              </w:rPr>
            </w:pPr>
          </w:p>
        </w:tc>
      </w:tr>
      <w:tr>
        <w:tblPrEx>
          <w:tblLayout w:type="fixed"/>
          <w:tblCellMar>
            <w:top w:w="0" w:type="dxa"/>
            <w:left w:w="108" w:type="dxa"/>
            <w:bottom w:w="0" w:type="dxa"/>
            <w:right w:w="108" w:type="dxa"/>
          </w:tblCellMar>
        </w:tblPrEx>
        <w:trPr>
          <w:trHeight w:val="438" w:hRule="atLeast"/>
        </w:trPr>
        <w:tc>
          <w:tcPr>
            <w:tcW w:w="1735" w:type="dxa"/>
            <w:tcBorders>
              <w:top w:val="nil"/>
              <w:left w:val="single" w:color="C0C0C0" w:sz="4" w:space="0"/>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highlight w:val="none"/>
              </w:rPr>
            </w:pPr>
            <w:r>
              <w:rPr>
                <w:rFonts w:hint="eastAsia" w:ascii="宋体" w:hAnsi="宋体" w:cs="Arial"/>
                <w:color w:val="000000"/>
                <w:kern w:val="0"/>
                <w:sz w:val="21"/>
                <w:szCs w:val="21"/>
                <w:highlight w:val="none"/>
                <w:lang w:eastAsia="zh-CN"/>
              </w:rPr>
              <w:t>合计</w:t>
            </w:r>
            <w:r>
              <w:rPr>
                <w:rFonts w:hint="eastAsia" w:ascii="宋体" w:hAnsi="宋体" w:cs="Arial"/>
                <w:color w:val="000000"/>
                <w:kern w:val="0"/>
                <w:sz w:val="21"/>
                <w:szCs w:val="21"/>
                <w:highlight w:val="none"/>
              </w:rPr>
              <w:t>　</w:t>
            </w:r>
          </w:p>
        </w:tc>
        <w:tc>
          <w:tcPr>
            <w:tcW w:w="2562" w:type="dxa"/>
            <w:tcBorders>
              <w:top w:val="nil"/>
              <w:left w:val="nil"/>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highlight w:val="none"/>
              </w:rPr>
            </w:pPr>
            <w:r>
              <w:rPr>
                <w:rFonts w:hint="eastAsia" w:ascii="宋体" w:hAnsi="宋体" w:cs="Arial"/>
                <w:color w:val="000000"/>
                <w:kern w:val="0"/>
                <w:sz w:val="21"/>
                <w:szCs w:val="21"/>
                <w:highlight w:val="none"/>
              </w:rPr>
              <w:t>　</w:t>
            </w:r>
          </w:p>
        </w:tc>
        <w:tc>
          <w:tcPr>
            <w:tcW w:w="1161" w:type="dxa"/>
            <w:tcBorders>
              <w:top w:val="nil"/>
              <w:left w:val="nil"/>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highlight w:val="none"/>
              </w:rPr>
            </w:pPr>
            <w:r>
              <w:rPr>
                <w:rFonts w:hint="eastAsia" w:ascii="宋体" w:hAnsi="宋体" w:cs="Arial"/>
                <w:color w:val="000000"/>
                <w:kern w:val="0"/>
                <w:sz w:val="21"/>
                <w:szCs w:val="21"/>
                <w:highlight w:val="none"/>
              </w:rPr>
              <w:t>　</w:t>
            </w:r>
          </w:p>
        </w:tc>
        <w:tc>
          <w:tcPr>
            <w:tcW w:w="2311" w:type="dxa"/>
            <w:tcBorders>
              <w:top w:val="nil"/>
              <w:left w:val="nil"/>
              <w:bottom w:val="single" w:color="C0C0C0" w:sz="4" w:space="0"/>
              <w:right w:val="single" w:color="C0C0C0" w:sz="4" w:space="0"/>
            </w:tcBorders>
            <w:shd w:val="clear" w:color="000000" w:fill="FFFF99"/>
            <w:noWrap/>
            <w:vAlign w:val="center"/>
          </w:tcPr>
          <w:p>
            <w:pPr>
              <w:widowControl/>
              <w:jc w:val="right"/>
              <w:rPr>
                <w:sz w:val="21"/>
                <w:szCs w:val="21"/>
                <w:highlight w:val="none"/>
              </w:rPr>
            </w:pPr>
            <w:r>
              <w:rPr>
                <w:rFonts w:hint="eastAsia" w:ascii="宋体" w:hAnsi="宋体" w:cs="Arial"/>
                <w:color w:val="000000"/>
                <w:kern w:val="0"/>
                <w:sz w:val="21"/>
                <w:szCs w:val="21"/>
                <w:highlight w:val="none"/>
              </w:rPr>
              <w:t xml:space="preserve"> </w:t>
            </w:r>
          </w:p>
        </w:tc>
        <w:tc>
          <w:tcPr>
            <w:tcW w:w="2311" w:type="dxa"/>
            <w:tcBorders>
              <w:top w:val="nil"/>
              <w:left w:val="nil"/>
              <w:bottom w:val="single" w:color="C0C0C0" w:sz="4" w:space="0"/>
              <w:right w:val="single" w:color="C0C0C0" w:sz="4" w:space="0"/>
            </w:tcBorders>
            <w:shd w:val="clear" w:color="000000" w:fill="FFFF99"/>
            <w:noWrap/>
            <w:vAlign w:val="center"/>
          </w:tcPr>
          <w:p>
            <w:pPr>
              <w:widowControl/>
              <w:jc w:val="right"/>
              <w:rPr>
                <w:rFonts w:hint="eastAsia" w:ascii="宋体" w:hAnsi="宋体" w:cs="Arial"/>
                <w:color w:val="000000"/>
                <w:kern w:val="0"/>
                <w:sz w:val="21"/>
                <w:szCs w:val="21"/>
                <w:highlight w:val="none"/>
              </w:rPr>
            </w:pPr>
          </w:p>
        </w:tc>
      </w:tr>
    </w:tbl>
    <w:p>
      <w:pPr>
        <w:pStyle w:val="19"/>
        <w:numPr>
          <w:ilvl w:val="255"/>
          <w:numId w:val="0"/>
        </w:numPr>
        <w:rPr>
          <w:highlight w:val="none"/>
        </w:rPr>
      </w:pPr>
    </w:p>
    <w:p>
      <w:pPr>
        <w:rPr>
          <w:rFonts w:hint="eastAsia" w:ascii="宋体" w:hAnsi="宋体"/>
          <w:b/>
          <w:bCs/>
          <w:color w:val="000000"/>
          <w:sz w:val="28"/>
          <w:szCs w:val="28"/>
          <w:highlight w:val="none"/>
        </w:rPr>
      </w:pPr>
      <w:bookmarkStart w:id="17" w:name="_Toc18517"/>
      <w:r>
        <w:rPr>
          <w:rFonts w:hint="eastAsia" w:ascii="宋体" w:hAnsi="宋体"/>
          <w:b/>
          <w:bCs/>
          <w:color w:val="000000"/>
          <w:sz w:val="26"/>
          <w:szCs w:val="26"/>
          <w:highlight w:val="none"/>
        </w:rPr>
        <w:t>三、供货要求</w:t>
      </w:r>
    </w:p>
    <w:p>
      <w:pPr>
        <w:rPr>
          <w:rFonts w:hint="eastAsia"/>
          <w:sz w:val="28"/>
          <w:szCs w:val="28"/>
        </w:rPr>
      </w:pPr>
      <w:r>
        <w:rPr>
          <w:rFonts w:hint="eastAsia"/>
          <w:sz w:val="28"/>
          <w:szCs w:val="28"/>
        </w:rPr>
        <w:t>1、依据列表清单内容，符合清单内容呈现的品名、规格型号进行产品供货；</w:t>
      </w:r>
    </w:p>
    <w:p>
      <w:pPr>
        <w:pStyle w:val="29"/>
        <w:ind w:left="1440" w:firstLine="0" w:firstLineChars="0"/>
        <w:rPr>
          <w:sz w:val="28"/>
          <w:szCs w:val="28"/>
        </w:rPr>
      </w:pPr>
    </w:p>
    <w:p>
      <w:pPr>
        <w:rPr>
          <w:sz w:val="28"/>
          <w:szCs w:val="28"/>
        </w:rPr>
      </w:pPr>
      <w:r>
        <w:rPr>
          <w:rFonts w:hint="eastAsia"/>
          <w:sz w:val="28"/>
          <w:szCs w:val="28"/>
        </w:rPr>
        <w:t>2、供货产品具有独立包装，包装袋可清晰辨认生产日期，保质期，存储办法等。</w:t>
      </w:r>
    </w:p>
    <w:p>
      <w:pPr>
        <w:pStyle w:val="29"/>
        <w:numPr>
          <w:ilvl w:val="0"/>
          <w:numId w:val="0"/>
        </w:numPr>
        <w:rPr>
          <w:sz w:val="28"/>
          <w:szCs w:val="28"/>
        </w:rPr>
      </w:pPr>
      <w:r>
        <w:rPr>
          <w:rFonts w:hint="eastAsia"/>
          <w:sz w:val="28"/>
          <w:szCs w:val="28"/>
          <w:lang w:val="en-US" w:eastAsia="zh-CN"/>
        </w:rPr>
        <w:t>3、</w:t>
      </w:r>
      <w:r>
        <w:rPr>
          <w:rFonts w:hint="eastAsia"/>
          <w:sz w:val="28"/>
          <w:szCs w:val="28"/>
        </w:rPr>
        <w:t>所供产品符合食品安全法相关法律法规要求。</w:t>
      </w:r>
    </w:p>
    <w:p>
      <w:pPr>
        <w:rPr>
          <w:sz w:val="28"/>
          <w:szCs w:val="28"/>
        </w:rPr>
      </w:pPr>
      <w:r>
        <w:rPr>
          <w:rFonts w:hint="eastAsia"/>
          <w:sz w:val="28"/>
          <w:szCs w:val="28"/>
        </w:rPr>
        <w:t>4、供货产品若出现产品质量问题予以进行退换货。</w:t>
      </w:r>
    </w:p>
    <w:p>
      <w:pPr>
        <w:spacing w:line="520" w:lineRule="exact"/>
        <w:outlineLvl w:val="1"/>
        <w:rPr>
          <w:rFonts w:ascii="宋体" w:hAnsi="宋体"/>
          <w:b/>
          <w:bCs/>
          <w:color w:val="000000"/>
          <w:sz w:val="26"/>
          <w:szCs w:val="26"/>
          <w:highlight w:val="yellow"/>
        </w:rPr>
      </w:pPr>
    </w:p>
    <w:p>
      <w:pPr>
        <w:pStyle w:val="19"/>
        <w:ind w:firstLine="640"/>
      </w:pPr>
    </w:p>
    <w:p>
      <w:pPr>
        <w:spacing w:line="520" w:lineRule="exact"/>
        <w:ind w:left="420" w:leftChars="200"/>
        <w:outlineLvl w:val="1"/>
        <w:rPr>
          <w:rFonts w:ascii="宋体" w:hAnsi="宋体"/>
          <w:color w:val="000000"/>
          <w:sz w:val="26"/>
          <w:szCs w:val="26"/>
        </w:rPr>
      </w:pPr>
      <w:r>
        <w:rPr>
          <w:rFonts w:hint="eastAsia" w:ascii="宋体" w:hAnsi="宋体"/>
          <w:b/>
          <w:bCs/>
          <w:color w:val="000000"/>
          <w:sz w:val="26"/>
          <w:szCs w:val="26"/>
        </w:rPr>
        <w:t>四</w:t>
      </w:r>
      <w:r>
        <w:rPr>
          <w:rFonts w:hint="eastAsia" w:ascii="宋体" w:hAnsi="宋体"/>
          <w:b/>
          <w:bCs/>
          <w:color w:val="000000"/>
          <w:sz w:val="26"/>
          <w:szCs w:val="26"/>
          <w:highlight w:val="none"/>
        </w:rPr>
        <w:t>、供货方式</w:t>
      </w:r>
      <w:r>
        <w:rPr>
          <w:rFonts w:hint="eastAsia" w:ascii="宋体" w:hAnsi="宋体"/>
          <w:color w:val="000000"/>
          <w:sz w:val="26"/>
          <w:szCs w:val="26"/>
          <w:highlight w:val="none"/>
        </w:rPr>
        <w:t>：</w:t>
      </w:r>
      <w:r>
        <w:rPr>
          <w:rFonts w:hint="eastAsia" w:ascii="宋体" w:hAnsi="宋体"/>
          <w:color w:val="000000"/>
          <w:sz w:val="26"/>
          <w:szCs w:val="26"/>
        </w:rPr>
        <w:t>下单后5个工作日内送达指定点。</w:t>
      </w:r>
      <w:bookmarkEnd w:id="17"/>
    </w:p>
    <w:p>
      <w:pPr>
        <w:spacing w:line="520" w:lineRule="exact"/>
        <w:ind w:left="420" w:leftChars="200"/>
        <w:outlineLvl w:val="1"/>
        <w:rPr>
          <w:rFonts w:ascii="宋体" w:hAnsi="宋体"/>
          <w:color w:val="000000"/>
          <w:sz w:val="26"/>
          <w:szCs w:val="26"/>
        </w:rPr>
      </w:pPr>
      <w:bookmarkStart w:id="18" w:name="_Toc22218"/>
      <w:r>
        <w:rPr>
          <w:rFonts w:hint="eastAsia" w:ascii="宋体" w:hAnsi="宋体"/>
          <w:b/>
          <w:bCs/>
          <w:color w:val="000000"/>
          <w:sz w:val="26"/>
          <w:szCs w:val="26"/>
        </w:rPr>
        <w:t>五、报价方式：</w:t>
      </w:r>
      <w:r>
        <w:rPr>
          <w:rFonts w:hint="eastAsia" w:ascii="宋体" w:hAnsi="宋体"/>
          <w:color w:val="000000"/>
          <w:sz w:val="26"/>
          <w:szCs w:val="26"/>
        </w:rPr>
        <w:t>本项目采用有效最低价法中标原则，请投标人按服务项目及物料清单投标总价，并列明每项物料单价。该综合单价包含但不限于创意设计人工成本费用、物料成本费用、落地执行相关所有费用。投标报价总价不得高于项目概算，高于控制价的报价作为废标处理，中标后不得调整。</w:t>
      </w:r>
      <w:bookmarkEnd w:id="18"/>
    </w:p>
    <w:p>
      <w:pPr>
        <w:adjustRightInd w:val="0"/>
        <w:snapToGrid w:val="0"/>
        <w:spacing w:line="360" w:lineRule="auto"/>
        <w:ind w:firstLine="480" w:firstLineChars="200"/>
        <w:rPr>
          <w:rFonts w:ascii="宋体" w:hAnsi="宋体"/>
          <w:color w:val="000000"/>
          <w:sz w:val="24"/>
          <w:szCs w:val="24"/>
        </w:rPr>
      </w:pPr>
    </w:p>
    <w:p>
      <w:pPr>
        <w:adjustRightInd w:val="0"/>
        <w:snapToGrid w:val="0"/>
        <w:spacing w:line="360" w:lineRule="auto"/>
        <w:ind w:firstLine="480" w:firstLineChars="200"/>
        <w:rPr>
          <w:rFonts w:ascii="宋体" w:hAnsi="宋体"/>
          <w:color w:val="000000"/>
          <w:sz w:val="24"/>
          <w:szCs w:val="24"/>
        </w:rPr>
      </w:pPr>
    </w:p>
    <w:p>
      <w:pPr>
        <w:pStyle w:val="3"/>
        <w:spacing w:line="500" w:lineRule="exact"/>
        <w:ind w:firstLine="0"/>
        <w:rPr>
          <w:rFonts w:ascii="宋体" w:hAnsi="宋体" w:eastAsia="宋体"/>
          <w:color w:val="000000"/>
        </w:rPr>
      </w:pPr>
      <w:bookmarkStart w:id="19" w:name="_Toc14953"/>
      <w:bookmarkStart w:id="20" w:name="_Toc27061"/>
      <w:bookmarkStart w:id="21" w:name="_Toc111099545"/>
      <w:bookmarkStart w:id="22" w:name="_Toc38783646"/>
      <w:bookmarkStart w:id="23" w:name="_Toc136500652"/>
      <w:r>
        <w:rPr>
          <w:rFonts w:hint="eastAsia" w:ascii="宋体" w:hAnsi="宋体" w:eastAsia="宋体"/>
          <w:color w:val="000000"/>
        </w:rPr>
        <w:t>第四章 评标办法</w:t>
      </w:r>
      <w:bookmarkEnd w:id="19"/>
      <w:bookmarkEnd w:id="20"/>
      <w:bookmarkEnd w:id="21"/>
    </w:p>
    <w:p>
      <w:pPr>
        <w:spacing w:line="520" w:lineRule="exact"/>
        <w:ind w:firstLine="482" w:firstLineChars="200"/>
        <w:outlineLvl w:val="1"/>
        <w:rPr>
          <w:rFonts w:ascii="宋体" w:hAnsi="宋体"/>
          <w:b/>
          <w:bCs/>
          <w:color w:val="000000"/>
          <w:sz w:val="26"/>
          <w:szCs w:val="26"/>
          <w:highlight w:val="yellow"/>
        </w:rPr>
      </w:pPr>
      <w:r>
        <w:rPr>
          <w:rFonts w:hint="eastAsia" w:ascii="宋体" w:hAnsi="宋体"/>
          <w:b/>
          <w:bCs/>
          <w:color w:val="000000"/>
          <w:sz w:val="24"/>
        </w:rPr>
        <w:t>1.</w:t>
      </w:r>
      <w:r>
        <w:rPr>
          <w:rFonts w:hint="eastAsia" w:ascii="宋体" w:hAnsi="宋体"/>
          <w:color w:val="000000"/>
          <w:sz w:val="24"/>
        </w:rPr>
        <w:t>为了做好</w:t>
      </w:r>
      <w:r>
        <w:rPr>
          <w:rFonts w:hint="eastAsia" w:ascii="宋体" w:hAnsi="宋体"/>
          <w:color w:val="000000"/>
          <w:sz w:val="24"/>
          <w:szCs w:val="24"/>
        </w:rPr>
        <w:t>盐水鸭胚、鸭血粉丝、方糕等半成品原材料系列产品项目</w:t>
      </w:r>
    </w:p>
    <w:p>
      <w:pPr>
        <w:spacing w:line="480" w:lineRule="exact"/>
        <w:ind w:firstLine="480" w:firstLineChars="200"/>
        <w:rPr>
          <w:rFonts w:ascii="宋体" w:hAnsi="宋体"/>
          <w:color w:val="000000"/>
          <w:sz w:val="24"/>
        </w:rPr>
      </w:pPr>
      <w:r>
        <w:rPr>
          <w:rFonts w:hint="eastAsia" w:ascii="宋体" w:hAnsi="宋体"/>
          <w:color w:val="000000"/>
          <w:sz w:val="24"/>
          <w:szCs w:val="24"/>
          <w:u w:val="single"/>
        </w:rPr>
        <w:t>（2024HRJL0002号）</w:t>
      </w:r>
      <w:r>
        <w:rPr>
          <w:rFonts w:hint="eastAsia" w:ascii="宋体" w:hAnsi="宋体"/>
          <w:color w:val="000000"/>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left="-61" w:leftChars="-29" w:right="-10" w:firstLine="482" w:firstLineChars="200"/>
        <w:outlineLvl w:val="1"/>
        <w:rPr>
          <w:rFonts w:ascii="宋体" w:hAnsi="宋体"/>
          <w:color w:val="000000"/>
          <w:sz w:val="24"/>
        </w:rPr>
      </w:pPr>
      <w:bookmarkStart w:id="24" w:name="_Toc19659"/>
      <w:bookmarkStart w:id="25" w:name="_Toc26658"/>
      <w:r>
        <w:rPr>
          <w:rFonts w:hint="eastAsia" w:ascii="宋体" w:hAnsi="宋体"/>
          <w:b/>
          <w:bCs/>
          <w:color w:val="000000"/>
          <w:sz w:val="24"/>
        </w:rPr>
        <w:t>2.</w:t>
      </w:r>
      <w:r>
        <w:rPr>
          <w:rFonts w:hint="eastAsia" w:ascii="宋体" w:hAnsi="宋体"/>
          <w:color w:val="000000"/>
          <w:sz w:val="24"/>
        </w:rPr>
        <w:t>本次项目评标采用</w:t>
      </w:r>
      <w:r>
        <w:rPr>
          <w:rFonts w:hint="eastAsia" w:ascii="宋体" w:hAnsi="宋体"/>
          <w:color w:val="000000"/>
          <w:sz w:val="24"/>
          <w:u w:val="single"/>
        </w:rPr>
        <w:t>有效最低价法</w:t>
      </w:r>
      <w:r>
        <w:rPr>
          <w:rFonts w:hint="eastAsia" w:ascii="宋体" w:hAnsi="宋体"/>
          <w:color w:val="000000"/>
          <w:sz w:val="24"/>
        </w:rPr>
        <w:t>作为对投标人标书的比较方法。</w:t>
      </w:r>
      <w:bookmarkEnd w:id="24"/>
      <w:bookmarkEnd w:id="25"/>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outlineLvl w:val="1"/>
        <w:rPr>
          <w:rFonts w:ascii="宋体" w:hAnsi="宋体"/>
          <w:color w:val="000000"/>
          <w:sz w:val="24"/>
        </w:rPr>
      </w:pPr>
      <w:bookmarkStart w:id="26" w:name="_Toc19633"/>
      <w:bookmarkStart w:id="27" w:name="_Toc12113"/>
      <w:r>
        <w:rPr>
          <w:rFonts w:hint="eastAsia" w:ascii="宋体" w:hAnsi="宋体"/>
          <w:b/>
          <w:color w:val="000000"/>
          <w:sz w:val="24"/>
        </w:rPr>
        <w:t>5.</w:t>
      </w:r>
      <w:r>
        <w:rPr>
          <w:rFonts w:hint="eastAsia" w:ascii="宋体" w:hAnsi="宋体"/>
          <w:color w:val="000000"/>
          <w:sz w:val="24"/>
        </w:rPr>
        <w:t>有效投标应符合以下原则：</w:t>
      </w:r>
      <w:bookmarkEnd w:id="26"/>
      <w:bookmarkEnd w:id="27"/>
    </w:p>
    <w:p>
      <w:pPr>
        <w:spacing w:line="500" w:lineRule="exact"/>
        <w:ind w:left="480" w:right="-10"/>
        <w:rPr>
          <w:rFonts w:ascii="宋体" w:hAnsi="宋体"/>
          <w:color w:val="000000"/>
          <w:sz w:val="24"/>
        </w:rPr>
      </w:pPr>
      <w:r>
        <w:rPr>
          <w:rFonts w:hint="eastAsia" w:ascii="宋体" w:hAnsi="宋体"/>
          <w:color w:val="000000"/>
          <w:sz w:val="24"/>
        </w:rPr>
        <w:t>5.1满足招标文件的实质性要求；</w:t>
      </w:r>
    </w:p>
    <w:p>
      <w:pPr>
        <w:spacing w:line="500" w:lineRule="exact"/>
        <w:ind w:left="480" w:right="-10"/>
        <w:rPr>
          <w:rFonts w:ascii="宋体" w:hAnsi="宋体"/>
          <w:color w:val="000000"/>
          <w:sz w:val="24"/>
        </w:rPr>
      </w:pPr>
      <w:r>
        <w:rPr>
          <w:rFonts w:hint="eastAsia" w:ascii="宋体" w:hAnsi="宋体"/>
          <w:color w:val="000000"/>
          <w:sz w:val="24"/>
        </w:rPr>
        <w:t>5.2无重大偏离、保留或招标人不能接受的附加条件；</w:t>
      </w:r>
    </w:p>
    <w:p>
      <w:pPr>
        <w:spacing w:line="500" w:lineRule="exact"/>
        <w:ind w:left="480" w:right="-10"/>
        <w:rPr>
          <w:rFonts w:ascii="宋体" w:hAnsi="宋体"/>
          <w:color w:val="000000"/>
          <w:sz w:val="24"/>
        </w:rPr>
      </w:pPr>
      <w:r>
        <w:rPr>
          <w:rFonts w:hint="eastAsia" w:ascii="宋体" w:hAnsi="宋体"/>
          <w:color w:val="000000"/>
          <w:sz w:val="24"/>
        </w:rPr>
        <w:t>5.3通过初审；</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2" w:firstLineChars="200"/>
        <w:outlineLvl w:val="1"/>
        <w:rPr>
          <w:rFonts w:ascii="宋体" w:hAnsi="宋体"/>
          <w:color w:val="000000"/>
          <w:sz w:val="24"/>
        </w:rPr>
      </w:pPr>
      <w:bookmarkStart w:id="28" w:name="_Toc21101"/>
      <w:bookmarkStart w:id="29" w:name="_Toc13421"/>
      <w:r>
        <w:rPr>
          <w:rFonts w:hint="eastAsia" w:ascii="宋体" w:hAnsi="宋体"/>
          <w:b/>
          <w:bCs/>
          <w:color w:val="000000"/>
          <w:sz w:val="24"/>
        </w:rPr>
        <w:t xml:space="preserve">8. </w:t>
      </w:r>
      <w:r>
        <w:rPr>
          <w:rFonts w:hint="eastAsia" w:ascii="宋体" w:hAnsi="宋体"/>
          <w:color w:val="000000"/>
          <w:sz w:val="24"/>
        </w:rPr>
        <w:t>评标委员会按下表内容进行投标有效性评审。</w:t>
      </w:r>
      <w:bookmarkEnd w:id="28"/>
      <w:bookmarkEnd w:id="29"/>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rPr>
          <w:color w:val="000000" w:themeColor="text1"/>
          <w14:textFill>
            <w14:solidFill>
              <w14:schemeClr w14:val="tx1"/>
            </w14:solidFill>
          </w14:textFill>
        </w:rPr>
      </w:pPr>
    </w:p>
    <w:tbl>
      <w:tblPr>
        <w:tblStyle w:val="20"/>
        <w:tblW w:w="104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024"/>
        <w:gridCol w:w="2772"/>
        <w:gridCol w:w="1271"/>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0420" w:type="dxa"/>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19"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2024"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2772"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1271"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3634"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19"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2024"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277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1271"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3634"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19"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2024" w:type="dxa"/>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食品经营许可证、营业执照或事业单位法人证书</w:t>
            </w:r>
          </w:p>
        </w:tc>
        <w:tc>
          <w:tcPr>
            <w:tcW w:w="2772" w:type="dxa"/>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1271" w:type="dxa"/>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3634" w:type="dxa"/>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2772" w:type="dxa"/>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2024" w:type="dxa"/>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2772" w:type="dxa"/>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19"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w:t>
            </w:r>
          </w:p>
        </w:tc>
        <w:tc>
          <w:tcPr>
            <w:tcW w:w="2024"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2772"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127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63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trPr>
        <w:tc>
          <w:tcPr>
            <w:tcW w:w="10420" w:type="dxa"/>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9"/>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27"/>
        <w:rPr>
          <w:color w:val="000000"/>
        </w:rPr>
      </w:pPr>
    </w:p>
    <w:p>
      <w:pPr>
        <w:pStyle w:val="7"/>
        <w:spacing w:line="360" w:lineRule="auto"/>
        <w:ind w:firstLine="482" w:firstLineChars="200"/>
        <w:outlineLvl w:val="1"/>
        <w:rPr>
          <w:rFonts w:hAnsi="宋体" w:cs="黑体"/>
          <w:b/>
          <w:color w:val="000000"/>
          <w:sz w:val="24"/>
          <w:szCs w:val="24"/>
        </w:rPr>
      </w:pPr>
      <w:bookmarkStart w:id="30" w:name="_Toc28209"/>
      <w:bookmarkStart w:id="31" w:name="_Toc14214"/>
      <w:r>
        <w:rPr>
          <w:rFonts w:hint="eastAsia" w:hAnsi="宋体" w:cs="黑体"/>
          <w:b/>
          <w:color w:val="000000"/>
          <w:sz w:val="24"/>
          <w:szCs w:val="24"/>
        </w:rPr>
        <w:t>17. 其他</w:t>
      </w:r>
      <w:bookmarkEnd w:id="30"/>
      <w:bookmarkEnd w:id="31"/>
    </w:p>
    <w:p>
      <w:pPr>
        <w:pStyle w:val="28"/>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27"/>
        <w:rPr>
          <w:color w:val="000000"/>
        </w:rPr>
      </w:pPr>
    </w:p>
    <w:p>
      <w:pPr>
        <w:pStyle w:val="27"/>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3"/>
        <w:spacing w:line="500" w:lineRule="exact"/>
        <w:rPr>
          <w:rFonts w:ascii="宋体" w:hAnsi="宋体" w:eastAsia="宋体"/>
          <w:color w:val="000000"/>
        </w:rPr>
      </w:pPr>
      <w:bookmarkStart w:id="32" w:name="_Toc32364"/>
      <w:bookmarkStart w:id="33" w:name="_Toc17417"/>
      <w:r>
        <w:rPr>
          <w:rFonts w:hint="eastAsia" w:ascii="宋体" w:hAnsi="宋体" w:eastAsia="宋体"/>
          <w:color w:val="000000"/>
        </w:rPr>
        <w:t>第五章 投标文件格式</w:t>
      </w:r>
    </w:p>
    <w:p>
      <w:pPr>
        <w:keepNext/>
        <w:keepLines/>
        <w:spacing w:before="120" w:after="120" w:line="500" w:lineRule="exact"/>
        <w:jc w:val="center"/>
        <w:outlineLvl w:val="1"/>
        <w:rPr>
          <w:rFonts w:ascii="Arial" w:hAnsi="Arial" w:cs="Calibri"/>
          <w:b/>
          <w:bCs/>
          <w:color w:val="000000"/>
          <w:sz w:val="32"/>
          <w:szCs w:val="32"/>
        </w:rPr>
      </w:pPr>
      <w:r>
        <w:rPr>
          <w:rFonts w:hint="eastAsia" w:ascii="Arial" w:hAnsi="Arial" w:cs="Calibri"/>
          <w:b/>
          <w:bCs/>
          <w:color w:val="000000"/>
          <w:sz w:val="32"/>
          <w:szCs w:val="32"/>
        </w:rPr>
        <w:t>评审因素索引表</w:t>
      </w:r>
    </w:p>
    <w:tbl>
      <w:tblPr>
        <w:tblStyle w:val="2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r>
              <w:rPr>
                <w:rFonts w:hint="eastAsia"/>
                <w:color w:val="000000"/>
                <w:sz w:val="28"/>
                <w:szCs w:val="28"/>
              </w:rPr>
              <w:t>序号</w:t>
            </w:r>
          </w:p>
        </w:tc>
        <w:tc>
          <w:tcPr>
            <w:tcW w:w="4820" w:type="dxa"/>
            <w:vAlign w:val="center"/>
          </w:tcPr>
          <w:p>
            <w:pPr>
              <w:spacing w:line="500" w:lineRule="exact"/>
              <w:jc w:val="center"/>
              <w:rPr>
                <w:color w:val="000000"/>
                <w:sz w:val="28"/>
                <w:szCs w:val="28"/>
              </w:rPr>
            </w:pPr>
            <w:r>
              <w:rPr>
                <w:rFonts w:hint="eastAsia"/>
                <w:color w:val="000000"/>
                <w:sz w:val="28"/>
                <w:szCs w:val="28"/>
              </w:rPr>
              <w:t>评审因素</w:t>
            </w:r>
          </w:p>
        </w:tc>
        <w:tc>
          <w:tcPr>
            <w:tcW w:w="3649" w:type="dxa"/>
            <w:vAlign w:val="center"/>
          </w:tcPr>
          <w:p>
            <w:pPr>
              <w:spacing w:line="500" w:lineRule="exact"/>
              <w:jc w:val="center"/>
              <w:rPr>
                <w:color w:val="000000"/>
                <w:sz w:val="28"/>
                <w:szCs w:val="28"/>
              </w:rPr>
            </w:pPr>
            <w:r>
              <w:rPr>
                <w:rFonts w:hint="eastAsia"/>
                <w:color w:val="000000"/>
                <w:sz w:val="28"/>
                <w:szCs w:val="28"/>
              </w:rPr>
              <w:t>投标文件页码范围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r>
              <w:rPr>
                <w:rFonts w:hint="eastAsia"/>
                <w:color w:val="000000"/>
                <w:sz w:val="28"/>
                <w:szCs w:val="28"/>
              </w:rPr>
              <w:t>P---  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r>
              <w:rPr>
                <w:rFonts w:hint="eastAsia"/>
                <w:color w:val="000000"/>
                <w:sz w:val="28"/>
                <w:szCs w:val="28"/>
              </w:rPr>
              <w:t>……</w:t>
            </w:r>
          </w:p>
        </w:tc>
        <w:tc>
          <w:tcPr>
            <w:tcW w:w="3649" w:type="dxa"/>
            <w:vAlign w:val="center"/>
          </w:tcPr>
          <w:p>
            <w:pPr>
              <w:spacing w:line="500" w:lineRule="exact"/>
              <w:jc w:val="center"/>
              <w:rPr>
                <w:color w:val="000000"/>
                <w:sz w:val="28"/>
                <w:szCs w:val="28"/>
              </w:rPr>
            </w:pPr>
            <w:r>
              <w:rPr>
                <w:rFonts w:hint="eastAsia"/>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投标文件格式及资料清单</w:t>
      </w:r>
    </w:p>
    <w:tbl>
      <w:tblPr>
        <w:tblStyle w:val="2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r>
              <w:rPr>
                <w:rFonts w:hint="eastAsia" w:hAnsi="宋体" w:cs="宋体"/>
                <w:sz w:val="18"/>
                <w:szCs w:val="18"/>
              </w:rPr>
              <w:t>本项目无要求，可提供参考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r>
              <w:rPr>
                <w:rFonts w:hint="eastAsia" w:ascii="宋体" w:hAnsi="宋体" w:cs="宋体"/>
                <w:sz w:val="18"/>
                <w:szCs w:val="18"/>
              </w:rPr>
              <w:t>营业执照副本等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p>
    <w:p>
      <w:pPr>
        <w:pStyle w:val="7"/>
        <w:rPr>
          <w:rFonts w:hAnsi="宋体"/>
          <w:b/>
          <w:bCs/>
          <w:color w:val="000000" w:themeColor="text1"/>
          <w:szCs w:val="32"/>
          <w14:textFill>
            <w14:solidFill>
              <w14:schemeClr w14:val="tx1"/>
            </w14:solidFill>
          </w14:textFill>
        </w:rPr>
      </w:pPr>
    </w:p>
    <w:p>
      <w:pPr>
        <w:pStyle w:val="8"/>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一．投标函</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致：合肥泓瑞金陵大酒店有限责任公司</w:t>
      </w:r>
    </w:p>
    <w:p>
      <w:pPr>
        <w:wordWrap w:val="0"/>
        <w:topLinePunct/>
        <w:spacing w:line="480" w:lineRule="exact"/>
        <w:ind w:left="580" w:leftChars="276" w:firstLine="720" w:firstLineChars="3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（项目名称）的第</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号招标邀请书，正式授权</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（姓名、身份证号）代表投标人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企业法人（签字/盖签章）：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二．投标人情况综合简介</w:t>
      </w:r>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pStyle w:val="4"/>
        <w:ind w:firstLine="3373" w:firstLineChars="1200"/>
        <w:rPr>
          <w:rFonts w:hAnsi="宋体"/>
          <w:sz w:val="28"/>
        </w:rPr>
      </w:pPr>
      <w:r>
        <w:rPr>
          <w:rFonts w:hint="eastAsia" w:ascii="宋体" w:hAnsi="宋体"/>
          <w:color w:val="000000" w:themeColor="text1"/>
          <w:sz w:val="28"/>
          <w14:textFill>
            <w14:solidFill>
              <w14:schemeClr w14:val="tx1"/>
            </w14:solidFill>
          </w14:textFill>
        </w:rPr>
        <w:t>三．</w:t>
      </w:r>
      <w:bookmarkStart w:id="34" w:name="_Hlt509739007"/>
      <w:bookmarkEnd w:id="34"/>
      <w:bookmarkStart w:id="35" w:name="_Toc153811199"/>
      <w:r>
        <w:rPr>
          <w:rFonts w:hint="eastAsia" w:hAnsi="宋体"/>
          <w:sz w:val="28"/>
        </w:rPr>
        <w:t>开标报价一览表</w:t>
      </w:r>
      <w:bookmarkEnd w:id="35"/>
    </w:p>
    <w:tbl>
      <w:tblPr>
        <w:tblStyle w:val="20"/>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项目名称</w:t>
            </w:r>
          </w:p>
        </w:tc>
        <w:tc>
          <w:tcPr>
            <w:tcW w:w="7059" w:type="dxa"/>
            <w:tcBorders>
              <w:top w:val="single" w:color="auto" w:sz="4" w:space="0"/>
              <w:bottom w:val="single" w:color="auto" w:sz="4" w:space="0"/>
              <w:right w:val="single" w:color="auto" w:sz="4" w:space="0"/>
            </w:tcBorders>
            <w:vAlign w:val="center"/>
          </w:tcPr>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jc w:val="center"/>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）；增值税专票税率：</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不含税报价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numPr>
                <w:ilvl w:val="0"/>
                <w:numId w:val="2"/>
              </w:numPr>
              <w:spacing w:line="360" w:lineRule="auto"/>
              <w:ind w:firstLine="420" w:firstLineChars="200"/>
              <w:jc w:val="left"/>
            </w:pPr>
            <w:r>
              <w:rPr>
                <w:rFonts w:hint="eastAsia"/>
              </w:rPr>
              <w:t>该总价包含各种税费、制作费、人工费、设计费、运输费等所有的费用。</w:t>
            </w:r>
          </w:p>
          <w:p>
            <w:pPr>
              <w:pStyle w:val="19"/>
              <w:numPr>
                <w:ilvl w:val="0"/>
                <w:numId w:val="2"/>
              </w:numPr>
            </w:pPr>
            <w:r>
              <w:rPr>
                <w:rFonts w:hint="eastAsia" w:ascii="Calibri" w:hAnsi="Calibri"/>
                <w:sz w:val="21"/>
                <w:szCs w:val="22"/>
              </w:rPr>
              <w:t>不含税报价=含税报价/税率（如：税率为3，即不含税报价=含税报价/1.03）</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rFonts w:ascii="宋体" w:hAnsi="宋体"/>
          <w:b/>
          <w:color w:val="000000"/>
          <w:sz w:val="24"/>
        </w:rPr>
      </w:pPr>
      <w:r>
        <w:rPr>
          <w:rFonts w:hint="eastAsia" w:ascii="宋体" w:hAnsi="宋体"/>
          <w:b/>
          <w:color w:val="000000"/>
          <w:sz w:val="24"/>
        </w:rPr>
        <w:t>备注：表中不含税报价即为优惠后报价，并作为评审及定标依据。任何有选择或有条件的最终投标报价，或者表中某一标段填写多个报价，均为无效报价。</w:t>
      </w:r>
    </w:p>
    <w:p>
      <w:pPr>
        <w:pStyle w:val="2"/>
        <w:rPr>
          <w:lang w:val="en-US"/>
        </w:rPr>
      </w:pPr>
    </w:p>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Lines="50" w:afterLines="50" w:line="360" w:lineRule="auto"/>
        <w:jc w:val="left"/>
        <w:outlineLvl w:val="2"/>
        <w:rPr>
          <w:rFonts w:cs="@仿宋_GB2312" w:asciiTheme="minorEastAsia" w:hAnsiTheme="minorEastAsia" w:eastAsiaTheme="minorEastAsia"/>
          <w:b/>
          <w:sz w:val="24"/>
          <w:szCs w:val="24"/>
        </w:rPr>
      </w:pPr>
    </w:p>
    <w:p>
      <w:pPr>
        <w:tabs>
          <w:tab w:val="left" w:pos="1050"/>
        </w:tabs>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p>
    <w:p>
      <w:pPr>
        <w:keepNext/>
        <w:keepLines/>
        <w:numPr>
          <w:ilvl w:val="0"/>
          <w:numId w:val="3"/>
        </w:numPr>
        <w:spacing w:before="260" w:after="260" w:line="416" w:lineRule="auto"/>
        <w:jc w:val="center"/>
        <w:outlineLvl w:val="2"/>
        <w:rPr>
          <w:rFonts w:ascii="宋体" w:hAnsi="宋体"/>
          <w:b/>
          <w:bCs/>
          <w:color w:val="000000" w:themeColor="text1"/>
          <w:sz w:val="28"/>
          <w:szCs w:val="32"/>
          <w:highlight w:val="yellow"/>
          <w14:textFill>
            <w14:solidFill>
              <w14:schemeClr w14:val="tx1"/>
            </w14:solidFill>
          </w14:textFill>
        </w:rPr>
      </w:pPr>
      <w:r>
        <w:rPr>
          <w:rFonts w:hint="eastAsia" w:ascii="宋体" w:hAnsi="宋体"/>
          <w:b/>
          <w:bCs/>
          <w:color w:val="000000" w:themeColor="text1"/>
          <w:sz w:val="28"/>
          <w:szCs w:val="32"/>
          <w:highlight w:val="yellow"/>
          <w14:textFill>
            <w14:solidFill>
              <w14:schemeClr w14:val="tx1"/>
            </w14:solidFill>
          </w14:textFill>
        </w:rPr>
        <w:t>单项报价表</w:t>
      </w:r>
    </w:p>
    <w:tbl>
      <w:tblPr>
        <w:tblStyle w:val="20"/>
        <w:tblW w:w="9505" w:type="dxa"/>
        <w:tblInd w:w="87" w:type="dxa"/>
        <w:tblLayout w:type="fixed"/>
        <w:tblCellMar>
          <w:top w:w="0" w:type="dxa"/>
          <w:left w:w="108" w:type="dxa"/>
          <w:bottom w:w="0" w:type="dxa"/>
          <w:right w:w="108" w:type="dxa"/>
        </w:tblCellMar>
      </w:tblPr>
      <w:tblGrid>
        <w:gridCol w:w="1122"/>
        <w:gridCol w:w="1656"/>
        <w:gridCol w:w="751"/>
        <w:gridCol w:w="1494"/>
        <w:gridCol w:w="1494"/>
        <w:gridCol w:w="1494"/>
        <w:gridCol w:w="1494"/>
      </w:tblGrid>
      <w:tr>
        <w:tblPrEx>
          <w:tblLayout w:type="fixed"/>
          <w:tblCellMar>
            <w:top w:w="0" w:type="dxa"/>
            <w:left w:w="108" w:type="dxa"/>
            <w:bottom w:w="0" w:type="dxa"/>
            <w:right w:w="108" w:type="dxa"/>
          </w:tblCellMar>
        </w:tblPrEx>
        <w:trPr>
          <w:trHeight w:val="397" w:hRule="atLeast"/>
        </w:trPr>
        <w:tc>
          <w:tcPr>
            <w:tcW w:w="1122" w:type="dxa"/>
            <w:tcBorders>
              <w:top w:val="single" w:color="C0C0C0" w:sz="4" w:space="0"/>
              <w:left w:val="single" w:color="C0C0C0" w:sz="4" w:space="0"/>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rPr>
            </w:pPr>
            <w:r>
              <w:rPr>
                <w:rFonts w:hint="eastAsia" w:ascii="宋体" w:hAnsi="宋体" w:cs="Arial"/>
                <w:b/>
                <w:bCs/>
                <w:color w:val="333399"/>
                <w:kern w:val="0"/>
                <w:sz w:val="21"/>
                <w:szCs w:val="21"/>
              </w:rPr>
              <w:t>名称</w:t>
            </w:r>
          </w:p>
        </w:tc>
        <w:tc>
          <w:tcPr>
            <w:tcW w:w="1656"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rPr>
            </w:pPr>
            <w:r>
              <w:rPr>
                <w:rFonts w:hint="eastAsia" w:ascii="宋体" w:hAnsi="宋体" w:cs="Arial"/>
                <w:b/>
                <w:bCs/>
                <w:color w:val="333399"/>
                <w:kern w:val="0"/>
                <w:sz w:val="21"/>
                <w:szCs w:val="21"/>
              </w:rPr>
              <w:t>规格型号</w:t>
            </w:r>
          </w:p>
        </w:tc>
        <w:tc>
          <w:tcPr>
            <w:tcW w:w="751"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ascii="宋体" w:hAnsi="宋体" w:cs="Arial"/>
                <w:b/>
                <w:bCs/>
                <w:color w:val="333399"/>
                <w:kern w:val="0"/>
                <w:sz w:val="21"/>
                <w:szCs w:val="21"/>
              </w:rPr>
            </w:pPr>
            <w:r>
              <w:rPr>
                <w:rFonts w:hint="eastAsia" w:ascii="宋体" w:hAnsi="宋体" w:cs="Arial"/>
                <w:b/>
                <w:bCs/>
                <w:color w:val="333399"/>
                <w:kern w:val="0"/>
                <w:sz w:val="21"/>
                <w:szCs w:val="21"/>
              </w:rPr>
              <w:t xml:space="preserve"> 单位</w:t>
            </w:r>
          </w:p>
        </w:tc>
        <w:tc>
          <w:tcPr>
            <w:tcW w:w="1494"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sz w:val="21"/>
                <w:szCs w:val="21"/>
              </w:rPr>
            </w:pPr>
            <w:r>
              <w:rPr>
                <w:rFonts w:hint="eastAsia" w:ascii="宋体" w:hAnsi="宋体" w:cs="Arial"/>
                <w:b/>
                <w:bCs/>
                <w:color w:val="333399"/>
                <w:kern w:val="0"/>
                <w:sz w:val="21"/>
                <w:szCs w:val="21"/>
              </w:rPr>
              <w:t xml:space="preserve"> 数量</w:t>
            </w:r>
          </w:p>
        </w:tc>
        <w:tc>
          <w:tcPr>
            <w:tcW w:w="1494"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hint="eastAsia" w:ascii="宋体" w:hAnsi="宋体" w:eastAsia="宋体" w:cs="Arial"/>
                <w:b/>
                <w:bCs/>
                <w:color w:val="333399"/>
                <w:kern w:val="0"/>
                <w:sz w:val="21"/>
                <w:szCs w:val="21"/>
                <w:lang w:eastAsia="zh-CN"/>
              </w:rPr>
            </w:pPr>
            <w:r>
              <w:rPr>
                <w:rFonts w:hint="eastAsia" w:ascii="宋体" w:hAnsi="宋体" w:cs="Arial"/>
                <w:b/>
                <w:bCs/>
                <w:color w:val="333399"/>
                <w:kern w:val="0"/>
                <w:sz w:val="21"/>
                <w:szCs w:val="21"/>
                <w:lang w:eastAsia="zh-CN"/>
              </w:rPr>
              <w:t>单价</w:t>
            </w:r>
          </w:p>
        </w:tc>
        <w:tc>
          <w:tcPr>
            <w:tcW w:w="1494"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hint="eastAsia" w:ascii="宋体" w:hAnsi="宋体" w:eastAsia="宋体" w:cs="Arial"/>
                <w:b/>
                <w:bCs/>
                <w:color w:val="333399"/>
                <w:kern w:val="0"/>
                <w:sz w:val="21"/>
                <w:szCs w:val="21"/>
                <w:lang w:eastAsia="zh-CN"/>
              </w:rPr>
            </w:pPr>
            <w:r>
              <w:rPr>
                <w:rFonts w:hint="eastAsia" w:ascii="宋体" w:hAnsi="宋体" w:cs="Arial"/>
                <w:b/>
                <w:bCs/>
                <w:color w:val="333399"/>
                <w:kern w:val="0"/>
                <w:sz w:val="21"/>
                <w:szCs w:val="21"/>
                <w:lang w:eastAsia="zh-CN"/>
              </w:rPr>
              <w:t>合计</w:t>
            </w:r>
          </w:p>
        </w:tc>
        <w:tc>
          <w:tcPr>
            <w:tcW w:w="1494" w:type="dxa"/>
            <w:tcBorders>
              <w:top w:val="single" w:color="C0C0C0" w:sz="4" w:space="0"/>
              <w:left w:val="nil"/>
              <w:bottom w:val="single" w:color="C0C0C0" w:sz="4" w:space="0"/>
              <w:right w:val="single" w:color="C0C0C0" w:sz="4" w:space="0"/>
            </w:tcBorders>
            <w:shd w:val="clear" w:color="000000" w:fill="CCFFFF"/>
            <w:noWrap/>
            <w:vAlign w:val="center"/>
          </w:tcPr>
          <w:p>
            <w:pPr>
              <w:widowControl/>
              <w:jc w:val="center"/>
              <w:rPr>
                <w:rFonts w:hint="eastAsia" w:ascii="宋体" w:hAnsi="宋体" w:eastAsia="宋体" w:cs="Arial"/>
                <w:b/>
                <w:bCs/>
                <w:color w:val="333399"/>
                <w:kern w:val="0"/>
                <w:sz w:val="21"/>
                <w:szCs w:val="21"/>
                <w:lang w:val="en-US" w:eastAsia="zh-CN"/>
              </w:rPr>
            </w:pPr>
            <w:r>
              <w:rPr>
                <w:rFonts w:hint="eastAsia" w:ascii="宋体" w:hAnsi="宋体" w:cs="Arial"/>
                <w:b/>
                <w:bCs/>
                <w:color w:val="333399"/>
                <w:kern w:val="0"/>
                <w:sz w:val="21"/>
                <w:szCs w:val="21"/>
                <w:lang w:val="en-US" w:eastAsia="zh-CN"/>
              </w:rPr>
              <w:t>备注</w:t>
            </w:r>
          </w:p>
        </w:tc>
      </w:tr>
      <w:tr>
        <w:tblPrEx>
          <w:tblLayout w:type="fixed"/>
          <w:tblCellMar>
            <w:top w:w="0" w:type="dxa"/>
            <w:left w:w="108" w:type="dxa"/>
            <w:bottom w:w="0" w:type="dxa"/>
            <w:right w:w="108" w:type="dxa"/>
          </w:tblCellMar>
        </w:tblPrEx>
        <w:trPr>
          <w:trHeight w:val="397" w:hRule="atLeast"/>
        </w:trPr>
        <w:tc>
          <w:tcPr>
            <w:tcW w:w="1122"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方糕</w:t>
            </w:r>
          </w:p>
        </w:tc>
        <w:tc>
          <w:tcPr>
            <w:tcW w:w="1656"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32g*12</w:t>
            </w:r>
          </w:p>
        </w:tc>
        <w:tc>
          <w:tcPr>
            <w:tcW w:w="75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盒</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rPr>
            </w:pPr>
            <w:r>
              <w:rPr>
                <w:rFonts w:hint="eastAsia" w:ascii="宋体" w:hAnsi="宋体" w:cs="Arial"/>
                <w:color w:val="000000"/>
                <w:kern w:val="0"/>
                <w:sz w:val="21"/>
                <w:szCs w:val="21"/>
                <w:lang w:val="en-US" w:eastAsia="zh-CN"/>
              </w:rPr>
              <w:t>900</w:t>
            </w:r>
            <w:r>
              <w:rPr>
                <w:rFonts w:hint="eastAsia" w:ascii="宋体" w:hAnsi="宋体" w:cs="Arial"/>
                <w:color w:val="000000"/>
                <w:kern w:val="0"/>
                <w:sz w:val="21"/>
                <w:szCs w:val="21"/>
              </w:rPr>
              <w:t xml:space="preserve">.00 </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default" w:ascii="宋体" w:hAnsi="宋体" w:eastAsia="宋体" w:cs="Arial"/>
                <w:color w:val="000000"/>
                <w:kern w:val="0"/>
                <w:sz w:val="21"/>
                <w:szCs w:val="21"/>
                <w:lang w:val="en-US" w:eastAsia="zh-CN"/>
              </w:rPr>
            </w:pPr>
            <w:r>
              <w:rPr>
                <w:rFonts w:hint="eastAsia" w:ascii="宋体" w:hAnsi="宋体" w:cs="Arial"/>
                <w:color w:val="000000"/>
                <w:kern w:val="0"/>
                <w:sz w:val="21"/>
                <w:szCs w:val="21"/>
                <w:lang w:eastAsia="zh-CN"/>
              </w:rPr>
              <w:t>定制金陵</w:t>
            </w:r>
            <w:r>
              <w:rPr>
                <w:rFonts w:hint="eastAsia" w:ascii="宋体" w:hAnsi="宋体" w:cs="Arial"/>
                <w:color w:val="000000"/>
                <w:kern w:val="0"/>
                <w:sz w:val="21"/>
                <w:szCs w:val="21"/>
                <w:lang w:val="en-US" w:eastAsia="zh-CN"/>
              </w:rPr>
              <w:t>LOGO</w:t>
            </w:r>
          </w:p>
        </w:tc>
      </w:tr>
      <w:tr>
        <w:tblPrEx>
          <w:tblLayout w:type="fixed"/>
          <w:tblCellMar>
            <w:top w:w="0" w:type="dxa"/>
            <w:left w:w="108" w:type="dxa"/>
            <w:bottom w:w="0" w:type="dxa"/>
            <w:right w:w="108" w:type="dxa"/>
          </w:tblCellMar>
        </w:tblPrEx>
        <w:trPr>
          <w:trHeight w:val="397" w:hRule="atLeast"/>
        </w:trPr>
        <w:tc>
          <w:tcPr>
            <w:tcW w:w="1122"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鸭胚</w:t>
            </w:r>
          </w:p>
        </w:tc>
        <w:tc>
          <w:tcPr>
            <w:tcW w:w="1656"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lang w:val="en-US" w:eastAsia="zh-CN"/>
              </w:rPr>
              <w:t>1500-</w:t>
            </w:r>
            <w:r>
              <w:rPr>
                <w:rFonts w:hint="eastAsia" w:ascii="宋体" w:hAnsi="宋体" w:cs="Arial"/>
                <w:color w:val="000000"/>
                <w:kern w:val="0"/>
                <w:sz w:val="21"/>
                <w:szCs w:val="21"/>
              </w:rPr>
              <w:t>1</w:t>
            </w:r>
            <w:r>
              <w:rPr>
                <w:rFonts w:hint="eastAsia" w:ascii="宋体" w:hAnsi="宋体" w:cs="Arial"/>
                <w:color w:val="000000"/>
                <w:kern w:val="0"/>
                <w:sz w:val="21"/>
                <w:szCs w:val="21"/>
                <w:lang w:val="en-US" w:eastAsia="zh-CN"/>
              </w:rPr>
              <w:t>7</w:t>
            </w:r>
            <w:r>
              <w:rPr>
                <w:rFonts w:hint="eastAsia" w:ascii="宋体" w:hAnsi="宋体" w:cs="Arial"/>
                <w:color w:val="000000"/>
                <w:kern w:val="0"/>
                <w:sz w:val="21"/>
                <w:szCs w:val="21"/>
              </w:rPr>
              <w:t>00g</w:t>
            </w:r>
          </w:p>
        </w:tc>
        <w:tc>
          <w:tcPr>
            <w:tcW w:w="75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只</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rPr>
            </w:pPr>
            <w:r>
              <w:rPr>
                <w:rFonts w:hint="eastAsia" w:ascii="宋体" w:hAnsi="宋体" w:cs="Arial"/>
                <w:color w:val="000000"/>
                <w:kern w:val="0"/>
                <w:sz w:val="21"/>
                <w:szCs w:val="21"/>
                <w:lang w:val="en-US" w:eastAsia="zh-CN"/>
              </w:rPr>
              <w:t>55</w:t>
            </w:r>
            <w:r>
              <w:rPr>
                <w:rFonts w:hint="eastAsia" w:ascii="宋体" w:hAnsi="宋体" w:cs="Arial"/>
                <w:color w:val="000000"/>
                <w:kern w:val="0"/>
                <w:sz w:val="21"/>
                <w:szCs w:val="21"/>
              </w:rPr>
              <w:t xml:space="preserve">00.00 </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r>
              <w:rPr>
                <w:rFonts w:hint="eastAsia" w:ascii="宋体" w:hAnsi="宋体" w:cs="Arial"/>
                <w:color w:val="000000"/>
                <w:kern w:val="0"/>
                <w:sz w:val="21"/>
                <w:szCs w:val="21"/>
                <w:lang w:eastAsia="zh-CN"/>
              </w:rPr>
              <w:t>按照实际规格填写报价</w:t>
            </w:r>
          </w:p>
        </w:tc>
      </w:tr>
      <w:tr>
        <w:tblPrEx>
          <w:tblLayout w:type="fixed"/>
          <w:tblCellMar>
            <w:top w:w="0" w:type="dxa"/>
            <w:left w:w="108" w:type="dxa"/>
            <w:bottom w:w="0" w:type="dxa"/>
            <w:right w:w="108" w:type="dxa"/>
          </w:tblCellMar>
        </w:tblPrEx>
        <w:trPr>
          <w:trHeight w:val="397" w:hRule="atLeast"/>
        </w:trPr>
        <w:tc>
          <w:tcPr>
            <w:tcW w:w="1122"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鸭血粉丝汤</w:t>
            </w:r>
          </w:p>
        </w:tc>
        <w:tc>
          <w:tcPr>
            <w:tcW w:w="1656"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182.2G*24/桶，24桶/箱</w:t>
            </w:r>
          </w:p>
        </w:tc>
        <w:tc>
          <w:tcPr>
            <w:tcW w:w="75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桶</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rPr>
            </w:pPr>
            <w:r>
              <w:rPr>
                <w:rFonts w:hint="eastAsia" w:ascii="宋体" w:hAnsi="宋体" w:cs="Arial"/>
                <w:color w:val="000000"/>
                <w:kern w:val="0"/>
                <w:sz w:val="21"/>
                <w:szCs w:val="21"/>
                <w:lang w:val="en-US" w:eastAsia="zh-CN"/>
              </w:rPr>
              <w:t>1256</w:t>
            </w:r>
            <w:r>
              <w:rPr>
                <w:rFonts w:hint="eastAsia" w:ascii="宋体" w:hAnsi="宋体" w:cs="Arial"/>
                <w:color w:val="000000"/>
                <w:kern w:val="0"/>
                <w:sz w:val="21"/>
                <w:szCs w:val="21"/>
              </w:rPr>
              <w:t xml:space="preserve">.00 </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97" w:hRule="atLeast"/>
        </w:trPr>
        <w:tc>
          <w:tcPr>
            <w:tcW w:w="1122" w:type="dxa"/>
            <w:tcBorders>
              <w:top w:val="nil"/>
              <w:left w:val="single" w:color="C0C0C0" w:sz="4" w:space="0"/>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鸭血粉丝汤</w:t>
            </w:r>
          </w:p>
        </w:tc>
        <w:tc>
          <w:tcPr>
            <w:tcW w:w="1656"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341G*6/袋，6袋/箱</w:t>
            </w:r>
          </w:p>
        </w:tc>
        <w:tc>
          <w:tcPr>
            <w:tcW w:w="751" w:type="dxa"/>
            <w:tcBorders>
              <w:top w:val="nil"/>
              <w:left w:val="nil"/>
              <w:bottom w:val="single" w:color="C0C0C0" w:sz="4" w:space="0"/>
              <w:right w:val="single" w:color="C0C0C0" w:sz="4" w:space="0"/>
            </w:tcBorders>
            <w:shd w:val="clear" w:color="000000" w:fill="FFFFFF"/>
            <w:noWrap/>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袋</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sz w:val="21"/>
                <w:szCs w:val="21"/>
              </w:rPr>
            </w:pPr>
            <w:r>
              <w:rPr>
                <w:rFonts w:hint="eastAsia" w:ascii="宋体" w:hAnsi="宋体" w:cs="Arial"/>
                <w:color w:val="000000"/>
                <w:kern w:val="0"/>
                <w:sz w:val="21"/>
                <w:szCs w:val="21"/>
                <w:lang w:val="en-US" w:eastAsia="zh-CN"/>
              </w:rPr>
              <w:t>1256</w:t>
            </w:r>
            <w:r>
              <w:rPr>
                <w:rFonts w:hint="eastAsia" w:ascii="宋体" w:hAnsi="宋体" w:cs="Arial"/>
                <w:color w:val="000000"/>
                <w:kern w:val="0"/>
                <w:sz w:val="21"/>
                <w:szCs w:val="21"/>
              </w:rPr>
              <w:t xml:space="preserve">.00 </w:t>
            </w: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FF"/>
            <w:noWrap/>
            <w:vAlign w:val="center"/>
          </w:tcPr>
          <w:p>
            <w:pPr>
              <w:widowControl/>
              <w:jc w:val="center"/>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97" w:hRule="atLeast"/>
        </w:trPr>
        <w:tc>
          <w:tcPr>
            <w:tcW w:w="1122" w:type="dxa"/>
            <w:tcBorders>
              <w:top w:val="nil"/>
              <w:left w:val="single" w:color="C0C0C0" w:sz="4" w:space="0"/>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eastAsia="zh-CN"/>
              </w:rPr>
              <w:t>合计</w:t>
            </w:r>
            <w:r>
              <w:rPr>
                <w:rFonts w:hint="eastAsia" w:ascii="宋体" w:hAnsi="宋体" w:cs="Arial"/>
                <w:color w:val="000000"/>
                <w:kern w:val="0"/>
                <w:sz w:val="21"/>
                <w:szCs w:val="21"/>
              </w:rPr>
              <w:t>　</w:t>
            </w:r>
          </w:p>
        </w:tc>
        <w:tc>
          <w:tcPr>
            <w:tcW w:w="1656" w:type="dxa"/>
            <w:tcBorders>
              <w:top w:val="nil"/>
              <w:left w:val="nil"/>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751" w:type="dxa"/>
            <w:tcBorders>
              <w:top w:val="nil"/>
              <w:left w:val="nil"/>
              <w:bottom w:val="single" w:color="C0C0C0" w:sz="4" w:space="0"/>
              <w:right w:val="single" w:color="C0C0C0" w:sz="4" w:space="0"/>
            </w:tcBorders>
            <w:shd w:val="clear" w:color="000000" w:fill="FFFF99"/>
            <w:noWrap/>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94" w:type="dxa"/>
            <w:tcBorders>
              <w:top w:val="nil"/>
              <w:left w:val="nil"/>
              <w:bottom w:val="single" w:color="C0C0C0" w:sz="4" w:space="0"/>
              <w:right w:val="single" w:color="C0C0C0" w:sz="4" w:space="0"/>
            </w:tcBorders>
            <w:shd w:val="clear" w:color="000000" w:fill="FFFF99"/>
            <w:noWrap/>
            <w:vAlign w:val="center"/>
          </w:tcPr>
          <w:p>
            <w:pPr>
              <w:widowControl/>
              <w:jc w:val="right"/>
              <w:rPr>
                <w:sz w:val="21"/>
                <w:szCs w:val="21"/>
              </w:rPr>
            </w:pPr>
            <w:r>
              <w:rPr>
                <w:rFonts w:hint="eastAsia" w:ascii="宋体" w:hAnsi="宋体" w:cs="Arial"/>
                <w:color w:val="000000"/>
                <w:kern w:val="0"/>
                <w:sz w:val="21"/>
                <w:szCs w:val="21"/>
              </w:rPr>
              <w:t xml:space="preserve"> </w:t>
            </w:r>
          </w:p>
        </w:tc>
        <w:tc>
          <w:tcPr>
            <w:tcW w:w="1494" w:type="dxa"/>
            <w:tcBorders>
              <w:top w:val="nil"/>
              <w:left w:val="nil"/>
              <w:bottom w:val="single" w:color="C0C0C0" w:sz="4" w:space="0"/>
              <w:right w:val="single" w:color="C0C0C0" w:sz="4" w:space="0"/>
            </w:tcBorders>
            <w:shd w:val="clear" w:color="000000" w:fill="FFFF99"/>
            <w:noWrap/>
            <w:vAlign w:val="center"/>
          </w:tcPr>
          <w:p>
            <w:pPr>
              <w:widowControl/>
              <w:jc w:val="right"/>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99"/>
            <w:noWrap/>
            <w:vAlign w:val="center"/>
          </w:tcPr>
          <w:p>
            <w:pPr>
              <w:widowControl/>
              <w:jc w:val="right"/>
              <w:rPr>
                <w:rFonts w:hint="eastAsia" w:ascii="宋体" w:hAnsi="宋体" w:cs="Arial"/>
                <w:color w:val="000000"/>
                <w:kern w:val="0"/>
                <w:sz w:val="21"/>
                <w:szCs w:val="21"/>
              </w:rPr>
            </w:pPr>
          </w:p>
        </w:tc>
        <w:tc>
          <w:tcPr>
            <w:tcW w:w="1494" w:type="dxa"/>
            <w:tcBorders>
              <w:top w:val="nil"/>
              <w:left w:val="nil"/>
              <w:bottom w:val="single" w:color="C0C0C0" w:sz="4" w:space="0"/>
              <w:right w:val="single" w:color="C0C0C0" w:sz="4" w:space="0"/>
            </w:tcBorders>
            <w:shd w:val="clear" w:color="000000" w:fill="FFFF99"/>
            <w:noWrap/>
            <w:vAlign w:val="center"/>
          </w:tcPr>
          <w:p>
            <w:pPr>
              <w:widowControl/>
              <w:jc w:val="right"/>
              <w:rPr>
                <w:rFonts w:hint="eastAsia" w:ascii="宋体" w:hAnsi="宋体" w:cs="Arial"/>
                <w:color w:val="000000"/>
                <w:kern w:val="0"/>
                <w:sz w:val="21"/>
                <w:szCs w:val="21"/>
              </w:rPr>
            </w:pPr>
          </w:p>
        </w:tc>
      </w:tr>
    </w:tbl>
    <w:p>
      <w:pPr>
        <w:pStyle w:val="7"/>
      </w:pPr>
    </w:p>
    <w:p>
      <w:pPr>
        <w:rPr>
          <w:rFonts w:ascii="宋体" w:hAnsi="宋体"/>
          <w:b/>
          <w:sz w:val="28"/>
        </w:rPr>
      </w:pPr>
      <w:r>
        <w:rPr>
          <w:rFonts w:hint="eastAsia" w:ascii="宋体" w:hAnsi="宋体"/>
          <w:b/>
          <w:sz w:val="28"/>
        </w:rPr>
        <w:t xml:space="preserve">单位名称：          联系人：          联系方式：     </w:t>
      </w:r>
    </w:p>
    <w:p>
      <w:pPr>
        <w:pStyle w:val="19"/>
        <w:numPr>
          <w:ilvl w:val="255"/>
          <w:numId w:val="0"/>
        </w:num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五、投标人信用承诺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六.投标业绩</w:t>
      </w:r>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20"/>
        <w:tblW w:w="920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Lines="20" w:afterLines="20" w:line="360" w:lineRule="auto"/>
        <w:rPr>
          <w:rFonts w:ascii="宋体" w:hAnsi="宋体"/>
          <w:color w:val="000000" w:themeColor="text1"/>
          <w:sz w:val="28"/>
          <w14:textFill>
            <w14:solidFill>
              <w14:schemeClr w14:val="tx1"/>
            </w14:solidFill>
          </w14:textFill>
        </w:rPr>
      </w:pPr>
    </w:p>
    <w:p>
      <w:pPr>
        <w:jc w:val="center"/>
        <w:rPr>
          <w:sz w:val="24"/>
          <w:szCs w:val="24"/>
        </w:rPr>
      </w:pPr>
      <w:r>
        <w:rPr>
          <w:rFonts w:hint="eastAsia" w:ascii="宋体" w:hAnsi="宋体"/>
          <w:b/>
          <w:color w:val="000000" w:themeColor="text1"/>
          <w:sz w:val="28"/>
          <w14:textFill>
            <w14:solidFill>
              <w14:schemeClr w14:val="tx1"/>
            </w14:solidFill>
          </w14:textFill>
        </w:rPr>
        <w:t>（二）业绩证明材料</w:t>
      </w:r>
      <w:r>
        <w:rPr>
          <w:rFonts w:hint="eastAsia"/>
          <w:sz w:val="24"/>
          <w:szCs w:val="24"/>
        </w:rPr>
        <w:t>（</w:t>
      </w:r>
      <w:r>
        <w:rPr>
          <w:rFonts w:hint="eastAsia" w:hAnsi="宋体" w:cs="宋体"/>
          <w:sz w:val="24"/>
          <w:szCs w:val="24"/>
        </w:rPr>
        <w:t>本项目无要求，可提供参考。</w:t>
      </w:r>
      <w:r>
        <w:rPr>
          <w:rFonts w:hint="eastAsia"/>
          <w:sz w:val="24"/>
          <w:szCs w:val="24"/>
        </w:rPr>
        <w:t>）</w:t>
      </w:r>
    </w:p>
    <w:p>
      <w:pPr>
        <w:spacing w:beforeLines="20" w:afterLines="20" w:line="360" w:lineRule="auto"/>
        <w:jc w:val="center"/>
        <w:rPr>
          <w:rFonts w:ascii="宋体" w:hAnsi="宋体"/>
          <w:b/>
          <w:color w:val="000000" w:themeColor="text1"/>
          <w:sz w:val="28"/>
          <w14:textFill>
            <w14:solidFill>
              <w14:schemeClr w14:val="tx1"/>
            </w14:solidFill>
          </w14:textFill>
        </w:rPr>
      </w:pPr>
    </w:p>
    <w:p>
      <w:pPr>
        <w:spacing w:beforeLines="20"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Lines="20" w:afterLines="20" w:line="360" w:lineRule="auto"/>
        <w:rPr>
          <w:rFonts w:ascii="宋体" w:hAnsi="宋体"/>
          <w:color w:val="000000" w:themeColor="text1"/>
          <w:sz w:val="24"/>
          <w:szCs w:val="24"/>
          <w14:textFill>
            <w14:solidFill>
              <w14:schemeClr w14:val="tx1"/>
            </w14:solidFill>
          </w14:textFill>
        </w:rPr>
      </w:pPr>
    </w:p>
    <w:p>
      <w:pPr>
        <w:spacing w:beforeLines="20" w:afterLines="20" w:line="360" w:lineRule="auto"/>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七．有关证明文件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ind w:firstLine="3373" w:firstLineChars="1200"/>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八．投标授权书</w:t>
      </w:r>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61312"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7"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8"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9"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组合 3" o:spid="_x0000_s1026" o:spt="203" style="position:absolute;left:0pt;margin-left:91.4pt;margin-top:20.1pt;height:57.3pt;width:303.95pt;z-index:251661312;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5BtsPZAAAACgEAAA8AAAAAAAAAAQAgAAAAIgAAAGRycy9kb3ducmV2Lnht&#10;bFBLAQIUABQAAAAIAIdO4kBFVhGuowIAANwHAAAOAAAAAAAAAAEAIAAAACgBAABkcnMvZTJvRG9j&#10;LnhtbFBLBQYAAAAABgAGAFkBAAA9Bg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p>
    <w:p>
      <w:pPr>
        <w:snapToGrid w:val="0"/>
        <w:spacing w:line="360" w:lineRule="auto"/>
        <w:jc w:val="left"/>
        <w:rPr>
          <w:rFonts w:ascii="宋体" w:hAnsi="宋体"/>
          <w:color w:val="000000" w:themeColor="text1"/>
          <w:sz w:val="24"/>
          <w:szCs w:val="20"/>
          <w14:textFill>
            <w14:solidFill>
              <w14:schemeClr w14:val="tx1"/>
            </w14:solidFill>
          </w14:textFill>
        </w:rPr>
      </w:pPr>
    </w:p>
    <w:p>
      <w:pPr>
        <w:jc w:val="center"/>
        <w:rPr>
          <w:rFonts w:ascii="宋体" w:hAnsi="宋体"/>
          <w:b/>
          <w:bCs/>
          <w:color w:val="000000" w:themeColor="text1"/>
          <w:sz w:val="28"/>
          <w:szCs w:val="32"/>
          <w14:textFill>
            <w14:solidFill>
              <w14:schemeClr w14:val="tx1"/>
            </w14:solidFill>
          </w14:textFill>
        </w:rPr>
        <w:sectPr>
          <w:footerReference r:id="rId7" w:type="default"/>
          <w:footerReference r:id="rId8" w:type="even"/>
          <w:pgSz w:w="11907" w:h="16840"/>
          <w:pgMar w:top="1440" w:right="1247" w:bottom="1440" w:left="1247" w:header="851" w:footer="992" w:gutter="0"/>
          <w:pgNumType w:fmt="decimal"/>
          <w:cols w:space="425" w:num="1"/>
          <w:docGrid w:linePitch="303" w:charSpace="0"/>
        </w:sectPr>
      </w:pPr>
      <w:r>
        <w:rPr>
          <w:rFonts w:hint="eastAsia" w:ascii="宋体" w:hAnsi="宋体"/>
          <w:b/>
          <w:bCs/>
          <w:color w:val="000000" w:themeColor="text1"/>
          <w:sz w:val="28"/>
          <w:szCs w:val="32"/>
          <w14:textFill>
            <w14:solidFill>
              <w14:schemeClr w14:val="tx1"/>
            </w14:solidFill>
          </w14:textFill>
        </w:rPr>
        <w:t>九．投标人认为需提供的其他资料</w:t>
      </w:r>
      <w:r>
        <w:rPr>
          <w:rFonts w:hint="eastAsia"/>
          <w:sz w:val="24"/>
          <w:szCs w:val="24"/>
        </w:rPr>
        <w:t>（</w:t>
      </w:r>
      <w:r>
        <w:rPr>
          <w:rFonts w:hint="eastAsia" w:hAnsi="宋体" w:cs="宋体"/>
          <w:sz w:val="24"/>
          <w:szCs w:val="24"/>
        </w:rPr>
        <w:t>本项目无要求，可提供参考。</w:t>
      </w:r>
      <w:r>
        <w:rPr>
          <w:rFonts w:hint="eastAsia"/>
          <w:sz w:val="24"/>
          <w:szCs w:val="24"/>
        </w:rPr>
        <w:t>）</w:t>
      </w:r>
    </w:p>
    <w:bookmarkEnd w:id="22"/>
    <w:bookmarkEnd w:id="23"/>
    <w:bookmarkEnd w:id="32"/>
    <w:bookmarkEnd w:id="33"/>
    <w:p>
      <w:pPr>
        <w:spacing w:line="520" w:lineRule="exact"/>
        <w:rPr>
          <w:rFonts w:ascii="方正小标宋简体" w:hAnsi="宋体" w:eastAsia="方正小标宋简体"/>
          <w:bCs/>
          <w:sz w:val="44"/>
          <w:szCs w:val="44"/>
        </w:rPr>
      </w:pPr>
      <w:bookmarkStart w:id="36" w:name="_Toc2404"/>
      <w:bookmarkStart w:id="37" w:name="_Toc13610"/>
      <w:bookmarkStart w:id="38" w:name="_Toc5621"/>
      <w:bookmarkStart w:id="39" w:name="_Toc13124"/>
    </w:p>
    <w:p>
      <w:pPr>
        <w:spacing w:line="540" w:lineRule="exact"/>
        <w:jc w:val="center"/>
        <w:rPr>
          <w:rFonts w:ascii="黑体" w:hAnsi="黑体" w:eastAsia="黑体"/>
          <w:b/>
          <w:color w:val="333333"/>
          <w:kern w:val="0"/>
          <w:sz w:val="44"/>
          <w:szCs w:val="44"/>
        </w:rPr>
      </w:pPr>
      <w:r>
        <w:rPr>
          <w:rFonts w:hint="eastAsia" w:ascii="黑体" w:hAnsi="黑体" w:eastAsia="黑体"/>
          <w:b/>
          <w:color w:val="333333"/>
          <w:kern w:val="0"/>
          <w:sz w:val="44"/>
          <w:szCs w:val="44"/>
        </w:rPr>
        <w:t>采购合同</w:t>
      </w:r>
    </w:p>
    <w:p>
      <w:pPr>
        <w:adjustRightInd w:val="0"/>
        <w:snapToGrid w:val="0"/>
        <w:rPr>
          <w:rFonts w:ascii="仿宋_GB2312" w:hAnsi="宋体" w:eastAsia="仿宋_GB2312"/>
          <w:b/>
          <w:bCs/>
          <w:color w:val="000000"/>
          <w:sz w:val="13"/>
          <w:szCs w:val="13"/>
        </w:rPr>
      </w:pPr>
    </w:p>
    <w:p>
      <w:pPr>
        <w:adjustRightInd w:val="0"/>
        <w:snapToGrid w:val="0"/>
        <w:spacing w:line="520" w:lineRule="exact"/>
        <w:ind w:firstLine="482" w:firstLineChars="200"/>
        <w:rPr>
          <w:rFonts w:ascii="仿宋_GB2312" w:hAnsi="宋体" w:eastAsia="仿宋_GB2312"/>
          <w:b/>
          <w:bCs/>
          <w:color w:val="000000"/>
          <w:sz w:val="24"/>
        </w:rPr>
      </w:pPr>
      <w:bookmarkStart w:id="40" w:name="_Hlk47980575"/>
      <w:r>
        <w:rPr>
          <w:rFonts w:hint="eastAsia" w:ascii="仿宋_GB2312" w:hAnsi="宋体" w:eastAsia="仿宋_GB2312"/>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ascii="仿宋_GB2312" w:hAnsi="宋体" w:eastAsia="仿宋_GB2312"/>
          <w:color w:val="000000"/>
          <w:sz w:val="24"/>
        </w:rPr>
        <w:t xml:space="preserve"> </w:t>
      </w:r>
    </w:p>
    <w:p>
      <w:pPr>
        <w:adjustRightInd w:val="0"/>
        <w:snapToGrid w:val="0"/>
        <w:spacing w:line="520" w:lineRule="exact"/>
        <w:ind w:firstLine="480" w:firstLineChars="200"/>
        <w:rPr>
          <w:rFonts w:ascii="仿宋_GB2312" w:hAnsi="宋体" w:eastAsia="仿宋_GB2312"/>
          <w:b/>
          <w:bCs/>
          <w:color w:val="000000"/>
          <w:sz w:val="24"/>
        </w:rPr>
      </w:pPr>
      <w:r>
        <w:rPr>
          <w:rFonts w:hint="eastAsia" w:ascii="仿宋_GB2312" w:hAnsi="宋体" w:eastAsia="仿宋_GB2312"/>
          <w:color w:val="000000"/>
          <w:sz w:val="24"/>
        </w:rPr>
        <w:t>电话：0551-62266666</w:t>
      </w:r>
    </w:p>
    <w:p>
      <w:pPr>
        <w:adjustRightInd w:val="0"/>
        <w:snapToGrid w:val="0"/>
        <w:rPr>
          <w:rFonts w:ascii="仿宋_GB2312" w:hAnsi="宋体" w:eastAsia="仿宋_GB2312"/>
          <w:b/>
          <w:bCs/>
          <w:color w:val="000000"/>
          <w:sz w:val="13"/>
          <w:szCs w:val="13"/>
        </w:rPr>
      </w:pPr>
    </w:p>
    <w:bookmarkEnd w:id="40"/>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供方（以下简称乙方）：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法定代表人：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联系人：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eastAsia="仿宋_GB2312" w:hAnsiTheme="minorEastAsia" w:cstheme="minorEastAsia"/>
          <w:color w:val="000000" w:themeColor="text1"/>
          <w:sz w:val="24"/>
          <w:szCs w:val="24"/>
          <w14:textFill>
            <w14:solidFill>
              <w14:schemeClr w14:val="tx1"/>
            </w14:solidFill>
          </w14:textFill>
        </w:rPr>
        <w:t>根据《中华人民共和国民法典</w:t>
      </w:r>
      <w:r>
        <w:rPr>
          <w:rFonts w:hint="eastAsia" w:ascii="仿宋_GB2312" w:hAnsi="宋体" w:eastAsia="仿宋_GB2312"/>
          <w:color w:val="000000"/>
          <w:sz w:val="24"/>
          <w:szCs w:val="24"/>
        </w:rPr>
        <w:t>》及其他有关法律、行政法规，遵循平等、自愿、公平和诚实信用的原则，双方经协商，就【</w:t>
      </w:r>
      <w:r>
        <w:rPr>
          <w:rFonts w:hint="eastAsia" w:ascii="仿宋_GB2312" w:hAnsi="宋体" w:eastAsia="仿宋_GB2312"/>
          <w:color w:val="000000"/>
          <w:sz w:val="24"/>
          <w:szCs w:val="24"/>
          <w:lang w:val="en-US" w:eastAsia="zh-CN"/>
        </w:rPr>
        <w:t xml:space="preserve">  </w:t>
      </w:r>
      <w:r>
        <w:rPr>
          <w:rFonts w:hint="eastAsia" w:ascii="仿宋_GB2312" w:hAnsi="宋体" w:eastAsia="仿宋_GB2312"/>
          <w:color w:val="000000"/>
          <w:sz w:val="24"/>
          <w:szCs w:val="24"/>
        </w:rPr>
        <w:t>】供货事项协商一致，订立本合同。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第一条 甲乙双方的交易程序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1.1本合同生效后，乙方即为甲方选定合格供应商。甲乙双方的其他各项交易条件均按本合同规定的内容执行。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1.2在合同有效期内，甲乙双方</w:t>
      </w:r>
      <w:r>
        <w:rPr>
          <w:rFonts w:hint="eastAsia" w:ascii="仿宋_GB2312" w:hAnsi="宋体" w:eastAsia="仿宋_GB2312"/>
          <w:color w:val="000000"/>
          <w:sz w:val="24"/>
          <w:szCs w:val="24"/>
          <w:lang w:val="en-US" w:eastAsia="zh-CN"/>
        </w:rPr>
        <w:t>按照本协议附件《  》</w:t>
      </w:r>
      <w:r>
        <w:rPr>
          <w:rFonts w:hint="eastAsia" w:ascii="仿宋_GB2312" w:hAnsi="宋体" w:eastAsia="仿宋_GB2312"/>
          <w:color w:val="000000"/>
          <w:sz w:val="24"/>
          <w:szCs w:val="24"/>
        </w:rPr>
        <w:t>的</w:t>
      </w:r>
      <w:r>
        <w:rPr>
          <w:rFonts w:hint="eastAsia" w:ascii="仿宋_GB2312" w:hAnsi="宋体" w:eastAsia="仿宋_GB2312"/>
          <w:color w:val="000000"/>
          <w:sz w:val="24"/>
          <w:szCs w:val="24"/>
          <w:lang w:val="en-US" w:eastAsia="zh-CN"/>
        </w:rPr>
        <w:t>单价</w:t>
      </w:r>
      <w:r>
        <w:rPr>
          <w:rFonts w:hint="eastAsia" w:ascii="仿宋_GB2312" w:hAnsi="宋体" w:eastAsia="仿宋_GB2312"/>
          <w:color w:val="000000"/>
          <w:sz w:val="24"/>
          <w:szCs w:val="24"/>
        </w:rPr>
        <w:t>执行，乙方如需调整商品价格，应至少提前两天书面通知甲方，经甲方书面同意后方可执行。新价格执行之前，甲方仍按原商定价格向乙方付款。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甲方根据当天经营需求向乙方发出订单，采购订单注明商品的名称、品牌、规格、计量单位、数量、质量、送货时间和交货地点。乙方按甲方要求要求于约定时间内送货至指定地点，以满足甲方的经营需要。甲方指定人员对商品的数量进行验收。乙方供货完全符合甲方要求并验收合格的，双方在订单上签字确认，部分不符合约定的，在订单上注明。对甲方提出的质量问题，乙方承诺给予调换或退货。甲方可以根据实际情况对订单进行修改或取消。最终确认的订单为每月供货清单的有效组成部分。但甲方的初验并不免除乙方因提供产品的内在质量问题或有其它质量瑕疵而应承担的责任，乙方必须对提供产品的质量负责，凡因存在质量问题而使甲方或任何第三人受到损失的，均由乙方承担赔偿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14:textFill>
            <w14:solidFill>
              <w14:schemeClr w14:val="tx1"/>
            </w14:solidFill>
          </w14:textFill>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第二条 商品相关约定条款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2.1商品的数量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购销商品的数量、规格及计量单位以甲方向乙方发出的订单为准</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商品由乙方负责运输至甲方指定交货地点</w:t>
      </w:r>
      <w:r>
        <w:rPr>
          <w:rFonts w:hint="eastAsia" w:ascii="仿宋_GB2312" w:hAnsi="宋体" w:eastAsia="仿宋_GB2312"/>
          <w:color w:val="000000"/>
          <w:sz w:val="24"/>
          <w:szCs w:val="24"/>
        </w:rPr>
        <w:t>，乙方非经甲方同意不得多交货或少交货，也不能分批交货；对于不符合订单数量的商品，甲方有权</w:t>
      </w:r>
      <w:r>
        <w:rPr>
          <w:rFonts w:hint="eastAsia" w:ascii="仿宋_GB2312" w:hAnsi="宋体" w:eastAsia="仿宋_GB2312"/>
          <w:color w:val="000000"/>
          <w:sz w:val="24"/>
          <w:szCs w:val="24"/>
          <w:lang w:val="en-US" w:eastAsia="zh-CN"/>
        </w:rPr>
        <w:t>全部或部分</w:t>
      </w:r>
      <w:r>
        <w:rPr>
          <w:rFonts w:hint="eastAsia" w:ascii="仿宋_GB2312" w:hAnsi="宋体" w:eastAsia="仿宋_GB2312"/>
          <w:color w:val="000000"/>
          <w:sz w:val="24"/>
          <w:szCs w:val="24"/>
        </w:rPr>
        <w:t>拒收。</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2.2商品的价格</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2.2.1商品的价格以</w:t>
      </w:r>
      <w:r>
        <w:rPr>
          <w:rFonts w:hint="eastAsia" w:ascii="仿宋_GB2312" w:hAnsi="宋体" w:eastAsia="仿宋_GB2312"/>
          <w:color w:val="000000"/>
          <w:sz w:val="24"/>
          <w:szCs w:val="24"/>
          <w:lang w:val="en-US" w:eastAsia="zh-CN"/>
        </w:rPr>
        <w:t>本协议附件《  》</w:t>
      </w:r>
      <w:r>
        <w:rPr>
          <w:rFonts w:hint="eastAsia" w:ascii="仿宋_GB2312" w:hAnsi="宋体" w:eastAsia="仿宋_GB2312"/>
          <w:color w:val="000000"/>
          <w:sz w:val="24"/>
          <w:szCs w:val="24"/>
        </w:rPr>
        <w:t>的价格为准，</w:t>
      </w:r>
      <w:r>
        <w:rPr>
          <w:rFonts w:hint="eastAsia" w:ascii="仿宋_GB2312" w:hAnsi="宋体" w:eastAsia="仿宋_GB2312"/>
          <w:color w:val="000000"/>
          <w:sz w:val="24"/>
          <w:szCs w:val="24"/>
          <w:lang w:val="en-US" w:eastAsia="zh-CN"/>
        </w:rPr>
        <w:t>该</w:t>
      </w:r>
      <w:r>
        <w:rPr>
          <w:rFonts w:hint="eastAsia" w:ascii="仿宋_GB2312" w:hAnsi="宋体" w:eastAsia="仿宋_GB2312"/>
          <w:color w:val="000000"/>
          <w:sz w:val="24"/>
          <w:szCs w:val="24"/>
        </w:rPr>
        <w:t>价格作为最终的结算价。商品的价格</w:t>
      </w:r>
      <w:r>
        <w:rPr>
          <w:rFonts w:hint="eastAsia" w:ascii="仿宋_GB2312" w:hAnsi="宋体" w:eastAsia="仿宋_GB2312"/>
          <w:color w:val="000000"/>
          <w:sz w:val="24"/>
          <w:szCs w:val="24"/>
          <w:lang w:val="en-US" w:eastAsia="zh-CN"/>
        </w:rPr>
        <w:t>是</w:t>
      </w:r>
      <w:r>
        <w:rPr>
          <w:rFonts w:hint="eastAsia" w:ascii="仿宋_GB2312" w:hAnsi="宋体" w:eastAsia="仿宋_GB2312"/>
          <w:color w:val="000000"/>
          <w:sz w:val="24"/>
          <w:szCs w:val="24"/>
        </w:rPr>
        <w:t>包括一切税金及费用在内的到货价。</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2.2.2甲乙双方的每一笔买卖交易价格均包含该笔商品的运输费和装卸费。</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2.3乙方应承担的商品质量瑕疵担保责任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2.3.1乙方应保证其供应的商品符合中华人民共和国法律、法规、部门规章、地方法规、行政命令、各行业规范的规定及甲方要求，以上标准不一致的，以较高者为准。乙方按甲方备货单要求交货前，应提供能确认该批次商品质量合格的检验报告，并将下列证件及其他一切必要的文件随之一并交付甲方：</w:t>
      </w:r>
    </w:p>
    <w:p>
      <w:pPr>
        <w:adjustRightInd w:val="0"/>
        <w:snapToGrid w:val="0"/>
        <w:spacing w:line="520" w:lineRule="exact"/>
        <w:rPr>
          <w:rFonts w:ascii="仿宋_GB2312" w:hAnsi="宋体" w:eastAsia="仿宋_GB2312"/>
          <w:color w:val="000000"/>
          <w:sz w:val="24"/>
          <w:szCs w:val="24"/>
        </w:rPr>
      </w:pPr>
      <w:r>
        <w:rPr>
          <w:rFonts w:hint="eastAsia" w:ascii="仿宋_GB2312" w:hAnsi="宋体" w:eastAsia="仿宋_GB2312"/>
          <w:color w:val="000000"/>
          <w:sz w:val="24"/>
          <w:szCs w:val="24"/>
        </w:rPr>
        <w:t xml:space="preserve"> □营业执照及税务登记证 □质量检测报告(检验检疫证明) □卫生许可证或食品流通许可证</w:t>
      </w:r>
    </w:p>
    <w:p>
      <w:pPr>
        <w:adjustRightInd w:val="0"/>
        <w:snapToGrid w:val="0"/>
        <w:spacing w:line="520" w:lineRule="exact"/>
        <w:rPr>
          <w:rFonts w:ascii="仿宋_GB2312" w:hAnsi="宋体" w:eastAsia="仿宋_GB2312"/>
          <w:color w:val="000000"/>
          <w:sz w:val="24"/>
          <w:szCs w:val="24"/>
        </w:rPr>
      </w:pPr>
      <w:r>
        <w:rPr>
          <w:rFonts w:hint="eastAsia" w:ascii="仿宋_GB2312" w:hAnsi="宋体" w:eastAsia="仿宋_GB2312"/>
          <w:color w:val="000000"/>
          <w:sz w:val="24"/>
          <w:szCs w:val="24"/>
        </w:rPr>
        <w:t xml:space="preserve"> □关税证明</w:t>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 xml:space="preserve">   □进口检验检疫证书       □商标使用许可证明</w:t>
      </w:r>
    </w:p>
    <w:p>
      <w:pPr>
        <w:adjustRightInd w:val="0"/>
        <w:snapToGrid w:val="0"/>
        <w:spacing w:line="520" w:lineRule="exact"/>
        <w:rPr>
          <w:rFonts w:ascii="仿宋_GB2312" w:hAnsi="宋体" w:eastAsia="仿宋_GB2312"/>
          <w:color w:val="000000"/>
          <w:sz w:val="24"/>
          <w:szCs w:val="24"/>
        </w:rPr>
      </w:pPr>
      <w:r>
        <w:rPr>
          <w:rFonts w:hint="eastAsia" w:ascii="仿宋_GB2312" w:hAnsi="宋体" w:eastAsia="仿宋_GB2312"/>
          <w:color w:val="000000"/>
          <w:sz w:val="24"/>
          <w:szCs w:val="24"/>
        </w:rPr>
        <w:t>□专利证</w:t>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 xml:space="preserve">       □报关单</w:t>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ab/>
      </w:r>
      <w:r>
        <w:rPr>
          <w:rFonts w:hint="eastAsia" w:ascii="仿宋_GB2312" w:hAnsi="宋体" w:eastAsia="仿宋_GB2312"/>
          <w:color w:val="000000"/>
          <w:sz w:val="24"/>
          <w:szCs w:val="24"/>
        </w:rPr>
        <w:t>□中国企业代理证书（副本）</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2.3.2如甲方发现交付的商品缺乏上述证明文件或证明文件与商品不符或商品质量不合格的，甲方有权拒收货物或退货，由此产生的退货费用</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包括货物价款、运输费、装卸费、包装费等全部费用</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由乙方承担。</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2.3.3乙方不得提供假冒伪劣商品或已临近失效期（或保鲜期）及超过保质期、保鲜期的商品给甲方</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不得</w:t>
      </w:r>
      <w:r>
        <w:rPr>
          <w:rFonts w:hint="eastAsia" w:ascii="仿宋_GB2312" w:hAnsi="宋体" w:eastAsia="仿宋_GB2312"/>
          <w:color w:val="000000"/>
          <w:sz w:val="24"/>
          <w:szCs w:val="24"/>
        </w:rPr>
        <w:t>以假充真，以次充好，</w:t>
      </w:r>
      <w:r>
        <w:rPr>
          <w:rFonts w:hint="eastAsia" w:ascii="仿宋_GB2312" w:hAnsi="宋体" w:eastAsia="仿宋_GB2312"/>
          <w:color w:val="000000"/>
          <w:sz w:val="24"/>
          <w:szCs w:val="24"/>
          <w:lang w:val="en-US" w:eastAsia="zh-CN"/>
        </w:rPr>
        <w:t>否则</w:t>
      </w:r>
      <w:r>
        <w:rPr>
          <w:rFonts w:hint="eastAsia" w:ascii="仿宋_GB2312" w:hAnsi="宋体" w:eastAsia="仿宋_GB2312"/>
          <w:color w:val="000000"/>
          <w:sz w:val="24"/>
          <w:szCs w:val="24"/>
        </w:rPr>
        <w:t>甲方有权拒收，</w:t>
      </w:r>
      <w:r>
        <w:rPr>
          <w:rFonts w:hint="eastAsia" w:ascii="仿宋_GB2312" w:hAnsi="宋体" w:eastAsia="仿宋_GB2312"/>
          <w:color w:val="000000"/>
          <w:sz w:val="24"/>
          <w:szCs w:val="24"/>
          <w:lang w:val="en-US" w:eastAsia="zh-CN"/>
        </w:rPr>
        <w:t>并</w:t>
      </w:r>
      <w:r>
        <w:rPr>
          <w:rFonts w:hint="eastAsia" w:ascii="仿宋_GB2312" w:hAnsi="宋体" w:eastAsia="仿宋_GB2312"/>
          <w:color w:val="000000"/>
          <w:sz w:val="24"/>
          <w:szCs w:val="24"/>
        </w:rPr>
        <w:t>有权按</w:t>
      </w:r>
      <w:r>
        <w:rPr>
          <w:rFonts w:hint="eastAsia" w:ascii="仿宋_GB2312" w:hAnsi="宋体" w:eastAsia="仿宋_GB2312"/>
          <w:color w:val="000000"/>
          <w:sz w:val="24"/>
          <w:szCs w:val="24"/>
          <w:lang w:val="en-US" w:eastAsia="zh-CN"/>
        </w:rPr>
        <w:t>本合同第2.7.2条的约定</w:t>
      </w:r>
      <w:r>
        <w:rPr>
          <w:rFonts w:hint="eastAsia" w:ascii="仿宋_GB2312" w:hAnsi="宋体" w:eastAsia="仿宋_GB2312"/>
          <w:color w:val="000000"/>
          <w:sz w:val="24"/>
          <w:szCs w:val="24"/>
        </w:rPr>
        <w:t>执行。如因</w:t>
      </w:r>
      <w:r>
        <w:rPr>
          <w:rFonts w:hint="eastAsia" w:ascii="仿宋_GB2312" w:hAnsi="宋体" w:eastAsia="仿宋_GB2312"/>
          <w:color w:val="000000"/>
          <w:sz w:val="24"/>
          <w:szCs w:val="24"/>
          <w:lang w:val="en-US" w:eastAsia="zh-CN"/>
        </w:rPr>
        <w:t>前述</w:t>
      </w:r>
      <w:r>
        <w:rPr>
          <w:rFonts w:hint="eastAsia" w:ascii="仿宋_GB2312" w:hAnsi="宋体" w:eastAsia="仿宋_GB2312"/>
          <w:color w:val="000000"/>
          <w:sz w:val="24"/>
          <w:szCs w:val="24"/>
        </w:rPr>
        <w:t>问题而</w:t>
      </w:r>
      <w:r>
        <w:rPr>
          <w:rFonts w:hint="eastAsia" w:ascii="仿宋_GB2312" w:hAnsi="宋体" w:eastAsia="仿宋_GB2312"/>
          <w:color w:val="000000"/>
          <w:sz w:val="24"/>
          <w:szCs w:val="24"/>
          <w:lang w:val="en-US" w:eastAsia="zh-CN"/>
        </w:rPr>
        <w:t>导致</w:t>
      </w:r>
      <w:r>
        <w:rPr>
          <w:rFonts w:hint="eastAsia" w:ascii="仿宋_GB2312" w:hAnsi="宋体" w:eastAsia="仿宋_GB2312"/>
          <w:color w:val="000000"/>
          <w:sz w:val="24"/>
          <w:szCs w:val="24"/>
        </w:rPr>
        <w:t>甲方被消费者投诉、索赔或</w:t>
      </w:r>
      <w:r>
        <w:rPr>
          <w:rFonts w:hint="eastAsia" w:ascii="仿宋_GB2312" w:hAnsi="宋体" w:eastAsia="仿宋_GB2312"/>
          <w:color w:val="000000"/>
          <w:sz w:val="24"/>
          <w:szCs w:val="24"/>
          <w:lang w:val="en-US" w:eastAsia="zh-CN"/>
        </w:rPr>
        <w:t>提起诉讼</w:t>
      </w:r>
      <w:r>
        <w:rPr>
          <w:rFonts w:hint="eastAsia" w:ascii="仿宋_GB2312" w:hAnsi="宋体" w:eastAsia="仿宋_GB2312"/>
          <w:color w:val="000000"/>
          <w:sz w:val="24"/>
          <w:szCs w:val="24"/>
        </w:rPr>
        <w:t>，由此导致应由甲方承担包括诉讼费、律师费</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鉴定费、保全费等</w:t>
      </w:r>
      <w:r>
        <w:rPr>
          <w:rFonts w:hint="eastAsia" w:ascii="仿宋_GB2312" w:hAnsi="宋体" w:eastAsia="仿宋_GB2312"/>
          <w:color w:val="000000"/>
          <w:sz w:val="24"/>
          <w:szCs w:val="24"/>
        </w:rPr>
        <w:t>在内的一切经济损失、商誉损失及其它任何损失，均由乙方向甲方及其消费者赔偿，并且甲方享有</w:t>
      </w:r>
      <w:r>
        <w:rPr>
          <w:rFonts w:hint="eastAsia" w:ascii="仿宋_GB2312" w:hAnsi="宋体" w:eastAsia="仿宋_GB2312"/>
          <w:color w:val="000000"/>
          <w:sz w:val="24"/>
          <w:szCs w:val="24"/>
          <w:lang w:val="en-US" w:eastAsia="zh-CN"/>
        </w:rPr>
        <w:t>向乙方</w:t>
      </w:r>
      <w:r>
        <w:rPr>
          <w:rFonts w:hint="eastAsia" w:ascii="仿宋_GB2312" w:hAnsi="宋体" w:eastAsia="仿宋_GB2312"/>
          <w:color w:val="000000"/>
          <w:sz w:val="24"/>
          <w:szCs w:val="24"/>
        </w:rPr>
        <w:t>追索赔偿的权利，乙方按该批物品进货金额的10倍承担违约金。</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2.3.4乙方不得因市场调价或自身经营原因，以断货理由调换或拒绝送交甲方要求的产品，一经甲方在市场购买到该产品，乙方须双倍承担由此带来的差价费用及运输费用。</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2.3.5乙方必须对甲方承担商品售后服务责任。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2.3.6因乙方违约造成甲方损失的，乙方还应赔偿甲方为维护自身合法权益而支出的包括但不限于诉讼费、律师费、保全费、担保费、差旅费、文印费、诉讼保全保险费等一切支出。</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2.4商品的包装</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2.4.1商品的包装应符合国家的规定或双方的约定，并确保商品安全、卫生后，才交甲方使用。</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2.4.2商品的包装之标识应符合中华人民共和国法律、法规等对有关标的说明、产地、原材料、用途、警语、保质期及保质条件等之规定，否则甲方有权拒收。甲方因乙方产品被消费者投诉、索赔或涉诉的，乙方应</w:t>
      </w:r>
      <w:r>
        <w:rPr>
          <w:rFonts w:hint="eastAsia" w:ascii="仿宋_GB2312" w:hAnsi="宋体" w:eastAsia="仿宋_GB2312"/>
          <w:color w:val="000000"/>
          <w:sz w:val="24"/>
          <w:szCs w:val="24"/>
          <w:lang w:val="en-US" w:eastAsia="zh-CN"/>
        </w:rPr>
        <w:t>赔偿</w:t>
      </w:r>
      <w:r>
        <w:rPr>
          <w:rFonts w:hint="eastAsia" w:ascii="仿宋_GB2312" w:hAnsi="宋体" w:eastAsia="仿宋_GB2312"/>
          <w:color w:val="000000"/>
          <w:sz w:val="24"/>
          <w:szCs w:val="24"/>
        </w:rPr>
        <w:t>甲方的经济损失、商誉损失及其它任何损失。甲方向消费者承担责任或被政府部门行政处罚的，有权要求乙方赔偿损失。</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2.4.3商品的包装费用由乙方负担。</w:t>
      </w:r>
    </w:p>
    <w:p>
      <w:pPr>
        <w:adjustRightInd w:val="0"/>
        <w:snapToGrid w:val="0"/>
        <w:spacing w:line="520" w:lineRule="exact"/>
        <w:rPr>
          <w:rFonts w:ascii="仿宋_GB2312" w:hAnsi="宋体" w:eastAsia="仿宋_GB2312"/>
          <w:color w:val="000000"/>
          <w:sz w:val="24"/>
          <w:szCs w:val="24"/>
        </w:rPr>
      </w:pPr>
      <w:r>
        <w:rPr>
          <w:rFonts w:hint="eastAsia" w:ascii="仿宋_GB2312" w:hAnsi="宋体" w:eastAsia="仿宋_GB2312"/>
          <w:color w:val="000000"/>
          <w:sz w:val="24"/>
          <w:szCs w:val="24"/>
        </w:rPr>
        <w:t xml:space="preserve">    2.5商品的卫生标准及送货要求必须符合甲方相关规定。</w:t>
      </w:r>
    </w:p>
    <w:p>
      <w:pPr>
        <w:adjustRightInd w:val="0"/>
        <w:snapToGrid w:val="0"/>
        <w:spacing w:line="520" w:lineRule="exact"/>
        <w:rPr>
          <w:rFonts w:ascii="仿宋_GB2312" w:hAnsi="宋体" w:eastAsia="仿宋_GB2312"/>
          <w:color w:val="000000"/>
          <w:sz w:val="24"/>
          <w:szCs w:val="24"/>
        </w:rPr>
      </w:pPr>
      <w:r>
        <w:rPr>
          <w:rFonts w:hint="eastAsia" w:ascii="仿宋_GB2312" w:hAnsi="宋体" w:eastAsia="仿宋_GB2312"/>
          <w:color w:val="000000"/>
          <w:sz w:val="24"/>
          <w:szCs w:val="24"/>
        </w:rPr>
        <w:t xml:space="preserve">    2.6商品的发票</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2.6.1乙方应依据中华人民共和国</w:t>
      </w:r>
      <w:r>
        <w:rPr>
          <w:rFonts w:hint="eastAsia" w:ascii="仿宋_GB2312" w:hAnsi="宋体" w:eastAsia="仿宋_GB2312"/>
          <w:color w:val="000000"/>
          <w:sz w:val="24"/>
          <w:szCs w:val="24"/>
          <w:lang w:val="en-US" w:eastAsia="zh-CN"/>
        </w:rPr>
        <w:t>境内关于税务的法律、法规、司法解释</w:t>
      </w:r>
      <w:r>
        <w:rPr>
          <w:rFonts w:hint="eastAsia" w:ascii="仿宋_GB2312" w:hAnsi="宋体" w:eastAsia="仿宋_GB2312"/>
          <w:color w:val="000000"/>
          <w:sz w:val="24"/>
          <w:szCs w:val="24"/>
        </w:rPr>
        <w:t>的规定，在甲方要求的时间内，开</w:t>
      </w:r>
      <w:r>
        <w:rPr>
          <w:rFonts w:hint="eastAsia" w:ascii="仿宋_GB2312" w:hAnsi="宋体" w:eastAsia="仿宋_GB2312"/>
          <w:color w:val="000000"/>
          <w:sz w:val="24"/>
          <w:szCs w:val="24"/>
          <w:highlight w:val="none"/>
        </w:rPr>
        <w:t>具</w:t>
      </w:r>
      <w:r>
        <w:rPr>
          <w:rFonts w:hint="eastAsia" w:ascii="仿宋_GB2312" w:hAnsi="宋体" w:eastAsia="仿宋_GB2312"/>
          <w:color w:val="000000"/>
          <w:sz w:val="24"/>
          <w:szCs w:val="24"/>
          <w:highlight w:val="none"/>
          <w:u w:val="single"/>
          <w:lang w:val="en-US" w:eastAsia="zh-CN"/>
        </w:rPr>
        <w:t xml:space="preserve">  </w:t>
      </w:r>
      <w:r>
        <w:rPr>
          <w:rFonts w:hint="eastAsia" w:ascii="仿宋_GB2312" w:hAnsi="宋体" w:eastAsia="仿宋_GB2312"/>
          <w:sz w:val="24"/>
          <w:szCs w:val="24"/>
          <w:highlight w:val="none"/>
          <w:u w:val="single"/>
        </w:rPr>
        <w:t>%</w:t>
      </w:r>
      <w:r>
        <w:rPr>
          <w:rFonts w:hint="eastAsia" w:ascii="仿宋_GB2312" w:hAnsi="宋体" w:eastAsia="仿宋_GB2312"/>
          <w:color w:val="000000"/>
          <w:sz w:val="24"/>
          <w:szCs w:val="24"/>
          <w:highlight w:val="none"/>
        </w:rPr>
        <w:t>的增</w:t>
      </w:r>
      <w:r>
        <w:rPr>
          <w:rFonts w:hint="eastAsia" w:ascii="仿宋_GB2312" w:hAnsi="宋体" w:eastAsia="仿宋_GB2312"/>
          <w:color w:val="000000"/>
          <w:sz w:val="24"/>
          <w:szCs w:val="24"/>
        </w:rPr>
        <w:t>值税专用有效发票，如因乙方提供假发票或虚开发票及与交易事实不符的发票导致甲方蒙受的一切损失均由乙方承担。</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2.6.2乙方开具的发票应直接交到甲方财务部，不得将发票随货交给甲方其他人员。</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2.7商品的交付</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2.7.1乙方不能按订单要求向甲方供货，如交货延迟或货物数量短少的，应按照乙方迟延交付或短少部分货物货值20％的标准支付违约金，并须在甲方规定时间补足未交付的货物，如乙方未按甲方要求补足货物的，每逾一日，还应承担延交付货物货值1%的违约金。</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2.7.2乙方交付的货物质量不符合双方约定或国家现行质量标准或行业标准，甲方有权退货并提前解除本合同。乙方应按</w:t>
      </w:r>
      <w:r>
        <w:rPr>
          <w:rFonts w:hint="eastAsia" w:ascii="仿宋_GB2312" w:hAnsi="宋体" w:eastAsia="仿宋_GB2312"/>
          <w:color w:val="000000"/>
          <w:sz w:val="24"/>
          <w:szCs w:val="24"/>
          <w:lang w:val="en-US" w:eastAsia="zh-CN"/>
        </w:rPr>
        <w:t>该批</w:t>
      </w:r>
      <w:r>
        <w:rPr>
          <w:rFonts w:hint="eastAsia" w:ascii="仿宋_GB2312" w:hAnsi="宋体" w:eastAsia="仿宋_GB2312"/>
          <w:color w:val="000000"/>
          <w:sz w:val="24"/>
          <w:szCs w:val="24"/>
        </w:rPr>
        <w:t>假冒伪劣商品或</w:t>
      </w:r>
      <w:r>
        <w:rPr>
          <w:rFonts w:hint="eastAsia" w:ascii="仿宋_GB2312" w:hAnsi="宋体" w:eastAsia="仿宋_GB2312"/>
          <w:color w:val="000000"/>
          <w:sz w:val="24"/>
          <w:szCs w:val="24"/>
          <w:lang w:val="en-US" w:eastAsia="zh-CN"/>
        </w:rPr>
        <w:t>存在产品质量问题的商品的购销</w:t>
      </w:r>
      <w:r>
        <w:rPr>
          <w:rFonts w:hint="eastAsia" w:ascii="仿宋_GB2312" w:hAnsi="宋体" w:eastAsia="仿宋_GB2312"/>
          <w:color w:val="000000"/>
          <w:sz w:val="24"/>
          <w:szCs w:val="24"/>
        </w:rPr>
        <w:t>金额</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以本合同第1.2条约定的单价为标准计算</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的20%向甲方支付违约金，并赔偿由此给甲方造成的损失。</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14:textFill>
            <w14:solidFill>
              <w14:schemeClr w14:val="tx1"/>
            </w14:solidFill>
          </w14:textFill>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第三条 结算条款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3.1本合同根据日常供货数量，据实结算。每月15日之前，甲乙方双方必须对上个月的供货清单</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供货数量及货款金额</w:t>
      </w:r>
      <w:r>
        <w:rPr>
          <w:rFonts w:hint="eastAsia" w:ascii="仿宋_GB2312" w:hAnsi="宋体" w:eastAsia="仿宋_GB2312"/>
          <w:color w:val="000000"/>
          <w:sz w:val="24"/>
          <w:szCs w:val="24"/>
        </w:rPr>
        <w:t>进行核对，并经甲方在供货清单的对帐表上签字确认后，甲方采取隔月付款的方式支付货款额。如202</w:t>
      </w: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年01月货款，20</w:t>
      </w:r>
      <w:r>
        <w:rPr>
          <w:rFonts w:hint="eastAsia" w:ascii="仿宋_GB2312" w:hAnsi="宋体" w:eastAsia="仿宋_GB2312"/>
          <w:color w:val="000000"/>
          <w:sz w:val="24"/>
          <w:szCs w:val="24"/>
          <w:lang w:val="en-US" w:eastAsia="zh-CN"/>
        </w:rPr>
        <w:t>23</w:t>
      </w:r>
      <w:r>
        <w:rPr>
          <w:rFonts w:hint="eastAsia" w:ascii="仿宋_GB2312" w:hAnsi="宋体" w:eastAsia="仿宋_GB2312"/>
          <w:color w:val="000000"/>
          <w:sz w:val="24"/>
          <w:szCs w:val="24"/>
        </w:rPr>
        <w:t>年03月给予支付。</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3.2货款支付前，乙方按照甲方审核确认后的金额，开具</w:t>
      </w:r>
      <w:r>
        <w:rPr>
          <w:rFonts w:hint="eastAsia" w:ascii="仿宋_GB2312" w:hAnsi="宋体" w:eastAsia="仿宋_GB2312"/>
          <w:color w:val="000000"/>
          <w:sz w:val="24"/>
          <w:szCs w:val="24"/>
          <w:lang w:val="en-US" w:eastAsia="zh-CN"/>
        </w:rPr>
        <w:t>等额合法</w:t>
      </w:r>
      <w:r>
        <w:rPr>
          <w:rFonts w:hint="eastAsia" w:ascii="仿宋_GB2312" w:hAnsi="宋体" w:eastAsia="仿宋_GB2312"/>
          <w:color w:val="000000"/>
          <w:sz w:val="24"/>
          <w:szCs w:val="24"/>
        </w:rPr>
        <w:t>有效发票，并履行甲方计量支付流程。否则，甲方有权拒绝付款，且不承担违约责任。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3.3乙方指定账户的名称须是乙方单位，开具的发票单位也须是乙方单位。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乙方指定收款账户信息如下：</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账户名称： </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账号：</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开户行：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14:textFill>
            <w14:solidFill>
              <w14:schemeClr w14:val="tx1"/>
            </w14:solidFill>
          </w14:textFill>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第四条 合同期限</w:t>
      </w:r>
    </w:p>
    <w:p>
      <w:pPr>
        <w:adjustRightInd w:val="0"/>
        <w:snapToGrid w:val="0"/>
        <w:spacing w:line="520" w:lineRule="exact"/>
        <w:ind w:firstLine="0" w:firstLineChars="0"/>
        <w:rPr>
          <w:rFonts w:ascii="仿宋_GB2312" w:hAnsi="宋体" w:eastAsia="仿宋_GB2312"/>
          <w:color w:val="000000"/>
          <w:sz w:val="24"/>
          <w:szCs w:val="24"/>
        </w:rPr>
      </w:pPr>
      <w:r>
        <w:rPr>
          <w:rFonts w:hint="eastAsia" w:ascii="仿宋_GB2312" w:hAnsi="宋体" w:eastAsia="仿宋_GB2312"/>
          <w:color w:val="000000"/>
          <w:sz w:val="24"/>
          <w:szCs w:val="24"/>
        </w:rPr>
        <w:t>自【】年【】月【】日起至【】年【】月【】日止。合同期限届满后，如乙方需续约，应在合同期限届满前提前30日向甲方提出书面申请，经双方协商一致后，可另行签订下一年度合同。</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14:textFill>
            <w14:solidFill>
              <w14:schemeClr w14:val="tx1"/>
            </w14:solidFill>
          </w14:textFill>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第五条 合同的终止</w:t>
      </w:r>
      <w:r>
        <w:rPr>
          <w:rFonts w:hint="eastAsia" w:ascii="仿宋_GB2312" w:eastAsia="仿宋_GB2312" w:hAnsiTheme="minorEastAsia" w:cstheme="minorEastAsia"/>
          <w:b/>
          <w:bCs/>
          <w:color w:val="000000" w:themeColor="text1"/>
          <w:sz w:val="24"/>
          <w:szCs w:val="24"/>
          <w:lang w:val="en-US" w:eastAsia="zh-CN"/>
          <w14:textFill>
            <w14:solidFill>
              <w14:schemeClr w14:val="tx1"/>
            </w14:solidFill>
          </w14:textFill>
        </w:rPr>
        <w:t>与解除</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5.1如乙方违反本合同约定的第二条（商品相关约定条款）第3款，甲方有权终止本合同。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5.2乙方若发生任何形式的商业贿赂以及欺诈行为，甲方将停止与乙方的一切合作，并可依法对乙方采取必要措施。</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5.3合同期满，本合同自动终止。若乙方有意续签协议，同等条件下乙方有优先权。若乙方在合同履行过程中存在违约行为，则本条约定的优先权取消。双方协商一致后另行签订新一年度合同。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第六条   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甲方确认的通讯送达地址：</w:t>
      </w:r>
    </w:p>
    <w:p>
      <w:pPr>
        <w:adjustRightInd w:val="0"/>
        <w:snapToGrid w:val="0"/>
        <w:spacing w:line="520" w:lineRule="exact"/>
        <w:ind w:left="3359" w:leftChars="228" w:hanging="2880" w:hangingChars="1200"/>
        <w:rPr>
          <w:rFonts w:hint="eastAsia" w:ascii="仿宋_GB2312" w:hAnsi="宋体" w:eastAsia="仿宋_GB2312"/>
          <w:color w:val="000000"/>
          <w:sz w:val="24"/>
        </w:rPr>
      </w:pPr>
      <w:r>
        <w:rPr>
          <w:rFonts w:hint="eastAsia" w:ascii="仿宋_GB2312" w:hAnsi="宋体" w:eastAsia="仿宋_GB2312"/>
          <w:color w:val="000000"/>
          <w:sz w:val="24"/>
        </w:rPr>
        <w:t>收件人：      联系电话：</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电子邮箱：</w:t>
      </w:r>
    </w:p>
    <w:p>
      <w:pPr>
        <w:adjustRightInd w:val="0"/>
        <w:snapToGrid w:val="0"/>
        <w:spacing w:line="520" w:lineRule="exact"/>
        <w:ind w:left="3359" w:leftChars="228" w:hanging="2880" w:hangingChars="1200"/>
        <w:rPr>
          <w:rFonts w:hint="eastAsia" w:ascii="仿宋_GB2312" w:hAnsi="宋体" w:eastAsia="仿宋_GB2312"/>
          <w:color w:val="000000"/>
          <w:sz w:val="24"/>
          <w:szCs w:val="24"/>
        </w:rPr>
      </w:pPr>
      <w:r>
        <w:rPr>
          <w:rFonts w:hint="eastAsia" w:ascii="仿宋_GB2312" w:hAnsi="宋体" w:eastAsia="仿宋_GB2312"/>
          <w:color w:val="000000"/>
          <w:sz w:val="24"/>
          <w:szCs w:val="24"/>
        </w:rPr>
        <w:t>乙方确认的通讯送达地址：</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收件人：        联系电话：</w:t>
      </w:r>
      <w:r>
        <w:rPr>
          <w:rFonts w:hint="eastAsia" w:ascii="仿宋_GB2312" w:hAnsi="宋体" w:eastAsia="仿宋_GB2312"/>
          <w:color w:val="000000"/>
          <w:sz w:val="24"/>
          <w:szCs w:val="24"/>
          <w:lang w:val="en-US" w:eastAsia="zh-CN"/>
        </w:rPr>
        <w:t xml:space="preserve">   </w:t>
      </w:r>
      <w:r>
        <w:rPr>
          <w:rFonts w:hint="eastAsia" w:ascii="仿宋_GB2312" w:hAnsi="宋体" w:eastAsia="仿宋_GB2312"/>
          <w:color w:val="000000"/>
          <w:sz w:val="24"/>
          <w:szCs w:val="24"/>
        </w:rPr>
        <w:t>电子邮箱：</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乙方未明确送达地址的，则以乙方工商注册地址（乙方系个人的，为身份证地址）为通讯送达地址。双方确认并同意本合同约定的送达地址、电子邮箱亦作为双在诉讼或仲裁及执行等司法程序中的有效送达地址。</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14:textFill>
            <w14:solidFill>
              <w14:schemeClr w14:val="tx1"/>
            </w14:solidFill>
          </w14:textFill>
        </w:rPr>
      </w:pPr>
      <w:r>
        <w:rPr>
          <w:rFonts w:hint="eastAsia" w:ascii="仿宋_GB2312" w:eastAsia="仿宋_GB2312" w:hAnsiTheme="minorEastAsia" w:cstheme="minorEastAsia"/>
          <w:b/>
          <w:bCs/>
          <w:color w:val="000000" w:themeColor="text1"/>
          <w:sz w:val="24"/>
          <w:szCs w:val="24"/>
          <w14:textFill>
            <w14:solidFill>
              <w14:schemeClr w14:val="tx1"/>
            </w14:solidFill>
          </w14:textFill>
        </w:rPr>
        <w:t>第七条 争议的解决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7.1如因履行本合同发生争议，应由甲、乙双方通过协商解决。协商不成，任何一方均有权向甲方所在地人民法院提起诉讼解决。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7.2本合同中任何条款的无效不应影响本合同其他条款的效力，在解决争议的过程中，各方应按本合同所有其他有效条款的约定继续履行本合同。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14:textFill>
            <w14:solidFill>
              <w14:schemeClr w14:val="tx1"/>
            </w14:solidFill>
          </w14:textFill>
        </w:rPr>
        <w:t xml:space="preserve">第八条 其他事项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8.1本合同签订前10日内，乙方应向甲方提供下列证明文件或材料；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8.1.2签字人如为代理人，本合同签字人的授权委托书；</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8.1.3甲方要求提供的其它资料；</w:t>
      </w:r>
    </w:p>
    <w:p>
      <w:pPr>
        <w:adjustRightInd w:val="0"/>
        <w:snapToGrid w:val="0"/>
        <w:spacing w:line="520" w:lineRule="exact"/>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8.2乙方承诺每年供货款总额的2%用于购买甲方产品（如甲方端午礼包、新年礼包、中秋月饼等）</w:t>
      </w:r>
      <w:r>
        <w:rPr>
          <w:rFonts w:hint="eastAsia" w:ascii="仿宋_GB2312" w:hAnsi="宋体" w:eastAsia="仿宋_GB2312" w:cs="Times New Roman"/>
          <w:color w:val="000000"/>
          <w:sz w:val="24"/>
          <w:szCs w:val="24"/>
          <w:lang w:eastAsia="zh-CN"/>
        </w:rPr>
        <w:t>。</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8.3双方一致同意不向传播媒介或公众或第三方透露本合同的内容；</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8.4本合同经甲、乙双方法定代表人或授权代表签</w:t>
      </w:r>
      <w:r>
        <w:rPr>
          <w:rFonts w:hint="eastAsia" w:ascii="仿宋_GB2312" w:hAnsi="宋体" w:eastAsia="仿宋_GB2312"/>
          <w:color w:val="000000"/>
          <w:sz w:val="24"/>
          <w:szCs w:val="24"/>
          <w:lang w:val="en-US" w:eastAsia="zh-CN"/>
        </w:rPr>
        <w:t>名</w:t>
      </w:r>
      <w:r>
        <w:rPr>
          <w:rFonts w:hint="eastAsia" w:ascii="仿宋_GB2312" w:hAnsi="宋体" w:eastAsia="仿宋_GB2312"/>
          <w:color w:val="000000"/>
          <w:sz w:val="24"/>
          <w:szCs w:val="24"/>
        </w:rPr>
        <w:t>（加注合同签订日期）、盖章后生效。</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8.5本合同正本一式【4】份，甲方执【3】份,乙方执【1】份，均具有同等法律效力。</w:t>
      </w:r>
    </w:p>
    <w:p>
      <w:pPr>
        <w:pStyle w:val="2"/>
        <w:ind w:firstLine="482"/>
        <w:rPr>
          <w:rFonts w:ascii="仿宋_GB2312" w:eastAsia="仿宋_GB2312" w:hAnsiTheme="minorEastAsia" w:cstheme="minorEastAsia"/>
          <w:b/>
          <w:bCs/>
          <w:color w:val="000000" w:themeColor="text1"/>
          <w:szCs w:val="24"/>
          <w:lang w:val="en-US"/>
          <w14:textFill>
            <w14:solidFill>
              <w14:schemeClr w14:val="tx1"/>
            </w14:solidFill>
          </w14:textFill>
        </w:rPr>
      </w:pPr>
      <w:r>
        <w:rPr>
          <w:rFonts w:hint="eastAsia" w:ascii="仿宋_GB2312" w:eastAsia="仿宋_GB2312" w:hAnsiTheme="minorEastAsia" w:cstheme="minorEastAsia"/>
          <w:b/>
          <w:bCs/>
          <w:color w:val="000000" w:themeColor="text1"/>
          <w:szCs w:val="24"/>
          <w:lang w:val="en-US"/>
          <w14:textFill>
            <w14:solidFill>
              <w14:schemeClr w14:val="tx1"/>
            </w14:solidFill>
          </w14:textFill>
        </w:rPr>
        <w:t>第九条 保密条款</w:t>
      </w:r>
    </w:p>
    <w:p>
      <w:pPr>
        <w:spacing w:line="360" w:lineRule="auto"/>
        <w:ind w:firstLine="420"/>
        <w:rPr>
          <w:rFonts w:hint="eastAsia" w:ascii="仿宋_GB2312" w:hAnsi="宋体" w:eastAsia="仿宋_GB2312"/>
          <w:color w:val="000000"/>
          <w:sz w:val="24"/>
          <w:szCs w:val="24"/>
        </w:rPr>
      </w:pPr>
      <w:r>
        <w:rPr>
          <w:rFonts w:hint="eastAsia" w:ascii="仿宋_GB2312" w:hAnsi="宋体" w:eastAsia="仿宋_GB2312"/>
          <w:color w:val="000000"/>
          <w:sz w:val="24"/>
          <w:szCs w:val="24"/>
        </w:rPr>
        <w:t>双方保证对在签订、讨论、履行本合同过程中及前、后所获悉的来自于对方且无法自公开渠道获得的任何与对方相关的、载于任何介质的资料自动视为对方保密资料，任何一方应自取得、知悉该资料之日起承担保密义务，不得因任何原因以任何方式对任何第三方泄露、披露或以任何手段从中受益、牟利，直至收到对方书面通知后方可终止本保密义务；法律或有管辖权的政府机关要求合同一方披露的除外；一方违反本保密义务的，应承担相应的违约责任并赔偿由此给对方造成的全部损失；本保密条款将长期有效，不因本合同因任何原因中止或终止而失效；本合同或部分条款被判无效的，本保密条款继续有效。</w:t>
      </w:r>
    </w:p>
    <w:p>
      <w:pPr>
        <w:pStyle w:val="2"/>
        <w:rPr>
          <w:rFonts w:hint="eastAsia" w:ascii="仿宋_GB2312" w:hAnsi="宋体" w:eastAsia="仿宋_GB2312"/>
          <w:color w:val="000000"/>
          <w:sz w:val="24"/>
          <w:szCs w:val="24"/>
        </w:rPr>
      </w:pPr>
    </w:p>
    <w:p>
      <w:pPr>
        <w:adjustRightInd w:val="0"/>
        <w:snapToGrid w:val="0"/>
        <w:spacing w:line="520" w:lineRule="exact"/>
        <w:ind w:firstLine="482" w:firstLineChars="200"/>
        <w:rPr>
          <w:rFonts w:ascii="仿宋_GB2312" w:hAnsi="宋体" w:eastAsia="仿宋_GB2312"/>
          <w:color w:val="000000"/>
          <w:sz w:val="24"/>
          <w:szCs w:val="24"/>
        </w:rPr>
      </w:pPr>
      <w:bookmarkStart w:id="41" w:name="_Hlk50310512"/>
      <w:r>
        <w:rPr>
          <w:rFonts w:hint="eastAsia" w:ascii="仿宋_GB2312" w:hAnsi="宋体" w:eastAsia="仿宋_GB2312"/>
          <w:b/>
          <w:bCs/>
          <w:color w:val="000000"/>
          <w:sz w:val="24"/>
          <w:szCs w:val="24"/>
        </w:rPr>
        <w:t xml:space="preserve">甲方（盖章）：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w:t>
      </w:r>
      <w:r>
        <w:rPr>
          <w:rFonts w:hint="eastAsia" w:ascii="仿宋_GB2312" w:hAnsi="宋体" w:eastAsia="仿宋_GB2312"/>
          <w:color w:val="000000"/>
          <w:sz w:val="24"/>
          <w:szCs w:val="24"/>
          <w:lang w:val="en-US" w:eastAsia="zh-CN"/>
        </w:rPr>
        <w:t>名</w:t>
      </w:r>
      <w:r>
        <w:rPr>
          <w:rFonts w:hint="eastAsia" w:ascii="仿宋_GB2312" w:hAnsi="宋体" w:eastAsia="仿宋_GB2312"/>
          <w:color w:val="000000"/>
          <w:sz w:val="24"/>
          <w:szCs w:val="24"/>
        </w:rPr>
        <w:t>）：</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乙方（盖章）：</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w:t>
      </w:r>
      <w:r>
        <w:rPr>
          <w:rFonts w:hint="eastAsia" w:ascii="仿宋_GB2312" w:hAnsi="宋体" w:eastAsia="仿宋_GB2312"/>
          <w:color w:val="000000"/>
          <w:sz w:val="24"/>
          <w:szCs w:val="24"/>
          <w:lang w:val="en-US" w:eastAsia="zh-CN"/>
        </w:rPr>
        <w:t>名</w:t>
      </w:r>
      <w:r>
        <w:rPr>
          <w:rFonts w:hint="eastAsia" w:ascii="仿宋_GB2312" w:hAnsi="宋体" w:eastAsia="仿宋_GB2312"/>
          <w:color w:val="000000"/>
          <w:sz w:val="24"/>
          <w:szCs w:val="24"/>
        </w:rPr>
        <w:t>）：</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bookmarkEnd w:id="41"/>
    </w:p>
    <w:p>
      <w:pPr>
        <w:pStyle w:val="19"/>
      </w:pPr>
    </w:p>
    <w:p>
      <w:pPr>
        <w:pStyle w:val="2"/>
        <w:rPr>
          <w:rFonts w:hint="eastAsia" w:ascii="仿宋_GB2312" w:hAnsi="宋体" w:eastAsia="仿宋_GB2312"/>
          <w:color w:val="000000"/>
          <w:sz w:val="24"/>
          <w:szCs w:val="24"/>
        </w:rPr>
      </w:pPr>
    </w:p>
    <w:p>
      <w:pPr>
        <w:pStyle w:val="2"/>
        <w:rPr>
          <w:rFonts w:ascii="仿宋_GB2312" w:eastAsia="仿宋_GB2312" w:hAnsiTheme="minorEastAsia" w:cstheme="minorEastAsia"/>
          <w:b/>
          <w:bCs/>
          <w:color w:val="000000" w:themeColor="text1"/>
          <w:szCs w:val="24"/>
          <w:lang w:val="en-US"/>
          <w14:textFill>
            <w14:solidFill>
              <w14:schemeClr w14:val="tx1"/>
            </w14:solidFill>
          </w14:textFill>
        </w:rPr>
      </w:pPr>
      <w:r>
        <w:rPr>
          <w:rFonts w:hint="eastAsia"/>
          <w:lang w:val="en-US"/>
        </w:rPr>
        <w:t>附件：</w:t>
      </w:r>
      <w:r>
        <w:rPr>
          <w:rFonts w:hint="eastAsia" w:ascii="仿宋_GB2312" w:eastAsia="仿宋_GB2312" w:hAnsiTheme="minorEastAsia" w:cstheme="minorEastAsia"/>
          <w:b/>
          <w:bCs/>
          <w:color w:val="000000" w:themeColor="text1"/>
          <w:szCs w:val="24"/>
          <w:lang w:val="en-US"/>
          <w14:textFill>
            <w14:solidFill>
              <w14:schemeClr w14:val="tx1"/>
            </w14:solidFill>
          </w14:textFill>
        </w:rPr>
        <w:t>采购清单（以中标结果为准）</w:t>
      </w:r>
    </w:p>
    <w:tbl>
      <w:tblPr>
        <w:tblStyle w:val="2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1088"/>
        <w:gridCol w:w="678"/>
        <w:gridCol w:w="811"/>
        <w:gridCol w:w="677"/>
        <w:gridCol w:w="813"/>
        <w:gridCol w:w="677"/>
        <w:gridCol w:w="1382"/>
        <w:gridCol w:w="921"/>
        <w:gridCol w:w="128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trPr>
        <w:tc>
          <w:tcPr>
            <w:tcW w:w="37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序号</w:t>
            </w:r>
          </w:p>
        </w:tc>
        <w:tc>
          <w:tcPr>
            <w:tcW w:w="108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产品名称</w:t>
            </w:r>
          </w:p>
        </w:tc>
        <w:tc>
          <w:tcPr>
            <w:tcW w:w="67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品牌</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商标</w:t>
            </w:r>
          </w:p>
        </w:tc>
        <w:tc>
          <w:tcPr>
            <w:tcW w:w="811"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规格型号</w:t>
            </w:r>
          </w:p>
        </w:tc>
        <w:tc>
          <w:tcPr>
            <w:tcW w:w="677"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产地</w:t>
            </w:r>
          </w:p>
        </w:tc>
        <w:tc>
          <w:tcPr>
            <w:tcW w:w="813"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生产厂家</w:t>
            </w:r>
          </w:p>
        </w:tc>
        <w:tc>
          <w:tcPr>
            <w:tcW w:w="677"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计量</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单位</w:t>
            </w:r>
          </w:p>
        </w:tc>
        <w:tc>
          <w:tcPr>
            <w:tcW w:w="1382"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数量（暂定）</w:t>
            </w:r>
          </w:p>
        </w:tc>
        <w:tc>
          <w:tcPr>
            <w:tcW w:w="921"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单价（元）</w:t>
            </w:r>
          </w:p>
        </w:tc>
        <w:tc>
          <w:tcPr>
            <w:tcW w:w="1285"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暂定金额（元）</w:t>
            </w:r>
          </w:p>
        </w:tc>
        <w:tc>
          <w:tcPr>
            <w:tcW w:w="77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370" w:type="dxa"/>
            <w:vAlign w:val="center"/>
          </w:tcPr>
          <w:p>
            <w:pPr>
              <w:adjustRightInd w:val="0"/>
              <w:snapToGrid w:val="0"/>
              <w:spacing w:line="520" w:lineRule="exact"/>
              <w:jc w:val="center"/>
              <w:rPr>
                <w:rFonts w:ascii="仿宋" w:hAnsi="仿宋" w:eastAsia="仿宋" w:cs="仿宋"/>
                <w:bCs/>
                <w:spacing w:val="4"/>
                <w:szCs w:val="21"/>
              </w:rPr>
            </w:pPr>
          </w:p>
        </w:tc>
        <w:tc>
          <w:tcPr>
            <w:tcW w:w="1088" w:type="dxa"/>
            <w:vAlign w:val="center"/>
          </w:tcPr>
          <w:p>
            <w:pPr>
              <w:adjustRightInd w:val="0"/>
              <w:snapToGrid w:val="0"/>
              <w:spacing w:line="520" w:lineRule="exact"/>
              <w:jc w:val="center"/>
              <w:rPr>
                <w:rFonts w:ascii="仿宋" w:hAnsi="仿宋" w:eastAsia="仿宋" w:cs="仿宋"/>
                <w:bCs/>
                <w:spacing w:val="4"/>
                <w:szCs w:val="21"/>
              </w:rPr>
            </w:pPr>
          </w:p>
        </w:tc>
        <w:tc>
          <w:tcPr>
            <w:tcW w:w="678" w:type="dxa"/>
            <w:vAlign w:val="center"/>
          </w:tcPr>
          <w:p>
            <w:pPr>
              <w:adjustRightInd w:val="0"/>
              <w:snapToGrid w:val="0"/>
              <w:spacing w:line="520" w:lineRule="exact"/>
              <w:jc w:val="center"/>
              <w:rPr>
                <w:rFonts w:ascii="仿宋" w:hAnsi="仿宋" w:eastAsia="仿宋" w:cs="仿宋"/>
                <w:bCs/>
                <w:spacing w:val="4"/>
                <w:szCs w:val="21"/>
              </w:rPr>
            </w:pPr>
          </w:p>
        </w:tc>
        <w:tc>
          <w:tcPr>
            <w:tcW w:w="811" w:type="dxa"/>
            <w:vAlign w:val="center"/>
          </w:tcPr>
          <w:p>
            <w:pPr>
              <w:adjustRightInd w:val="0"/>
              <w:snapToGrid w:val="0"/>
              <w:spacing w:line="520" w:lineRule="exact"/>
              <w:jc w:val="center"/>
              <w:rPr>
                <w:rFonts w:ascii="仿宋" w:hAnsi="仿宋" w:eastAsia="仿宋" w:cs="仿宋"/>
                <w:bCs/>
                <w:spacing w:val="4"/>
                <w:szCs w:val="21"/>
              </w:rPr>
            </w:pPr>
          </w:p>
        </w:tc>
        <w:tc>
          <w:tcPr>
            <w:tcW w:w="677" w:type="dxa"/>
          </w:tcPr>
          <w:p>
            <w:pPr>
              <w:adjustRightInd w:val="0"/>
              <w:snapToGrid w:val="0"/>
              <w:spacing w:line="520" w:lineRule="exact"/>
              <w:jc w:val="center"/>
              <w:rPr>
                <w:rFonts w:ascii="仿宋" w:hAnsi="仿宋" w:eastAsia="仿宋" w:cs="仿宋"/>
                <w:bCs/>
                <w:spacing w:val="4"/>
                <w:szCs w:val="21"/>
              </w:rPr>
            </w:pPr>
          </w:p>
        </w:tc>
        <w:tc>
          <w:tcPr>
            <w:tcW w:w="813" w:type="dxa"/>
            <w:vAlign w:val="center"/>
          </w:tcPr>
          <w:p>
            <w:pPr>
              <w:adjustRightInd w:val="0"/>
              <w:snapToGrid w:val="0"/>
              <w:spacing w:line="520" w:lineRule="exact"/>
              <w:jc w:val="center"/>
              <w:rPr>
                <w:rFonts w:ascii="仿宋" w:hAnsi="仿宋" w:eastAsia="仿宋" w:cs="仿宋"/>
                <w:bCs/>
                <w:spacing w:val="4"/>
                <w:szCs w:val="21"/>
              </w:rPr>
            </w:pPr>
          </w:p>
        </w:tc>
        <w:tc>
          <w:tcPr>
            <w:tcW w:w="677" w:type="dxa"/>
            <w:vAlign w:val="center"/>
          </w:tcPr>
          <w:p>
            <w:pPr>
              <w:adjustRightInd w:val="0"/>
              <w:snapToGrid w:val="0"/>
              <w:spacing w:line="520" w:lineRule="exact"/>
              <w:jc w:val="center"/>
              <w:rPr>
                <w:rFonts w:ascii="仿宋" w:hAnsi="仿宋" w:eastAsia="仿宋" w:cs="仿宋"/>
                <w:bCs/>
                <w:spacing w:val="4"/>
                <w:szCs w:val="21"/>
              </w:rPr>
            </w:pPr>
          </w:p>
        </w:tc>
        <w:tc>
          <w:tcPr>
            <w:tcW w:w="1382" w:type="dxa"/>
            <w:vAlign w:val="center"/>
          </w:tcPr>
          <w:p>
            <w:pPr>
              <w:adjustRightInd w:val="0"/>
              <w:snapToGrid w:val="0"/>
              <w:spacing w:line="520" w:lineRule="exact"/>
              <w:jc w:val="center"/>
              <w:rPr>
                <w:rFonts w:ascii="仿宋" w:hAnsi="仿宋" w:eastAsia="仿宋" w:cs="仿宋"/>
                <w:bCs/>
                <w:spacing w:val="4"/>
                <w:szCs w:val="21"/>
              </w:rPr>
            </w:pPr>
          </w:p>
        </w:tc>
        <w:tc>
          <w:tcPr>
            <w:tcW w:w="921" w:type="dxa"/>
            <w:vAlign w:val="center"/>
          </w:tcPr>
          <w:p>
            <w:pPr>
              <w:adjustRightInd w:val="0"/>
              <w:snapToGrid w:val="0"/>
              <w:spacing w:line="520" w:lineRule="exact"/>
              <w:jc w:val="center"/>
              <w:rPr>
                <w:rFonts w:ascii="仿宋" w:hAnsi="仿宋" w:eastAsia="仿宋" w:cs="仿宋"/>
                <w:bCs/>
                <w:spacing w:val="4"/>
                <w:szCs w:val="21"/>
              </w:rPr>
            </w:pPr>
          </w:p>
        </w:tc>
        <w:tc>
          <w:tcPr>
            <w:tcW w:w="1285" w:type="dxa"/>
            <w:vAlign w:val="center"/>
          </w:tcPr>
          <w:p>
            <w:pPr>
              <w:adjustRightInd w:val="0"/>
              <w:snapToGrid w:val="0"/>
              <w:spacing w:line="520" w:lineRule="exact"/>
              <w:jc w:val="center"/>
              <w:rPr>
                <w:rFonts w:ascii="仿宋" w:hAnsi="仿宋" w:eastAsia="仿宋" w:cs="仿宋"/>
                <w:bCs/>
                <w:spacing w:val="4"/>
                <w:szCs w:val="21"/>
              </w:rPr>
            </w:pPr>
          </w:p>
        </w:tc>
        <w:tc>
          <w:tcPr>
            <w:tcW w:w="778"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370" w:type="dxa"/>
            <w:vAlign w:val="center"/>
          </w:tcPr>
          <w:p>
            <w:pPr>
              <w:adjustRightInd w:val="0"/>
              <w:snapToGrid w:val="0"/>
              <w:spacing w:line="520" w:lineRule="exact"/>
              <w:jc w:val="center"/>
              <w:rPr>
                <w:rFonts w:ascii="仿宋" w:hAnsi="仿宋" w:eastAsia="仿宋" w:cs="仿宋"/>
                <w:bCs/>
                <w:spacing w:val="4"/>
                <w:szCs w:val="21"/>
              </w:rPr>
            </w:pPr>
          </w:p>
        </w:tc>
        <w:tc>
          <w:tcPr>
            <w:tcW w:w="1088" w:type="dxa"/>
            <w:vAlign w:val="center"/>
          </w:tcPr>
          <w:p>
            <w:pPr>
              <w:adjustRightInd w:val="0"/>
              <w:snapToGrid w:val="0"/>
              <w:spacing w:line="520" w:lineRule="exact"/>
              <w:jc w:val="center"/>
              <w:rPr>
                <w:rFonts w:ascii="仿宋" w:hAnsi="仿宋" w:eastAsia="仿宋" w:cs="仿宋"/>
                <w:bCs/>
                <w:spacing w:val="4"/>
                <w:szCs w:val="21"/>
              </w:rPr>
            </w:pPr>
          </w:p>
        </w:tc>
        <w:tc>
          <w:tcPr>
            <w:tcW w:w="678" w:type="dxa"/>
            <w:vAlign w:val="center"/>
          </w:tcPr>
          <w:p>
            <w:pPr>
              <w:adjustRightInd w:val="0"/>
              <w:snapToGrid w:val="0"/>
              <w:spacing w:line="520" w:lineRule="exact"/>
              <w:jc w:val="center"/>
              <w:rPr>
                <w:rFonts w:ascii="仿宋" w:hAnsi="仿宋" w:eastAsia="仿宋" w:cs="仿宋"/>
                <w:bCs/>
                <w:spacing w:val="4"/>
                <w:szCs w:val="21"/>
              </w:rPr>
            </w:pPr>
          </w:p>
        </w:tc>
        <w:tc>
          <w:tcPr>
            <w:tcW w:w="811" w:type="dxa"/>
            <w:vAlign w:val="center"/>
          </w:tcPr>
          <w:p>
            <w:pPr>
              <w:adjustRightInd w:val="0"/>
              <w:snapToGrid w:val="0"/>
              <w:spacing w:line="520" w:lineRule="exact"/>
              <w:jc w:val="center"/>
              <w:rPr>
                <w:rFonts w:ascii="仿宋" w:hAnsi="仿宋" w:eastAsia="仿宋" w:cs="仿宋"/>
                <w:bCs/>
                <w:spacing w:val="4"/>
                <w:szCs w:val="21"/>
              </w:rPr>
            </w:pPr>
          </w:p>
        </w:tc>
        <w:tc>
          <w:tcPr>
            <w:tcW w:w="677" w:type="dxa"/>
          </w:tcPr>
          <w:p>
            <w:pPr>
              <w:adjustRightInd w:val="0"/>
              <w:snapToGrid w:val="0"/>
              <w:spacing w:line="520" w:lineRule="exact"/>
              <w:jc w:val="center"/>
              <w:rPr>
                <w:rFonts w:ascii="仿宋" w:hAnsi="仿宋" w:eastAsia="仿宋" w:cs="仿宋"/>
                <w:bCs/>
                <w:spacing w:val="4"/>
                <w:szCs w:val="21"/>
              </w:rPr>
            </w:pPr>
          </w:p>
        </w:tc>
        <w:tc>
          <w:tcPr>
            <w:tcW w:w="813" w:type="dxa"/>
            <w:vAlign w:val="center"/>
          </w:tcPr>
          <w:p>
            <w:pPr>
              <w:adjustRightInd w:val="0"/>
              <w:snapToGrid w:val="0"/>
              <w:spacing w:line="520" w:lineRule="exact"/>
              <w:jc w:val="center"/>
              <w:rPr>
                <w:rFonts w:ascii="仿宋" w:hAnsi="仿宋" w:eastAsia="仿宋" w:cs="仿宋"/>
                <w:bCs/>
                <w:spacing w:val="4"/>
                <w:szCs w:val="21"/>
              </w:rPr>
            </w:pPr>
          </w:p>
        </w:tc>
        <w:tc>
          <w:tcPr>
            <w:tcW w:w="677" w:type="dxa"/>
            <w:vAlign w:val="center"/>
          </w:tcPr>
          <w:p>
            <w:pPr>
              <w:adjustRightInd w:val="0"/>
              <w:snapToGrid w:val="0"/>
              <w:spacing w:line="520" w:lineRule="exact"/>
              <w:jc w:val="center"/>
              <w:rPr>
                <w:rFonts w:ascii="仿宋" w:hAnsi="仿宋" w:eastAsia="仿宋" w:cs="仿宋"/>
                <w:bCs/>
                <w:spacing w:val="4"/>
                <w:szCs w:val="21"/>
              </w:rPr>
            </w:pPr>
          </w:p>
        </w:tc>
        <w:tc>
          <w:tcPr>
            <w:tcW w:w="1382" w:type="dxa"/>
            <w:vAlign w:val="center"/>
          </w:tcPr>
          <w:p>
            <w:pPr>
              <w:adjustRightInd w:val="0"/>
              <w:snapToGrid w:val="0"/>
              <w:spacing w:line="520" w:lineRule="exact"/>
              <w:jc w:val="center"/>
              <w:rPr>
                <w:rFonts w:ascii="仿宋" w:hAnsi="仿宋" w:eastAsia="仿宋" w:cs="仿宋"/>
                <w:bCs/>
                <w:spacing w:val="4"/>
                <w:szCs w:val="21"/>
              </w:rPr>
            </w:pPr>
          </w:p>
        </w:tc>
        <w:tc>
          <w:tcPr>
            <w:tcW w:w="921" w:type="dxa"/>
            <w:vAlign w:val="center"/>
          </w:tcPr>
          <w:p>
            <w:pPr>
              <w:adjustRightInd w:val="0"/>
              <w:snapToGrid w:val="0"/>
              <w:spacing w:line="520" w:lineRule="exact"/>
              <w:jc w:val="center"/>
              <w:rPr>
                <w:rFonts w:ascii="仿宋" w:hAnsi="仿宋" w:eastAsia="仿宋" w:cs="仿宋"/>
                <w:bCs/>
                <w:spacing w:val="4"/>
                <w:szCs w:val="21"/>
              </w:rPr>
            </w:pPr>
          </w:p>
        </w:tc>
        <w:tc>
          <w:tcPr>
            <w:tcW w:w="1285" w:type="dxa"/>
            <w:vAlign w:val="center"/>
          </w:tcPr>
          <w:p>
            <w:pPr>
              <w:adjustRightInd w:val="0"/>
              <w:snapToGrid w:val="0"/>
              <w:spacing w:line="520" w:lineRule="exact"/>
              <w:jc w:val="center"/>
              <w:rPr>
                <w:rFonts w:ascii="仿宋" w:hAnsi="仿宋" w:eastAsia="仿宋" w:cs="仿宋"/>
                <w:bCs/>
                <w:spacing w:val="4"/>
                <w:szCs w:val="21"/>
              </w:rPr>
            </w:pPr>
          </w:p>
        </w:tc>
        <w:tc>
          <w:tcPr>
            <w:tcW w:w="778"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370" w:type="dxa"/>
            <w:vAlign w:val="center"/>
          </w:tcPr>
          <w:p>
            <w:pPr>
              <w:adjustRightInd w:val="0"/>
              <w:snapToGrid w:val="0"/>
              <w:spacing w:line="520" w:lineRule="exact"/>
              <w:jc w:val="center"/>
              <w:rPr>
                <w:rFonts w:ascii="仿宋" w:hAnsi="仿宋" w:eastAsia="仿宋" w:cs="仿宋"/>
                <w:bCs/>
                <w:spacing w:val="4"/>
                <w:szCs w:val="21"/>
              </w:rPr>
            </w:pPr>
          </w:p>
        </w:tc>
        <w:tc>
          <w:tcPr>
            <w:tcW w:w="1088" w:type="dxa"/>
            <w:vAlign w:val="center"/>
          </w:tcPr>
          <w:p>
            <w:pPr>
              <w:adjustRightInd w:val="0"/>
              <w:snapToGrid w:val="0"/>
              <w:spacing w:line="520" w:lineRule="exact"/>
              <w:jc w:val="center"/>
              <w:rPr>
                <w:rFonts w:ascii="仿宋" w:hAnsi="仿宋" w:eastAsia="仿宋" w:cs="仿宋"/>
                <w:bCs/>
                <w:spacing w:val="4"/>
                <w:szCs w:val="21"/>
              </w:rPr>
            </w:pPr>
          </w:p>
        </w:tc>
        <w:tc>
          <w:tcPr>
            <w:tcW w:w="678" w:type="dxa"/>
            <w:vAlign w:val="center"/>
          </w:tcPr>
          <w:p>
            <w:pPr>
              <w:adjustRightInd w:val="0"/>
              <w:snapToGrid w:val="0"/>
              <w:spacing w:line="520" w:lineRule="exact"/>
              <w:jc w:val="center"/>
              <w:rPr>
                <w:rFonts w:ascii="仿宋" w:hAnsi="仿宋" w:eastAsia="仿宋" w:cs="仿宋"/>
                <w:bCs/>
                <w:spacing w:val="4"/>
                <w:szCs w:val="21"/>
              </w:rPr>
            </w:pPr>
          </w:p>
        </w:tc>
        <w:tc>
          <w:tcPr>
            <w:tcW w:w="811" w:type="dxa"/>
            <w:vAlign w:val="center"/>
          </w:tcPr>
          <w:p>
            <w:pPr>
              <w:adjustRightInd w:val="0"/>
              <w:snapToGrid w:val="0"/>
              <w:spacing w:line="520" w:lineRule="exact"/>
              <w:jc w:val="center"/>
              <w:rPr>
                <w:rFonts w:ascii="仿宋" w:hAnsi="仿宋" w:eastAsia="仿宋" w:cs="仿宋"/>
                <w:bCs/>
                <w:spacing w:val="4"/>
                <w:szCs w:val="21"/>
              </w:rPr>
            </w:pPr>
          </w:p>
        </w:tc>
        <w:tc>
          <w:tcPr>
            <w:tcW w:w="677" w:type="dxa"/>
          </w:tcPr>
          <w:p>
            <w:pPr>
              <w:adjustRightInd w:val="0"/>
              <w:snapToGrid w:val="0"/>
              <w:spacing w:line="520" w:lineRule="exact"/>
              <w:jc w:val="center"/>
              <w:rPr>
                <w:rFonts w:ascii="仿宋" w:hAnsi="仿宋" w:eastAsia="仿宋" w:cs="仿宋"/>
                <w:bCs/>
                <w:spacing w:val="4"/>
                <w:szCs w:val="21"/>
              </w:rPr>
            </w:pPr>
          </w:p>
        </w:tc>
        <w:tc>
          <w:tcPr>
            <w:tcW w:w="813" w:type="dxa"/>
            <w:vAlign w:val="center"/>
          </w:tcPr>
          <w:p>
            <w:pPr>
              <w:adjustRightInd w:val="0"/>
              <w:snapToGrid w:val="0"/>
              <w:spacing w:line="520" w:lineRule="exact"/>
              <w:jc w:val="center"/>
              <w:rPr>
                <w:rFonts w:ascii="仿宋" w:hAnsi="仿宋" w:eastAsia="仿宋" w:cs="仿宋"/>
                <w:bCs/>
                <w:spacing w:val="4"/>
                <w:szCs w:val="21"/>
              </w:rPr>
            </w:pPr>
          </w:p>
        </w:tc>
        <w:tc>
          <w:tcPr>
            <w:tcW w:w="677" w:type="dxa"/>
            <w:vAlign w:val="center"/>
          </w:tcPr>
          <w:p>
            <w:pPr>
              <w:adjustRightInd w:val="0"/>
              <w:snapToGrid w:val="0"/>
              <w:spacing w:line="520" w:lineRule="exact"/>
              <w:jc w:val="center"/>
              <w:rPr>
                <w:rFonts w:ascii="仿宋" w:hAnsi="仿宋" w:eastAsia="仿宋" w:cs="仿宋"/>
                <w:bCs/>
                <w:spacing w:val="4"/>
                <w:szCs w:val="21"/>
              </w:rPr>
            </w:pPr>
          </w:p>
        </w:tc>
        <w:tc>
          <w:tcPr>
            <w:tcW w:w="1382" w:type="dxa"/>
            <w:vAlign w:val="center"/>
          </w:tcPr>
          <w:p>
            <w:pPr>
              <w:adjustRightInd w:val="0"/>
              <w:snapToGrid w:val="0"/>
              <w:spacing w:line="520" w:lineRule="exact"/>
              <w:jc w:val="center"/>
              <w:rPr>
                <w:rFonts w:ascii="仿宋" w:hAnsi="仿宋" w:eastAsia="仿宋" w:cs="仿宋"/>
                <w:bCs/>
                <w:spacing w:val="4"/>
                <w:szCs w:val="21"/>
              </w:rPr>
            </w:pPr>
          </w:p>
        </w:tc>
        <w:tc>
          <w:tcPr>
            <w:tcW w:w="921" w:type="dxa"/>
            <w:vAlign w:val="center"/>
          </w:tcPr>
          <w:p>
            <w:pPr>
              <w:adjustRightInd w:val="0"/>
              <w:snapToGrid w:val="0"/>
              <w:spacing w:line="520" w:lineRule="exact"/>
              <w:jc w:val="center"/>
              <w:rPr>
                <w:rFonts w:ascii="仿宋" w:hAnsi="仿宋" w:eastAsia="仿宋" w:cs="仿宋"/>
                <w:bCs/>
                <w:spacing w:val="4"/>
                <w:szCs w:val="21"/>
              </w:rPr>
            </w:pPr>
          </w:p>
        </w:tc>
        <w:tc>
          <w:tcPr>
            <w:tcW w:w="1285" w:type="dxa"/>
            <w:vAlign w:val="center"/>
          </w:tcPr>
          <w:p>
            <w:pPr>
              <w:adjustRightInd w:val="0"/>
              <w:snapToGrid w:val="0"/>
              <w:spacing w:line="520" w:lineRule="exact"/>
              <w:jc w:val="center"/>
              <w:rPr>
                <w:rFonts w:ascii="仿宋" w:hAnsi="仿宋" w:eastAsia="仿宋" w:cs="仿宋"/>
                <w:bCs/>
                <w:spacing w:val="4"/>
                <w:szCs w:val="21"/>
              </w:rPr>
            </w:pPr>
          </w:p>
        </w:tc>
        <w:tc>
          <w:tcPr>
            <w:tcW w:w="778"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480" w:type="dxa"/>
            <w:gridSpan w:val="11"/>
            <w:vAlign w:val="center"/>
          </w:tcPr>
          <w:p>
            <w:pPr>
              <w:adjustRightInd w:val="0"/>
              <w:snapToGrid w:val="0"/>
              <w:spacing w:line="520" w:lineRule="exact"/>
              <w:rPr>
                <w:rFonts w:ascii="仿宋" w:hAnsi="仿宋" w:eastAsia="仿宋" w:cs="仿宋"/>
                <w:bCs/>
                <w:spacing w:val="4"/>
                <w:szCs w:val="21"/>
              </w:rPr>
            </w:pPr>
            <w:r>
              <w:rPr>
                <w:rFonts w:hint="eastAsia" w:ascii="仿宋" w:hAnsi="仿宋" w:eastAsia="仿宋" w:cs="仿宋"/>
                <w:bCs/>
                <w:spacing w:val="4"/>
                <w:szCs w:val="21"/>
              </w:rPr>
              <w:t xml:space="preserve">暂定合计人民币金额（大写）：                 （小写）： </w:t>
            </w:r>
          </w:p>
        </w:tc>
      </w:tr>
    </w:tbl>
    <w:p>
      <w:pPr>
        <w:pStyle w:val="2"/>
        <w:rPr>
          <w:lang w:val="en-US"/>
        </w:rPr>
      </w:pPr>
    </w:p>
    <w:p>
      <w:pPr>
        <w:spacing w:line="490" w:lineRule="exact"/>
        <w:ind w:firstLine="482" w:firstLineChars="200"/>
        <w:rPr>
          <w:rFonts w:ascii="宋体" w:hAnsi="宋体"/>
          <w:b/>
          <w:sz w:val="24"/>
          <w:szCs w:val="24"/>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p>
    <w:p>
      <w:pPr>
        <w:pStyle w:val="19"/>
        <w:ind w:firstLine="640"/>
      </w:pPr>
    </w:p>
    <w:p>
      <w:pPr>
        <w:spacing w:line="520" w:lineRule="exact"/>
        <w:jc w:val="center"/>
        <w:outlineLvl w:val="2"/>
        <w:rPr>
          <w:rFonts w:ascii="方正小标宋简体" w:hAnsi="宋体" w:eastAsia="方正小标宋简体"/>
          <w:bCs/>
          <w:sz w:val="44"/>
          <w:szCs w:val="44"/>
        </w:rPr>
      </w:pPr>
      <w:r>
        <w:rPr>
          <w:rFonts w:hint="eastAsia" w:ascii="方正小标宋简体" w:hAnsi="宋体" w:eastAsia="方正小标宋简体"/>
          <w:bCs/>
          <w:sz w:val="44"/>
          <w:szCs w:val="44"/>
        </w:rPr>
        <w:t>廉  政  协  议</w:t>
      </w:r>
      <w:bookmarkEnd w:id="36"/>
      <w:bookmarkEnd w:id="37"/>
      <w:bookmarkEnd w:id="38"/>
      <w:bookmarkEnd w:id="39"/>
    </w:p>
    <w:p>
      <w:pPr>
        <w:spacing w:line="420" w:lineRule="exact"/>
        <w:ind w:firstLine="420" w:firstLineChars="200"/>
        <w:rPr>
          <w:rFonts w:hAnsi="宋体"/>
          <w:szCs w:val="24"/>
        </w:rPr>
      </w:pPr>
    </w:p>
    <w:p>
      <w:pPr>
        <w:widowControl/>
        <w:spacing w:line="360" w:lineRule="auto"/>
        <w:jc w:val="left"/>
        <w:rPr>
          <w:rFonts w:ascii="宋体" w:hAnsi="宋体"/>
          <w:sz w:val="24"/>
          <w:szCs w:val="28"/>
        </w:rPr>
      </w:pPr>
      <w:r>
        <w:rPr>
          <w:rFonts w:hint="eastAsia" w:ascii="仿宋_GB2312" w:hAnsi="宋体" w:eastAsia="仿宋_GB2312"/>
          <w:sz w:val="28"/>
          <w:szCs w:val="28"/>
        </w:rPr>
        <w:t>甲方：</w:t>
      </w:r>
      <w:r>
        <w:rPr>
          <w:rFonts w:hint="eastAsia" w:ascii="仿宋_GB2312" w:hAnsi="宋体" w:eastAsia="仿宋_GB2312"/>
          <w:sz w:val="28"/>
          <w:szCs w:val="28"/>
          <w:u w:val="single"/>
        </w:rPr>
        <w:t>合肥泓瑞金陵大酒店有限责任公司</w:t>
      </w:r>
    </w:p>
    <w:p>
      <w:pPr>
        <w:adjustRightInd w:val="0"/>
        <w:snapToGrid w:val="0"/>
        <w:spacing w:line="520" w:lineRule="exact"/>
        <w:rPr>
          <w:rFonts w:ascii="仿宋_GB2312" w:hAnsi="宋体" w:eastAsia="仿宋_GB2312"/>
          <w:sz w:val="28"/>
          <w:szCs w:val="28"/>
          <w:u w:val="single"/>
        </w:rPr>
      </w:pPr>
      <w:r>
        <w:rPr>
          <w:rFonts w:hint="eastAsia" w:ascii="仿宋_GB2312" w:hAnsi="宋体" w:eastAsia="仿宋_GB2312"/>
          <w:sz w:val="28"/>
          <w:szCs w:val="28"/>
          <w:u w:val="single"/>
        </w:rPr>
        <w:t xml:space="preserve">乙方:                                 </w:t>
      </w:r>
    </w:p>
    <w:p>
      <w:pPr>
        <w:widowControl/>
        <w:spacing w:line="360" w:lineRule="auto"/>
        <w:jc w:val="left"/>
        <w:rPr>
          <w:rFonts w:ascii="仿宋_GB2312" w:eastAsia="仿宋_GB2312" w:hAnsiTheme="minorEastAsia"/>
          <w:sz w:val="28"/>
          <w:szCs w:val="28"/>
        </w:rPr>
      </w:pPr>
      <w:r>
        <w:rPr>
          <w:rFonts w:hint="eastAsia" w:ascii="仿宋_GB2312" w:hAnsi="宋体" w:eastAsia="仿宋_GB2312"/>
          <w:sz w:val="28"/>
          <w:szCs w:val="28"/>
        </w:rPr>
        <w:t xml:space="preserve">   为进一步完善监督制约机制，防止发生各种牟取不正当利益的违法违纪行为，</w:t>
      </w:r>
      <w:r>
        <w:rPr>
          <w:rFonts w:hint="eastAsia" w:ascii="仿宋_GB2312" w:eastAsia="仿宋_GB2312" w:hAnsiTheme="minorEastAsia"/>
          <w:sz w:val="28"/>
          <w:szCs w:val="28"/>
        </w:rPr>
        <w:t>促进双方诚信经营、廉洁从业，防范商业贿赂，保护国家、集体和当事人的合法权益，根据国家有关法律法规和省、市廉政建设的规定，</w:t>
      </w:r>
      <w:r>
        <w:rPr>
          <w:rFonts w:hint="eastAsia" w:ascii="仿宋_GB2312" w:hAnsi="宋体" w:eastAsia="仿宋_GB2312"/>
          <w:sz w:val="28"/>
          <w:szCs w:val="28"/>
        </w:rPr>
        <w:t>甲乙双方自愿签订本廉政协议，</w:t>
      </w:r>
      <w:r>
        <w:rPr>
          <w:rFonts w:hint="eastAsia" w:ascii="仿宋_GB2312" w:eastAsia="仿宋_GB2312" w:hAnsiTheme="minorEastAsia"/>
          <w:sz w:val="28"/>
          <w:szCs w:val="28"/>
        </w:rPr>
        <w:t>共同遵照执行。</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第一条</w:t>
      </w:r>
      <w:r>
        <w:rPr>
          <w:rFonts w:hint="eastAsia" w:ascii="仿宋_GB2312" w:eastAsia="仿宋_GB2312" w:hAnsiTheme="minorEastAsia"/>
          <w:sz w:val="28"/>
          <w:szCs w:val="28"/>
        </w:rPr>
        <w:t xml:space="preserve">  甲乙双方的权利和义务</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（二）严格执行合同的要求，自觉履行合同约定的相关义务。</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（三）在业务活动中坚持公开、公正、诚信、透明的原则，不得损害国家、集体利益。</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（四）建立健全廉政制度，开展廉政教育，公布举报电话，监督并认真查处违法违纪行为。</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（五）发现对方在业务活动中有违反廉政规定的行为，应及时提醒对方纠正。情节严重的，应向其上级有关部门举报、建议给予处理，并有权要求告知处理结果。</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第二条</w:t>
      </w:r>
      <w:r>
        <w:rPr>
          <w:rFonts w:hint="eastAsia" w:ascii="仿宋_GB2312" w:eastAsia="仿宋_GB2312" w:hAnsiTheme="minorEastAsia"/>
          <w:sz w:val="28"/>
          <w:szCs w:val="28"/>
        </w:rPr>
        <w:t xml:space="preserve">  甲方的义务</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(一)甲方及其工作人员不得索要或接受乙方的礼金、有价证券和贵重物品，不得在乙方报销任何应由甲方单位或个人支付的费用等。</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（三）甲方及其工作人员不得要求或者接受乙方为其住房装修、婚丧嫁娶活动、配偶子女工作安排以及出国出境、旅游等提供方便等。</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（四）甲方工作人员不得在乙方有关联的企业兼职，不得向乙方介绍家属或者亲友从事与甲方业务有关的经济活动。</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（五）甲方工作人员不得以明显低于市场的价格向乙方购买房屋、汽车等物品；不得以明显高于市场的价格向乙方出售房屋、汽车等物品；不得以其他交易形式非法收受请托人财物。</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（六）甲方工作人员不得利用职务之便收受乙方以回扣、手续费、加班费、咨询费、劳务费、协调费等各种名义给予或赠送的钱物。</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（七）甲方工作人员不得接受乙方给予或赠送的干股或红利。</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（八）甲方任何人不得以个人的名义向乙方推荐设备、部件等供货商以及其他合作单位。</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 xml:space="preserve">第三条  </w:t>
      </w:r>
      <w:r>
        <w:rPr>
          <w:rFonts w:hint="eastAsia" w:ascii="仿宋_GB2312" w:eastAsia="仿宋_GB2312" w:hAnsiTheme="minorEastAsia"/>
          <w:sz w:val="28"/>
          <w:szCs w:val="28"/>
        </w:rPr>
        <w:t>乙方的义务</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(一)乙方不得以任何理由向甲方及其工作人员行贿或馈赠礼金、有价证券、贵重礼品。</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（二)乙方不得以任何名义为甲方及其工作人员报销应由甲方单位或个人支付的任何费用。</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(三)乙方不得以任何理由安排甲方工作人员参加可能影响相关业务公开、公正、公平性的宴请及娱乐活动。</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（四）乙方不得为甲方单位和个人购置或提供通讯工具和高档办公用品等物品，也不得为甲方提供与工作无关的房屋、汽车等。</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（五）乙方不得与甲方工作人员就合同中的质量、数量、价格、工程量、验收等条款进行私下商谈或者达成默契。</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（六）乙方不得以回扣、手续费、加班费、咨询费、劳务费等各种名义向甲方工作人员给予或赠送钱物。</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（七）乙方不得向甲方工作人员提供干股或红利。</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（八）乙方须按泓瑞金陵大酒店纪检要求开展相关工作。</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第四条</w:t>
      </w:r>
      <w:r>
        <w:rPr>
          <w:rFonts w:hint="eastAsia" w:ascii="仿宋_GB2312" w:eastAsia="仿宋_GB2312" w:hAnsiTheme="minorEastAsia"/>
          <w:sz w:val="28"/>
          <w:szCs w:val="28"/>
        </w:rPr>
        <w:t xml:space="preserve">  违约责任</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（一）甲方及其工作人员违反本协议第一、二条规定。甲方按管理权限，对相关责任人依据有关规定给予党纪、政纪处分或组织处理；涉嫌犯罪的，移交司法机关追究刑事责任。</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投诉联系：合肥泓瑞金陵大酒店党支部纪检委员。联系电话0551-62266404。</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（二）乙方及其工作人员违反本协议第一、三条规定。根据具体情节和造成的后果，甲方有权依据法律法规及合同约定对乙方采取以下一种或多种处理办法：</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1．向建设行政部门、招投标管理部门及乙方上级主管部门通报，建议作出相应处理； </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2．甲方有权扣除乙方履约保证金全部或部分（视情节严重性而定）；</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3．乙方一定期限内（6个月至5年，具体由甲方根据情况而定）不得参与甲方作为发包人（业主）的工程项目投标和物资采购等相关业务；</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4．终止或解除双方已签订的包括（不限于）本合同在内的所有合同。</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甲方作出的处理意见，乙方应无条件接受并承担给甲方造成的损失，全额返还通过不正当手段从甲方获取的非法所得，并承担相应的法律责任。</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第五条</w:t>
      </w:r>
      <w:r>
        <w:rPr>
          <w:rFonts w:hint="eastAsia" w:ascii="仿宋_GB2312" w:eastAsia="仿宋_GB2312" w:hAnsiTheme="minorEastAsia"/>
          <w:sz w:val="28"/>
          <w:szCs w:val="28"/>
        </w:rPr>
        <w:t xml:space="preserve">  双方约定</w:t>
      </w:r>
    </w:p>
    <w:p>
      <w:pPr>
        <w:spacing w:line="554"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本协议由双方或双方上级单位负责监督。可由甲方或甲方上级单位的纪检监察部门约请乙方或乙方上级单位的纪检监察部门对本协议履行情况进行检查，提出在本协议规定范围内的裁定意见。</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 xml:space="preserve">第六条  </w:t>
      </w:r>
      <w:r>
        <w:rPr>
          <w:rFonts w:hint="eastAsia" w:ascii="仿宋_GB2312" w:eastAsia="仿宋_GB2312" w:hAnsiTheme="minorEastAsia"/>
          <w:sz w:val="28"/>
          <w:szCs w:val="28"/>
        </w:rPr>
        <w:t xml:space="preserve">本协议有效期为甲乙双方签署之日起至合同终止。  </w:t>
      </w:r>
    </w:p>
    <w:p>
      <w:pPr>
        <w:spacing w:line="554"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 xml:space="preserve">第七条 </w:t>
      </w:r>
      <w:r>
        <w:rPr>
          <w:rFonts w:hint="eastAsia" w:ascii="仿宋_GB2312" w:eastAsia="仿宋_GB2312" w:hAnsiTheme="minorEastAsia"/>
          <w:sz w:val="28"/>
          <w:szCs w:val="28"/>
        </w:rPr>
        <w:t xml:space="preserve"> 本协议作为合同的附件，与本合同具有同等法律效力。</w:t>
      </w: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r>
        <w:rPr>
          <w:rFonts w:hint="eastAsia" w:ascii="仿宋_GB2312" w:hAnsi="宋体" w:eastAsia="仿宋_GB2312"/>
          <w:sz w:val="28"/>
          <w:szCs w:val="28"/>
        </w:rPr>
        <w:t>甲方（盖章）：                   乙方（盖章）：</w:t>
      </w:r>
    </w:p>
    <w:p>
      <w:pPr>
        <w:spacing w:line="560" w:lineRule="exact"/>
        <w:rPr>
          <w:rFonts w:ascii="仿宋_GB2312" w:hAnsi="宋体" w:eastAsia="仿宋_GB2312"/>
          <w:sz w:val="28"/>
          <w:szCs w:val="28"/>
        </w:rPr>
      </w:pPr>
      <w:r>
        <w:rPr>
          <w:rFonts w:hint="eastAsia" w:ascii="仿宋_GB2312" w:hAnsi="宋体" w:eastAsia="仿宋_GB2312"/>
          <w:sz w:val="28"/>
          <w:szCs w:val="28"/>
        </w:rPr>
        <w:t>法定代表人或</w:t>
      </w:r>
      <w:r>
        <w:rPr>
          <w:rFonts w:hint="eastAsia" w:ascii="仿宋_GB2312" w:hAnsi="宋体" w:eastAsia="仿宋_GB2312"/>
          <w:sz w:val="28"/>
          <w:szCs w:val="28"/>
        </w:rPr>
        <w:tab/>
      </w:r>
      <w:r>
        <w:rPr>
          <w:rFonts w:hint="eastAsia" w:ascii="仿宋_GB2312" w:hAnsi="宋体" w:eastAsia="仿宋_GB2312"/>
          <w:sz w:val="28"/>
          <w:szCs w:val="28"/>
        </w:rPr>
        <w:t xml:space="preserve">                   法定代表人或</w:t>
      </w:r>
    </w:p>
    <w:p>
      <w:pPr>
        <w:spacing w:line="560" w:lineRule="exact"/>
        <w:rPr>
          <w:rFonts w:ascii="仿宋_GB2312" w:hAnsi="宋体" w:eastAsia="仿宋_GB2312"/>
          <w:sz w:val="28"/>
          <w:szCs w:val="28"/>
        </w:rPr>
      </w:pPr>
      <w:r>
        <w:rPr>
          <w:rFonts w:hint="eastAsia" w:ascii="仿宋_GB2312" w:hAnsi="宋体" w:eastAsia="仿宋_GB2312"/>
          <w:sz w:val="28"/>
          <w:szCs w:val="28"/>
        </w:rPr>
        <w:t>授权代表：(职务)                  授权代表：（职务）</w:t>
      </w: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姓名     </w:t>
      </w:r>
      <w:r>
        <w:rPr>
          <w:rFonts w:hint="eastAsia" w:ascii="仿宋_GB2312" w:hAnsi="宋体" w:eastAsia="仿宋_GB2312"/>
          <w:sz w:val="28"/>
          <w:szCs w:val="28"/>
        </w:rPr>
        <w:tab/>
      </w:r>
      <w:r>
        <w:rPr>
          <w:rFonts w:hint="eastAsia" w:ascii="仿宋_GB2312" w:hAnsi="宋体" w:eastAsia="仿宋_GB2312"/>
          <w:sz w:val="28"/>
          <w:szCs w:val="28"/>
        </w:rPr>
        <w:t xml:space="preserve">                       姓名</w:t>
      </w:r>
    </w:p>
    <w:p>
      <w:pPr>
        <w:spacing w:line="560" w:lineRule="exact"/>
        <w:rPr>
          <w:rFonts w:ascii="仿宋_GB2312" w:hAnsi="宋体" w:eastAsia="仿宋_GB2312"/>
          <w:sz w:val="28"/>
          <w:szCs w:val="28"/>
        </w:rPr>
      </w:pPr>
      <w:r>
        <w:rPr>
          <w:rFonts w:hint="eastAsia" w:ascii="仿宋_GB2312" w:hAnsi="宋体" w:eastAsia="仿宋_GB2312"/>
          <w:sz w:val="28"/>
          <w:szCs w:val="28"/>
        </w:rPr>
        <w:t>签字：                            签字：</w:t>
      </w:r>
    </w:p>
    <w:p>
      <w:pPr>
        <w:spacing w:line="560" w:lineRule="exact"/>
        <w:ind w:firstLine="560" w:firstLineChars="200"/>
        <w:rPr>
          <w:rFonts w:ascii="仿宋_GB2312" w:hAnsi="宋体" w:eastAsia="仿宋_GB2312"/>
          <w:sz w:val="28"/>
          <w:szCs w:val="28"/>
        </w:rPr>
      </w:pPr>
    </w:p>
    <w:p>
      <w:pPr>
        <w:spacing w:line="560" w:lineRule="exact"/>
        <w:rPr>
          <w:rFonts w:ascii="仿宋_GB2312" w:hAnsi="宋体" w:eastAsia="仿宋_GB2312"/>
          <w:sz w:val="28"/>
          <w:szCs w:val="28"/>
        </w:rPr>
      </w:pPr>
      <w:r>
        <w:rPr>
          <w:rFonts w:hint="eastAsia" w:ascii="仿宋_GB2312" w:hAnsi="宋体" w:eastAsia="仿宋_GB2312"/>
          <w:sz w:val="28"/>
          <w:szCs w:val="28"/>
        </w:rPr>
        <w:t>廉政监督联系人                    廉政监督联系人</w:t>
      </w:r>
    </w:p>
    <w:p>
      <w:pPr>
        <w:spacing w:line="560" w:lineRule="exact"/>
        <w:rPr>
          <w:rFonts w:ascii="仿宋_GB2312" w:hAnsi="宋体" w:eastAsia="仿宋_GB2312"/>
          <w:sz w:val="28"/>
          <w:szCs w:val="28"/>
        </w:rPr>
      </w:pPr>
      <w:r>
        <w:rPr>
          <w:rFonts w:hint="eastAsia" w:ascii="仿宋_GB2312" w:hAnsi="宋体" w:eastAsia="仿宋_GB2312"/>
          <w:sz w:val="28"/>
          <w:szCs w:val="28"/>
        </w:rPr>
        <w:t>姓名                              姓名</w:t>
      </w:r>
    </w:p>
    <w:p>
      <w:pPr>
        <w:spacing w:line="560" w:lineRule="exact"/>
        <w:rPr>
          <w:rFonts w:ascii="仿宋_GB2312" w:hAnsi="宋体" w:eastAsia="仿宋_GB2312"/>
          <w:sz w:val="28"/>
          <w:szCs w:val="28"/>
        </w:rPr>
      </w:pPr>
      <w:r>
        <w:rPr>
          <w:rFonts w:hint="eastAsia" w:ascii="仿宋_GB2312" w:hAnsi="宋体" w:eastAsia="仿宋_GB2312"/>
          <w:sz w:val="28"/>
          <w:szCs w:val="28"/>
        </w:rPr>
        <w:t>签字：                            签字：</w:t>
      </w:r>
    </w:p>
    <w:p>
      <w:pPr>
        <w:pStyle w:val="36"/>
        <w:spacing w:line="276" w:lineRule="auto"/>
        <w:ind w:firstLine="0"/>
        <w:rPr>
          <w:rFonts w:ascii="仿宋_GB2312" w:hAnsi="宋体" w:eastAsia="仿宋_GB2312"/>
          <w:sz w:val="28"/>
          <w:szCs w:val="28"/>
        </w:rPr>
      </w:pPr>
      <w:r>
        <w:rPr>
          <w:rFonts w:hint="eastAsia" w:ascii="仿宋_GB2312" w:hAnsi="宋体" w:eastAsia="仿宋_GB2312"/>
          <w:sz w:val="28"/>
          <w:szCs w:val="28"/>
        </w:rPr>
        <w:t>电话：0551-62266404              电话：</w:t>
      </w: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地址：                            地址：         </w:t>
      </w:r>
    </w:p>
    <w:p>
      <w:pPr>
        <w:spacing w:line="560" w:lineRule="exact"/>
        <w:rPr>
          <w:rFonts w:ascii="仿宋_GB2312" w:hAnsi="宋体" w:eastAsia="仿宋_GB2312"/>
          <w:sz w:val="28"/>
          <w:szCs w:val="28"/>
        </w:rPr>
      </w:pPr>
      <w:r>
        <w:rPr>
          <w:rFonts w:hint="eastAsia" w:ascii="仿宋_GB2312" w:hAnsi="宋体" w:eastAsia="仿宋_GB2312"/>
          <w:sz w:val="28"/>
          <w:szCs w:val="28"/>
        </w:rPr>
        <w:t>日期：                            日期：</w:t>
      </w:r>
    </w:p>
    <w:p>
      <w:pPr>
        <w:spacing w:line="560" w:lineRule="exact"/>
        <w:ind w:firstLine="560" w:firstLineChars="200"/>
        <w:rPr>
          <w:rFonts w:ascii="仿宋_GB2312" w:eastAsia="仿宋_GB2312"/>
          <w:sz w:val="28"/>
          <w:szCs w:val="28"/>
        </w:rPr>
      </w:pPr>
    </w:p>
    <w:p>
      <w:pPr>
        <w:spacing w:line="560" w:lineRule="exact"/>
        <w:ind w:firstLine="640" w:firstLineChars="200"/>
        <w:rPr>
          <w:rFonts w:ascii="仿宋_GB2312" w:eastAsia="仿宋_GB2312"/>
          <w:sz w:val="32"/>
          <w:szCs w:val="32"/>
        </w:rPr>
      </w:pPr>
    </w:p>
    <w:p/>
    <w:sectPr>
      <w:footerReference r:id="rId9" w:type="default"/>
      <w:pgSz w:w="11906" w:h="16838"/>
      <w:pgMar w:top="1440" w:right="1800" w:bottom="1440" w:left="9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微软简标宋">
    <w:altName w:val="宋体"/>
    <w:panose1 w:val="00000000000000000000"/>
    <w:charset w:val="86"/>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eUWf3LAQAAeQMAAA4AAAAAAAAAAQAgAAAAHgEAAGRycy9lMm9E&#10;b2MueG1sUEsFBgAAAAAGAAYAWQEAAFs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1iS+zAEAAHkDAAAOAAAAAAAAAAEAIAAAAB4BAABkcnMvZTJv&#10;RG9jLnhtbFBLBQYAAAAABgAGAFkBAABc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P7hU7zAEAAHkDAAAOAAAAAAAAAAEAIAAAAB4BAABkcnMvZTJv&#10;RG9jLnhtbFBLBQYAAAAABgAGAFkBAABcBQAAAAA=&#10;">
              <v:fill on="f" focussize="0,0"/>
              <v:stroke on="f"/>
              <v:imagedata o:title=""/>
              <o:lock v:ext="edit" aspectratio="f"/>
              <v:textbox inset="0mm,0mm,0mm,0mm" style="mso-fit-shape-to-text:t;">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99357"/>
    <w:multiLevelType w:val="singleLevel"/>
    <w:tmpl w:val="8E599357"/>
    <w:lvl w:ilvl="0" w:tentative="0">
      <w:start w:val="4"/>
      <w:numFmt w:val="chineseCounting"/>
      <w:suff w:val="nothing"/>
      <w:lvlText w:val="%1．"/>
      <w:lvlJc w:val="left"/>
      <w:rPr>
        <w:rFonts w:hint="eastAsia"/>
      </w:rPr>
    </w:lvl>
  </w:abstractNum>
  <w:abstractNum w:abstractNumId="1">
    <w:nsid w:val="D124980C"/>
    <w:multiLevelType w:val="singleLevel"/>
    <w:tmpl w:val="D124980C"/>
    <w:lvl w:ilvl="0" w:tentative="0">
      <w:start w:val="2"/>
      <w:numFmt w:val="chineseCounting"/>
      <w:suff w:val="nothing"/>
      <w:lvlText w:val="%1、"/>
      <w:lvlJc w:val="left"/>
      <w:rPr>
        <w:rFonts w:hint="eastAsia"/>
      </w:rPr>
    </w:lvl>
  </w:abstractNum>
  <w:abstractNum w:abstractNumId="2">
    <w:nsid w:val="FACA66E3"/>
    <w:multiLevelType w:val="singleLevel"/>
    <w:tmpl w:val="FACA66E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0020D52"/>
    <w:rsid w:val="00050348"/>
    <w:rsid w:val="000D783A"/>
    <w:rsid w:val="000E11A7"/>
    <w:rsid w:val="001803B7"/>
    <w:rsid w:val="00272346"/>
    <w:rsid w:val="0048292E"/>
    <w:rsid w:val="00516ED7"/>
    <w:rsid w:val="005236A7"/>
    <w:rsid w:val="0057234E"/>
    <w:rsid w:val="00643B00"/>
    <w:rsid w:val="0069061F"/>
    <w:rsid w:val="008F51F8"/>
    <w:rsid w:val="00930CC2"/>
    <w:rsid w:val="00C77FDE"/>
    <w:rsid w:val="00E7138E"/>
    <w:rsid w:val="00E96140"/>
    <w:rsid w:val="00EA5DB5"/>
    <w:rsid w:val="00F07EBC"/>
    <w:rsid w:val="00F60C8A"/>
    <w:rsid w:val="016575A6"/>
    <w:rsid w:val="02335360"/>
    <w:rsid w:val="04DA7F09"/>
    <w:rsid w:val="052E3147"/>
    <w:rsid w:val="09AE41EA"/>
    <w:rsid w:val="09BC4A90"/>
    <w:rsid w:val="0A5A4293"/>
    <w:rsid w:val="0BB22C9D"/>
    <w:rsid w:val="0C382B14"/>
    <w:rsid w:val="0E05393F"/>
    <w:rsid w:val="10182972"/>
    <w:rsid w:val="11671785"/>
    <w:rsid w:val="135618C9"/>
    <w:rsid w:val="13A03702"/>
    <w:rsid w:val="15655556"/>
    <w:rsid w:val="17173B77"/>
    <w:rsid w:val="17481711"/>
    <w:rsid w:val="192047EE"/>
    <w:rsid w:val="1B931D65"/>
    <w:rsid w:val="1C084467"/>
    <w:rsid w:val="1C936D1C"/>
    <w:rsid w:val="1CE77B84"/>
    <w:rsid w:val="1EDB230C"/>
    <w:rsid w:val="1F7C592D"/>
    <w:rsid w:val="1F7D3713"/>
    <w:rsid w:val="23F04A84"/>
    <w:rsid w:val="29452600"/>
    <w:rsid w:val="29BC494B"/>
    <w:rsid w:val="2A564C34"/>
    <w:rsid w:val="2ADF3F76"/>
    <w:rsid w:val="2BEB5D64"/>
    <w:rsid w:val="2C9619FF"/>
    <w:rsid w:val="2EEF4956"/>
    <w:rsid w:val="2F2A4DCF"/>
    <w:rsid w:val="30EF6362"/>
    <w:rsid w:val="375F5B56"/>
    <w:rsid w:val="37A97525"/>
    <w:rsid w:val="38A8093E"/>
    <w:rsid w:val="38BD0F71"/>
    <w:rsid w:val="3B937216"/>
    <w:rsid w:val="3C196A75"/>
    <w:rsid w:val="3C6F4CE4"/>
    <w:rsid w:val="3EA01E41"/>
    <w:rsid w:val="3F3A6020"/>
    <w:rsid w:val="3F670C1E"/>
    <w:rsid w:val="3F907888"/>
    <w:rsid w:val="42E87780"/>
    <w:rsid w:val="43F90326"/>
    <w:rsid w:val="442A2F49"/>
    <w:rsid w:val="47D272FF"/>
    <w:rsid w:val="4B0C3745"/>
    <w:rsid w:val="4C25461A"/>
    <w:rsid w:val="4C4928A1"/>
    <w:rsid w:val="4C8C1DE9"/>
    <w:rsid w:val="4D3E1C28"/>
    <w:rsid w:val="4DA74489"/>
    <w:rsid w:val="4DAC359E"/>
    <w:rsid w:val="4DD805DC"/>
    <w:rsid w:val="4FFC288D"/>
    <w:rsid w:val="506D691C"/>
    <w:rsid w:val="51F32509"/>
    <w:rsid w:val="58B1551B"/>
    <w:rsid w:val="59A0756C"/>
    <w:rsid w:val="59A94E73"/>
    <w:rsid w:val="5A50540F"/>
    <w:rsid w:val="5B2A0A57"/>
    <w:rsid w:val="5B937AC9"/>
    <w:rsid w:val="5C551E7A"/>
    <w:rsid w:val="5D466872"/>
    <w:rsid w:val="61413DD9"/>
    <w:rsid w:val="61FB5048"/>
    <w:rsid w:val="623014D8"/>
    <w:rsid w:val="64825B8A"/>
    <w:rsid w:val="65BC5DFD"/>
    <w:rsid w:val="66ED5232"/>
    <w:rsid w:val="67EE74DB"/>
    <w:rsid w:val="69B110E0"/>
    <w:rsid w:val="6AD61378"/>
    <w:rsid w:val="6C9F5C17"/>
    <w:rsid w:val="6DDF0BE2"/>
    <w:rsid w:val="6E345E48"/>
    <w:rsid w:val="6F94072C"/>
    <w:rsid w:val="70E31C3C"/>
    <w:rsid w:val="71647673"/>
    <w:rsid w:val="71717E73"/>
    <w:rsid w:val="72297E1E"/>
    <w:rsid w:val="724A77D3"/>
    <w:rsid w:val="74F1567E"/>
    <w:rsid w:val="752D3F94"/>
    <w:rsid w:val="758428B2"/>
    <w:rsid w:val="76C21182"/>
    <w:rsid w:val="7991335E"/>
    <w:rsid w:val="7AEB5B01"/>
    <w:rsid w:val="7B45261C"/>
    <w:rsid w:val="7DAF5760"/>
    <w:rsid w:val="7EE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lang w:val="zh-CN"/>
    </w:rPr>
  </w:style>
  <w:style w:type="paragraph" w:styleId="5">
    <w:name w:val="Normal Indent"/>
    <w:basedOn w:val="1"/>
    <w:unhideWhenUsed/>
    <w:qFormat/>
    <w:uiPriority w:val="99"/>
    <w:pPr>
      <w:adjustRightInd w:val="0"/>
      <w:spacing w:line="360" w:lineRule="atLeast"/>
      <w:ind w:firstLine="482"/>
      <w:textAlignment w:val="baseline"/>
    </w:pPr>
    <w:rPr>
      <w:rFonts w:hAnsi="Times New Roman"/>
      <w:sz w:val="24"/>
      <w:szCs w:val="20"/>
    </w:rPr>
  </w:style>
  <w:style w:type="paragraph" w:styleId="6">
    <w:name w:val="annotation text"/>
    <w:basedOn w:val="1"/>
    <w:link w:val="31"/>
    <w:qFormat/>
    <w:uiPriority w:val="0"/>
    <w:pPr>
      <w:jc w:val="left"/>
    </w:pPr>
  </w:style>
  <w:style w:type="paragraph" w:styleId="7">
    <w:name w:val="Body Text"/>
    <w:basedOn w:val="1"/>
    <w:next w:val="8"/>
    <w:qFormat/>
    <w:uiPriority w:val="0"/>
    <w:rPr>
      <w:rFonts w:ascii="宋体" w:hAnsi="Arial"/>
      <w:sz w:val="28"/>
      <w:szCs w:val="20"/>
    </w:rPr>
  </w:style>
  <w:style w:type="paragraph" w:styleId="8">
    <w:name w:val="Body Text 2"/>
    <w:basedOn w:val="1"/>
    <w:next w:val="1"/>
    <w:qFormat/>
    <w:uiPriority w:val="0"/>
    <w:pPr>
      <w:spacing w:after="120" w:line="480" w:lineRule="auto"/>
    </w:pPr>
    <w:rPr>
      <w:rFonts w:ascii="Times New Roman" w:hAnsi="Times New Roman"/>
      <w:lang w:val="zh-CN"/>
    </w:rPr>
  </w:style>
  <w:style w:type="paragraph" w:styleId="9">
    <w:name w:val="Body Text Indent"/>
    <w:basedOn w:val="1"/>
    <w:next w:val="10"/>
    <w:qFormat/>
    <w:uiPriority w:val="0"/>
    <w:pPr>
      <w:ind w:firstLine="645"/>
    </w:pPr>
    <w:rPr>
      <w:rFonts w:ascii="楷体_GB2312" w:hAnsi="Times New Roman" w:eastAsia="楷体_GB2312"/>
      <w:sz w:val="32"/>
      <w:szCs w:val="20"/>
    </w:rPr>
  </w:style>
  <w:style w:type="paragraph" w:styleId="10">
    <w:name w:val="envelope return"/>
    <w:basedOn w:val="1"/>
    <w:semiHidden/>
    <w:unhideWhenUsed/>
    <w:qFormat/>
    <w:uiPriority w:val="99"/>
    <w:pPr>
      <w:snapToGrid w:val="0"/>
    </w:pPr>
    <w:rPr>
      <w:rFonts w:asciiTheme="majorHAnsi" w:hAnsiTheme="majorHAnsi" w:eastAsiaTheme="majorEastAsia" w:cstheme="majorBidi"/>
    </w:rPr>
  </w:style>
  <w:style w:type="paragraph" w:styleId="11">
    <w:name w:val="toc 3"/>
    <w:basedOn w:val="1"/>
    <w:next w:val="1"/>
    <w:qFormat/>
    <w:uiPriority w:val="39"/>
    <w:pPr>
      <w:tabs>
        <w:tab w:val="right" w:leader="dot" w:pos="9403"/>
      </w:tabs>
      <w:spacing w:line="380" w:lineRule="exact"/>
      <w:ind w:left="420"/>
      <w:jc w:val="left"/>
    </w:pPr>
    <w:rPr>
      <w:rFonts w:ascii="Times New Roman" w:hAnsi="Times New Roman"/>
      <w:i/>
      <w:iCs/>
      <w:szCs w:val="24"/>
    </w:rPr>
  </w:style>
  <w:style w:type="paragraph" w:styleId="12">
    <w:name w:val="Balloon Text"/>
    <w:basedOn w:val="1"/>
    <w:link w:val="37"/>
    <w:qFormat/>
    <w:uiPriority w:val="0"/>
    <w:rPr>
      <w:sz w:val="18"/>
      <w:szCs w:val="18"/>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List"/>
    <w:basedOn w:val="1"/>
    <w:qFormat/>
    <w:uiPriority w:val="0"/>
    <w:pPr>
      <w:ind w:left="200" w:hanging="200" w:hangingChars="200"/>
    </w:pPr>
    <w:rPr>
      <w:rFonts w:ascii="Times New Roman" w:hAnsi="Times New Roman"/>
    </w:rPr>
  </w:style>
  <w:style w:type="paragraph" w:styleId="17">
    <w:name w:val="toc 2"/>
    <w:basedOn w:val="1"/>
    <w:next w:val="1"/>
    <w:qFormat/>
    <w:uiPriority w:val="39"/>
    <w:pPr>
      <w:tabs>
        <w:tab w:val="right" w:leader="dot" w:pos="9403"/>
      </w:tabs>
      <w:ind w:left="210"/>
      <w:jc w:val="left"/>
    </w:pPr>
    <w:rPr>
      <w:rFonts w:ascii="Times New Roman" w:hAnsi="Times New Roman"/>
      <w:smallCaps/>
      <w:sz w:val="28"/>
      <w:szCs w:val="24"/>
    </w:rPr>
  </w:style>
  <w:style w:type="paragraph" w:styleId="18">
    <w:name w:val="annotation subject"/>
    <w:basedOn w:val="6"/>
    <w:next w:val="6"/>
    <w:link w:val="32"/>
    <w:qFormat/>
    <w:uiPriority w:val="0"/>
    <w:rPr>
      <w:b/>
      <w:bCs/>
    </w:rPr>
  </w:style>
  <w:style w:type="paragraph" w:styleId="19">
    <w:name w:val="Body Text First Indent 2"/>
    <w:basedOn w:val="9"/>
    <w:next w:val="1"/>
    <w:unhideWhenUsed/>
    <w:qFormat/>
    <w:uiPriority w:val="99"/>
    <w:pPr>
      <w:ind w:firstLine="420" w:firstLineChars="200"/>
    </w:pPr>
    <w:rPr>
      <w:rFonts w:ascii="Times New Roman" w:eastAsia="宋体"/>
    </w:rPr>
  </w:style>
  <w:style w:type="table" w:styleId="21">
    <w:name w:val="Table Grid"/>
    <w:basedOn w:val="20"/>
    <w:qFormat/>
    <w:uiPriority w:val="5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page number"/>
    <w:qFormat/>
    <w:uiPriority w:val="99"/>
  </w:style>
  <w:style w:type="character" w:styleId="24">
    <w:name w:val="annotation reference"/>
    <w:basedOn w:val="22"/>
    <w:qFormat/>
    <w:uiPriority w:val="0"/>
    <w:rPr>
      <w:sz w:val="21"/>
      <w:szCs w:val="21"/>
    </w:rPr>
  </w:style>
  <w:style w:type="paragraph" w:customStyle="1" w:styleId="2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6">
    <w:name w:val="D&amp;L"/>
    <w:basedOn w:val="14"/>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27">
    <w:name w:val="_Style 3"/>
    <w:basedOn w:val="1"/>
    <w:qFormat/>
    <w:uiPriority w:val="0"/>
    <w:pPr>
      <w:ind w:firstLine="420" w:firstLineChars="200"/>
    </w:pPr>
  </w:style>
  <w:style w:type="paragraph" w:customStyle="1" w:styleId="2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34"/>
    <w:pPr>
      <w:ind w:firstLine="420" w:firstLineChars="200"/>
    </w:pPr>
  </w:style>
  <w:style w:type="paragraph" w:customStyle="1" w:styleId="30">
    <w:name w:val="_Style 1"/>
    <w:basedOn w:val="1"/>
    <w:qFormat/>
    <w:uiPriority w:val="0"/>
    <w:pPr>
      <w:ind w:firstLine="420" w:firstLineChars="200"/>
    </w:pPr>
  </w:style>
  <w:style w:type="character" w:customStyle="1" w:styleId="31">
    <w:name w:val="批注文字 Char"/>
    <w:basedOn w:val="22"/>
    <w:link w:val="6"/>
    <w:qFormat/>
    <w:uiPriority w:val="0"/>
    <w:rPr>
      <w:rFonts w:ascii="Calibri" w:hAnsi="Calibri" w:eastAsia="宋体" w:cs="Times New Roman"/>
      <w:kern w:val="2"/>
      <w:sz w:val="21"/>
      <w:szCs w:val="22"/>
    </w:rPr>
  </w:style>
  <w:style w:type="character" w:customStyle="1" w:styleId="32">
    <w:name w:val="批注主题 Char"/>
    <w:basedOn w:val="31"/>
    <w:link w:val="18"/>
    <w:qFormat/>
    <w:uiPriority w:val="0"/>
    <w:rPr>
      <w:rFonts w:ascii="Calibri" w:hAnsi="Calibri" w:eastAsia="宋体" w:cs="Times New Roman"/>
      <w:b/>
      <w:bCs/>
      <w:kern w:val="2"/>
      <w:sz w:val="21"/>
      <w:szCs w:val="22"/>
    </w:rPr>
  </w:style>
  <w:style w:type="paragraph" w:customStyle="1" w:styleId="33">
    <w:name w:val="修订1"/>
    <w:hidden/>
    <w:unhideWhenUsed/>
    <w:qFormat/>
    <w:uiPriority w:val="99"/>
    <w:rPr>
      <w:rFonts w:ascii="Calibri" w:hAnsi="Calibri" w:eastAsia="宋体" w:cs="Times New Roman"/>
      <w:kern w:val="2"/>
      <w:sz w:val="21"/>
      <w:szCs w:val="22"/>
      <w:lang w:val="en-US" w:eastAsia="zh-CN" w:bidi="ar-SA"/>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6">
    <w:name w:val="*正文"/>
    <w:basedOn w:val="1"/>
    <w:next w:val="1"/>
    <w:qFormat/>
    <w:uiPriority w:val="0"/>
    <w:pPr>
      <w:widowControl/>
      <w:ind w:firstLine="482"/>
    </w:pPr>
    <w:rPr>
      <w:rFonts w:ascii="微软雅黑" w:hAnsi="微软雅黑" w:eastAsia="微软雅黑"/>
    </w:rPr>
  </w:style>
  <w:style w:type="character" w:customStyle="1" w:styleId="37">
    <w:name w:val="批注框文本 Char"/>
    <w:basedOn w:val="22"/>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2662</Words>
  <Characters>15179</Characters>
  <Lines>126</Lines>
  <Paragraphs>35</Paragraphs>
  <TotalTime>13</TotalTime>
  <ScaleCrop>false</ScaleCrop>
  <LinksUpToDate>false</LinksUpToDate>
  <CharactersWithSpaces>17806</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wps</cp:lastModifiedBy>
  <cp:lastPrinted>2024-01-11T05:29:00Z</cp:lastPrinted>
  <dcterms:modified xsi:type="dcterms:W3CDTF">2024-01-11T06:05:49Z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F7C75B5865504603A35C2EE62627A2B1_13</vt:lpwstr>
  </property>
</Properties>
</file>