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44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44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“2023合肥政文国际会展管理有限公司全员团建”执行策划项目（第二次）采购竞价文件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各供应商：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0" w:firstLineChars="20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合肥政文国际会展管理有限公司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全员团建活动中执行策划项目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通过公开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竞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价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方式，择优选择一家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服务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单位。请各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意向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单位按以下要求进行报价：</w:t>
      </w:r>
    </w:p>
    <w:p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项目名称：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“2023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合肥政文国际会展管理有限公司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全员团建”执行策划项目（第二次）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0" w:leftChars="0" w:right="0" w:rightChars="0"/>
        <w:jc w:val="both"/>
        <w:rPr>
          <w:rFonts w:hint="eastAsia" w:ascii="仿宋" w:hAnsi="仿宋" w:eastAsia="仿宋" w:cs="仿宋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二、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编号</w:t>
      </w: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：</w:t>
      </w: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2024ZWHZXJ00001号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三、项目预算：</w:t>
      </w: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3.8</w:t>
      </w:r>
      <w:r>
        <w:rPr>
          <w:rStyle w:val="9"/>
          <w:rFonts w:hint="default" w:ascii="仿宋" w:hAnsi="仿宋" w:eastAsia="仿宋" w:cs="仿宋"/>
          <w:b w:val="0"/>
          <w:bCs/>
          <w:i w:val="0"/>
          <w:iCs w:val="0"/>
          <w:caps w:val="0"/>
          <w:color w:val="000000" w:themeColor="text1"/>
          <w:spacing w:val="0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万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元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四、供应商资格：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（1）营业执照合法有效；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）具有独立承担民事的能力；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3）提供2020年1月以来相似服务内容单个金额超过1.5万元业绩证明材料复印件一份（业绩证明材料为合同协议书，如合同协议书中无法体现签订时间、项目内容等内容的，须另附业主单位(或合同甲方) 加盖公章的证明材料或验收材料的扫描件）。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五、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项目需求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:</w:t>
      </w:r>
    </w:p>
    <w:tbl>
      <w:tblPr>
        <w:tblStyle w:val="6"/>
        <w:tblpPr w:leftFromText="180" w:rightFromText="180" w:vertAnchor="text" w:horzAnchor="page" w:tblpX="1560" w:tblpY="1366"/>
        <w:tblOverlap w:val="never"/>
        <w:tblW w:w="898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7"/>
        <w:gridCol w:w="1129"/>
        <w:gridCol w:w="1828"/>
        <w:gridCol w:w="1768"/>
        <w:gridCol w:w="1350"/>
        <w:gridCol w:w="1230"/>
        <w:gridCol w:w="12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项目说明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用途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人员物资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定制马甲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定制马甲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元/件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舞台前档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KT板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起跑线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旗帜布起跑线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元/条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地贴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岔路口及人员动线指引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元/张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签到点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桌档、桌子、凳子、帐篷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元/㎡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汽笛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发令汽笛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游戏道具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六个游戏道具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6个游戏项目道具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元/项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执行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组织执行工作人员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主教练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项目教练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助教协助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组织策划服务费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人员保险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1日户外险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补给站点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用于2.5km处以及下午团建场地内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  <w:jc w:val="center"/>
        </w:trPr>
        <w:tc>
          <w:tcPr>
            <w:tcW w:w="8982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备注：中标方需负责本项活动的全部氛围布置类的画面设计，并与我方下家进行对接。</w:t>
            </w:r>
          </w:p>
        </w:tc>
      </w:tr>
    </w:tbl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Style w:val="9"/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210" w:leftChars="0" w:right="0" w:firstLine="420" w:firstLineChars="0"/>
        <w:jc w:val="both"/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活动大致内容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0" w:leftChars="0" w:right="0" w:rightChars="0"/>
        <w:jc w:val="both"/>
        <w:rPr>
          <w:rStyle w:val="9"/>
          <w:rFonts w:hint="eastAsia" w:ascii="仿宋" w:hAnsi="仿宋" w:eastAsia="仿宋" w:cs="仿宋"/>
          <w:b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b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（一）活动基本信息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420" w:leftChars="0" w:firstLineChars="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活动时间：2024年1月上中旬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420" w:leftChars="0" w:firstLineChars="0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活动地点：会展中心综合馆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420" w:leftChars="0" w:firstLineChars="0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活动人数：135人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420" w:leftChars="0" w:firstLineChars="0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活动内容：趣味团建、打卡闯关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420" w:leftChars="0" w:firstLineChars="0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活动目标：相互融合、活跃团队氛围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420" w:leftChars="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活动基本内容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mini马拉松大致内容：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</w:pPr>
      <w:r>
        <w:drawing>
          <wp:inline distT="0" distB="0" distL="114300" distR="114300">
            <wp:extent cx="2575560" cy="1714500"/>
            <wp:effectExtent l="0" t="0" r="1524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0490" cy="1690370"/>
            <wp:effectExtent l="0" t="0" r="1651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/>
          <w:b/>
          <w:bCs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1、 趣味签到(国旗贴)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2、运动员在待场区列队准备入场(加油打气，挑战状态)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3、 运动员入场式(各代表队入场，团队士气展示)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4、 运动员代表致词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5、 主持人兼裁判长代表全体裁判宣誓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6、 参会领导致词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7、 开场啦啦操(暖场舞蹈)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8、 全员热身，铁军战吼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9、 参会领导鸣笛并宣布开始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10、进行mini马拉松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420" w:firstLineChars="200"/>
        <w:jc w:val="left"/>
        <w:textAlignment w:val="auto"/>
      </w:pPr>
      <w:r>
        <w:drawing>
          <wp:inline distT="0" distB="0" distL="114300" distR="114300">
            <wp:extent cx="4809490" cy="1933575"/>
            <wp:effectExtent l="0" t="0" r="10160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422" w:firstLineChars="200"/>
        <w:jc w:val="center"/>
        <w:textAlignment w:val="auto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场馆示意图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420" w:firstLineChars="200"/>
        <w:jc w:val="left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2366645" cy="2209800"/>
            <wp:effectExtent l="0" t="0" r="14605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8245" cy="2181225"/>
            <wp:effectExtent l="0" t="0" r="8255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422" w:firstLineChars="200"/>
        <w:jc w:val="center"/>
        <w:textAlignment w:val="auto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场馆示意图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42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以登录大厅为始发点和终点，组织公司全员围绕场馆进行马拉松晨跑活动，线路两圈全程5km，需环绕两圈完成比赛。该环节中需要中标单位提供以下服务：集合签到、人员集合整队、主教练带领热身、引导发抢、晨跑过程中人员保障工作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趣味运动会大致内容：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  <w:t>趣味运动会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主要</w:t>
      </w:r>
      <w: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  <w:t>以团队竞技活动和挑战项目为主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。拟设置6个闯关体验环节，每组领取一张6宫格闯关卡，每完成一个闯关任务，将卡片对应宫格画满，哪队先完成6轮项目闯关，加上相应的最快完成的积分。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同时，获得单个项目的最佳成绩也会有相应的加分排名，每支队伍有三次刷新成绩的机会，以最高成绩计算。最终看哪一团队积分最高，即为冠军团队。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趣味三轮车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</w:pPr>
      <w:r>
        <w:drawing>
          <wp:inline distT="0" distB="0" distL="114300" distR="114300">
            <wp:extent cx="3019425" cy="1714500"/>
            <wp:effectExtent l="0" t="0" r="9525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移动高尔夫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2571750" cy="1762125"/>
            <wp:effectExtent l="0" t="0" r="0" b="952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眼疾手快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2438400" cy="2161540"/>
            <wp:effectExtent l="0" t="0" r="0" b="1016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充气跨栏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2819400" cy="2867025"/>
            <wp:effectExtent l="0" t="0" r="0" b="952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毛毛虫大作战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2657475" cy="2790825"/>
            <wp:effectExtent l="0" t="0" r="9525" b="952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12869545</wp:posOffset>
            </wp:positionH>
            <wp:positionV relativeFrom="page">
              <wp:posOffset>2754630</wp:posOffset>
            </wp:positionV>
            <wp:extent cx="3213100" cy="3209290"/>
            <wp:effectExtent l="0" t="0" r="6350" b="10160"/>
            <wp:wrapNone/>
            <wp:docPr id="3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13712190</wp:posOffset>
            </wp:positionH>
            <wp:positionV relativeFrom="page">
              <wp:posOffset>6145530</wp:posOffset>
            </wp:positionV>
            <wp:extent cx="3213100" cy="3209290"/>
            <wp:effectExtent l="0" t="0" r="6350" b="10160"/>
            <wp:wrapNone/>
            <wp:docPr id="2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13559790</wp:posOffset>
            </wp:positionH>
            <wp:positionV relativeFrom="page">
              <wp:posOffset>5993130</wp:posOffset>
            </wp:positionV>
            <wp:extent cx="3213100" cy="3209290"/>
            <wp:effectExtent l="0" t="0" r="6350" b="1016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击鼓颠球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2971800" cy="1885315"/>
            <wp:effectExtent l="0" t="0" r="0" b="63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限时零食大抢购大致内容：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以上项目进行完毕后，团队按照完成总体项目的时间和团队协作配合度来打分排名，按照排名的顺序依次获得“抢”零食机会，并且有抽取辅助工具的次数。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200"/>
        <w:jc w:val="left"/>
        <w:textAlignment w:val="auto"/>
      </w:pPr>
      <w:r>
        <w:drawing>
          <wp:inline distT="0" distB="0" distL="114300" distR="114300">
            <wp:extent cx="2302510" cy="1677035"/>
            <wp:effectExtent l="0" t="0" r="2540" b="184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8375" cy="1704340"/>
            <wp:effectExtent l="0" t="0" r="9525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备注：以上所有的项目都需要中标策划公司协助运营，方案中活动具体的执行可中标后再商量。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七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工期要求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highlight w:val="none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highlight w:val="none"/>
          <w:lang w:val="en-US" w:eastAsia="zh-CN"/>
        </w:rPr>
        <w:t>于2024年1月19日到位（需采购方确定）。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八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、报价要求：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（1）本项目采用有效最低价中标原则，请供应商须按清单需求报价，报价为租赁及采购价格的总和，并在分项报价表中列明综合单价，报价作为定标的依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据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结算以实际验收数量为准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2）综合单价是指完成采购需求全部内容的单位综合价格。包括产品的生产、包装、运输、装卸、加工（含加工过程中的主要及辅助材料损耗）、安装、验收、维保、培训、利润、税金等全部费用，并作为项目结算依据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（3）响应文件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报价清单需填报本项目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供货范围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内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所有物品报价，不得有漏项，否则无效。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九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、付款方式：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接到中标通知后3个工作日内与采购人对接签订合同相关事宜，并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按采购人要求时间供货，供货物品验收合格后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转账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结算支付全部费用。在采购人付款前，中标人需向采购人交付等额的增值税专用发票，否则采购人有权拒绝或者延迟付款，且不承担违约责任。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十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、报名方式：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请投标单位将报名信息表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填写后于202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16：0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0前发送至邮箱942219419@qq.com，将明细报价单、资质文件等资料（以上文件均需加盖公章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正本1份副本2份）密封后于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0前至合肥政文国际会展管理有限公司（合肥市锦绣大道3899号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  <w:t>合肥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滨湖会展中心办公楼）参加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  <w:t>现场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竞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价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可能进行二轮或多轮报价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0" w:firstLineChars="20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如有未尽事宜请在报价中说明。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0" w:firstLineChars="200"/>
        <w:jc w:val="both"/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注：响应文件密封后，需注明项目编号、项目名称等，同时在密封处加盖骑缝章。</w:t>
      </w:r>
      <w:bookmarkStart w:id="7" w:name="_GoBack"/>
      <w:bookmarkEnd w:id="7"/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十一、投标保证金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3" w:lineRule="atLeast"/>
        <w:ind w:left="0" w:right="0" w:firstLine="420"/>
        <w:jc w:val="left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投标人在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报名</w:t>
      </w: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截止时间前必须向采购人缴纳投标保证金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760</w:t>
      </w: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元</w:t>
      </w: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，中标单位合同签订后予以无息退还，未中标单位评标结束后予以无息退还。投标保证金请以转账的形式缴纳至下列账户：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3" w:lineRule="atLeast"/>
        <w:ind w:left="0" w:right="0" w:firstLine="420"/>
        <w:jc w:val="left"/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收款单位：合肥政文国际会展管理有限公司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3" w:lineRule="atLeast"/>
        <w:ind w:left="0" w:right="0" w:firstLine="420"/>
        <w:jc w:val="left"/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账号：76690188000476007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3" w:lineRule="atLeast"/>
        <w:ind w:left="0" w:right="0" w:firstLine="420"/>
        <w:jc w:val="left"/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开户银行：光大银行合肥分行营业部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3" w:lineRule="atLeast"/>
        <w:ind w:left="0" w:right="0" w:firstLine="420"/>
        <w:jc w:val="left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转账备注信息：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“2023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合肥政文国际会展管理有限公司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全员团建”执行策划项目（第二次）投标</w:t>
      </w: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保证金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十一、履约保证金：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供应商中标后需向采购人转账缴纳履约保证金，金额为中标价的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5%，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（履约结束后无息退还），履约保证金请以转账的形式缴纳至下列账户：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收款单位：合肥政文国际会展管理有限公司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账号：76690188000476007                             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开户银行：光大银行合肥分行营业部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转账备注信息：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“2023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合肥政文国际会展管理有限公司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全员团建”执行策划项目（第二次）履约</w:t>
      </w: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保证金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jc w:val="both"/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 xml:space="preserve">投标咨询联系人：周工  </w:t>
      </w: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/>
          <w:spacing w:val="0"/>
          <w:sz w:val="32"/>
          <w:szCs w:val="32"/>
        </w:rPr>
        <w:t>电话：0551-65790</w:t>
      </w: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295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jc w:val="both"/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 xml:space="preserve">参数咨询联系人：周工  电话：0551-65790293 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0" w:firstLineChars="20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3780" w:leftChars="0" w:right="0" w:firstLine="420"/>
        <w:jc w:val="center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合肥政文国际会展管理有限公司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202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日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一．响应函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致：合肥政文国际会展管理有限公司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根据贵方“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       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”的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价文件，正式授权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      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（姓名、身份证号）代表供应商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　  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（供应商全称），提交规定形式的响应文件。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据此函，我方兹宣布同意如下：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（1）我方按采购文件规定提供服务的最终响应报价详见开标一览表，我方完全响应采购文件规定的服务期限及付款方式。如我公司中标，我公司承诺愿意按采购文件规定交纳履约保证金。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（2）我方根据采购文件的规定，严格履行合同的责任和义务,并保证于买方要求的日期内完成服务，并通过买方验收。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3）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我方已详细审核全部采购文件，包括采购文件的答疑、澄清、变更或补充（如有）、参考资料及有关附件，我方正式认可并遵守本次采购文件，并对采购文件各项条款（包括开标时间）、规定及要求均无异议。我方知道必须放弃提出含糊不清或误解的问题的权利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（5）我方同意从采购文件规定的开标日期起遵循本响应文件，并在采购文件规定的投标有效期之前均具有约束力。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6）我方声明响应文件所提供的一切资料均真实无误、及时、有效。企业运营正常（注册登记信息、年报信息可查）。由于我方提供资料不实而造成的责任和后果由我方承担。我方同意按照贵方提出的要求，提供与投标有关的任何证据、数据或资料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（7）我方完全理解贵方不一定接受最低报价的投标。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（8）我方承诺若中标，按采购文件要求提供本地化服务。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（9）我方同意采购文件规定的付款方式。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（10）与本投标有关的通讯地址：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                   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电    话：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         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传    真：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 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供应商基本账户开户名：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账号：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供应商章：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        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 日    期：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       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特此承诺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供应商（公章）：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企业法人（签字）：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授权代表（签字）：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日</w:t>
      </w:r>
    </w:p>
    <w:p>
      <w:pPr>
        <w:keepNext/>
        <w:keepLines/>
        <w:spacing w:before="260" w:after="260" w:line="416" w:lineRule="auto"/>
        <w:ind w:firstLine="562" w:firstLineChars="200"/>
        <w:jc w:val="center"/>
        <w:outlineLvl w:val="2"/>
        <w:rPr>
          <w:rFonts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bookmarkStart w:id="0" w:name="_Toc38783648"/>
      <w:bookmarkStart w:id="1" w:name="_Toc516969097"/>
      <w:bookmarkStart w:id="2" w:name="_Toc471736409"/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二．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情况综合简介</w:t>
      </w:r>
      <w:bookmarkEnd w:id="0"/>
      <w:bookmarkEnd w:id="1"/>
      <w:bookmarkEnd w:id="2"/>
    </w:p>
    <w:p>
      <w:pPr>
        <w:spacing w:line="500" w:lineRule="exact"/>
        <w:ind w:firstLine="480" w:firstLineChars="200"/>
        <w:jc w:val="center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宋体" w:hAnsi="宋体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可自行制作格式</w:t>
      </w:r>
      <w:r>
        <w:rPr>
          <w:rFonts w:hint="eastAsia" w:ascii="宋体" w:hAnsi="宋体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，需包含竞价文件需提供的资质文件扫描件，并加盖公章</w:t>
      </w: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)</w:t>
      </w:r>
    </w:p>
    <w:p>
      <w:pPr>
        <w:pStyle w:val="4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spacing w:before="260" w:after="260" w:line="416" w:lineRule="auto"/>
        <w:ind w:firstLine="562" w:firstLineChars="200"/>
        <w:jc w:val="center"/>
        <w:outlineLvl w:val="2"/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bookmarkStart w:id="3" w:name="_Toc38783649"/>
    </w:p>
    <w:p>
      <w:pPr>
        <w:pStyle w:val="4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spacing w:before="260" w:after="260" w:line="416" w:lineRule="auto"/>
        <w:ind w:firstLine="562" w:firstLineChars="200"/>
        <w:jc w:val="center"/>
        <w:outlineLvl w:val="2"/>
        <w:rPr>
          <w:rFonts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三．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一览表</w:t>
      </w:r>
      <w:bookmarkEnd w:id="3"/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6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2" w:hRule="atLeast"/>
          <w:jc w:val="center"/>
        </w:trPr>
        <w:tc>
          <w:tcPr>
            <w:tcW w:w="247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项 目 名 称</w:t>
            </w:r>
          </w:p>
        </w:tc>
        <w:tc>
          <w:tcPr>
            <w:tcW w:w="687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center"/>
              <w:rPr>
                <w:rFonts w:ascii="仿宋_GB2312" w:hAnsi="宋体" w:eastAsia="仿宋_GB2312" w:cs="宋体"/>
                <w:bCs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6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供应商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全称</w:t>
            </w: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firstLine="480" w:firstLineChars="200"/>
              <w:rPr>
                <w:rFonts w:ascii="宋体" w:hAnsi="宋体" w:cs="宋体"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8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报价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范围</w:t>
            </w: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480" w:firstLineChars="200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全部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1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exact"/>
              <w:ind w:firstLine="482" w:firstLineChars="200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最终报价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元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right="-670" w:firstLine="480" w:firstLineChars="200"/>
              <w:rPr>
                <w:rFonts w:hint="eastAsia" w:ascii="宋体" w:hAnsi="宋体" w:eastAsia="宋体" w:cs="宋体"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2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9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color w:val="000000" w:themeColor="text1"/>
                <w:sz w:val="24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before="100" w:beforeAutospacing="1" w:after="100" w:afterAutospacing="1" w:line="360" w:lineRule="auto"/>
        <w:ind w:firstLine="482" w:firstLineChars="200"/>
        <w:rPr>
          <w:rFonts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 xml:space="preserve">(公章)：                                           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备注：表中最终报价即为优惠后报价，并作为评审及</w:t>
      </w:r>
      <w:r>
        <w:rPr>
          <w:rFonts w:hint="eastAsia" w:ascii="宋体" w:hAnsi="宋体" w:cs="宋体"/>
          <w:b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成交</w:t>
      </w:r>
      <w:r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依据。任何有选择或有条件的最终报价，或者表中某一标段填写多个报价，均为无效报价。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246"/>
        </w:tabs>
        <w:spacing w:before="0" w:beforeAutospacing="0" w:after="0" w:afterAutospacing="0"/>
        <w:ind w:right="0"/>
        <w:jc w:val="left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spacing w:before="260" w:after="260" w:line="416" w:lineRule="auto"/>
        <w:jc w:val="center"/>
        <w:outlineLvl w:val="2"/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四．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报价表</w:t>
      </w:r>
    </w:p>
    <w:tbl>
      <w:tblPr>
        <w:tblStyle w:val="6"/>
        <w:tblpPr w:leftFromText="180" w:rightFromText="180" w:vertAnchor="text" w:horzAnchor="page" w:tblpX="1560" w:tblpY="1366"/>
        <w:tblOverlap w:val="never"/>
        <w:tblW w:w="898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7"/>
        <w:gridCol w:w="1129"/>
        <w:gridCol w:w="1828"/>
        <w:gridCol w:w="1768"/>
        <w:gridCol w:w="1350"/>
        <w:gridCol w:w="1230"/>
        <w:gridCol w:w="12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项目说明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用途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人员物资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定制马甲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定制马甲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元/件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舞台前档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KT板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起跑线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旗帜布起跑线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元/条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地贴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岔路口及人员动线指引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元/张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签到点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桌档、桌子、凳子、帐篷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元/㎡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汽笛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发令汽笛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游戏道具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六个游戏道具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6个游戏项目道具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元/项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执行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组织执行工作人员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主教练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项目教练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助教协助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组织策划服务费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人员保险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1日户外险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补给站点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用于2.5km处以及下午团建场地内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>
      <w:pPr>
        <w:pStyle w:val="4"/>
        <w:rPr>
          <w:rFonts w:hint="eastAsia" w:ascii="宋体" w:hAnsi="宋体" w:eastAsia="宋体" w:cs="宋体"/>
          <w:b/>
          <w:color w:val="000000" w:themeColor="text1"/>
          <w:kern w:val="2"/>
          <w:sz w:val="24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hint="eastAsia" w:ascii="宋体" w:hAnsi="宋体" w:eastAsia="宋体" w:cs="宋体"/>
          <w:b/>
          <w:color w:val="000000" w:themeColor="text1"/>
          <w:kern w:val="2"/>
          <w:sz w:val="24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2"/>
          <w:sz w:val="24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（格式仅供参考）</w:t>
      </w:r>
    </w:p>
    <w:p>
      <w:pPr>
        <w:spacing w:line="360" w:lineRule="auto"/>
        <w:rPr>
          <w:rFonts w:hint="eastAsia" w:ascii="宋体" w:hAnsi="宋体"/>
          <w:b/>
          <w:color w:val="000000" w:themeColor="text1"/>
          <w:sz w:val="24"/>
          <w:szCs w:val="20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宋体" w:hAnsi="宋体"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24"/>
          <w:szCs w:val="20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b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  <w:t>公章：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备注：</w:t>
      </w:r>
    </w:p>
    <w:p>
      <w:pPr>
        <w:adjustRightInd w:val="0"/>
        <w:snapToGrid w:val="0"/>
        <w:spacing w:line="360" w:lineRule="auto"/>
        <w:ind w:firstLine="482" w:firstLineChars="200"/>
        <w:rPr>
          <w:rFonts w:hint="eastAsia" w:ascii="Calibri" w:hAnsi="Calibri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表中所列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货物或服务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为对应本项目需求的全部货物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或服务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及所需附件购置费、包装费、运输费、人工费、保险费、安装费、调试费、各种税费、资料费、售后服务费及完成项目应有的全部费用。如有漏项或缺项，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承担全部责任。</w:t>
      </w:r>
    </w:p>
    <w:p>
      <w:pPr>
        <w:keepNext/>
        <w:keepLines/>
        <w:spacing w:before="260" w:after="260" w:line="416" w:lineRule="auto"/>
        <w:ind w:firstLine="562" w:firstLineChars="200"/>
        <w:jc w:val="center"/>
        <w:outlineLvl w:val="2"/>
        <w:rPr>
          <w:rFonts w:hint="eastAsia" w:ascii="宋体" w:hAnsi="宋体" w:eastAsia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一览表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（第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次报价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6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2" w:hRule="atLeast"/>
          <w:jc w:val="center"/>
        </w:trPr>
        <w:tc>
          <w:tcPr>
            <w:tcW w:w="247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项 目 名 称</w:t>
            </w:r>
          </w:p>
        </w:tc>
        <w:tc>
          <w:tcPr>
            <w:tcW w:w="687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center"/>
              <w:rPr>
                <w:rFonts w:ascii="仿宋_GB2312" w:hAnsi="宋体" w:eastAsia="仿宋_GB2312" w:cs="宋体"/>
                <w:bCs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6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供应商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全称</w:t>
            </w: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firstLine="480" w:firstLineChars="200"/>
              <w:rPr>
                <w:rFonts w:ascii="宋体" w:hAnsi="宋体" w:cs="宋体"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8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报价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范围</w:t>
            </w: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480" w:firstLineChars="200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全部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1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exact"/>
              <w:ind w:firstLine="482" w:firstLineChars="200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最终报价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元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right="-670" w:firstLine="480" w:firstLineChars="200"/>
              <w:rPr>
                <w:rFonts w:hint="eastAsia" w:ascii="宋体" w:hAnsi="宋体" w:eastAsia="宋体" w:cs="宋体"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2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9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color w:val="000000" w:themeColor="text1"/>
                <w:sz w:val="24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before="100" w:beforeAutospacing="1" w:after="100" w:afterAutospacing="1" w:line="360" w:lineRule="auto"/>
        <w:ind w:firstLine="482" w:firstLineChars="200"/>
        <w:rPr>
          <w:rFonts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 xml:space="preserve">(公章)：                                           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备注：表中最终报价即为优惠后报价，并作为评审及</w:t>
      </w:r>
      <w:r>
        <w:rPr>
          <w:rFonts w:hint="eastAsia" w:ascii="宋体" w:hAnsi="宋体" w:cs="宋体"/>
          <w:b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成交</w:t>
      </w:r>
      <w:r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依据。任何有选择或有条件的最终报价，或者表中某一标段填写多个报价，均为无效报价。</w:t>
      </w:r>
    </w:p>
    <w:p>
      <w:pPr>
        <w:pStyle w:val="4"/>
        <w:rPr>
          <w:rFonts w:hint="eastAsia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246"/>
        </w:tabs>
        <w:spacing w:before="0" w:beforeAutospacing="0" w:after="0" w:afterAutospacing="0"/>
        <w:ind w:right="0"/>
        <w:jc w:val="left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spacing w:before="260" w:after="260" w:line="416" w:lineRule="auto"/>
        <w:jc w:val="center"/>
        <w:outlineLvl w:val="2"/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六．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报价表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（第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次报价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</w:p>
    <w:tbl>
      <w:tblPr>
        <w:tblStyle w:val="6"/>
        <w:tblpPr w:leftFromText="180" w:rightFromText="180" w:vertAnchor="text" w:horzAnchor="page" w:tblpX="1560" w:tblpY="1366"/>
        <w:tblOverlap w:val="never"/>
        <w:tblW w:w="898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7"/>
        <w:gridCol w:w="1129"/>
        <w:gridCol w:w="1828"/>
        <w:gridCol w:w="1768"/>
        <w:gridCol w:w="1350"/>
        <w:gridCol w:w="1230"/>
        <w:gridCol w:w="12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项目说明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用途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人员物资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定制马甲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定制马甲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元/件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舞台前档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KT板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起跑线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旗帜布起跑线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元/条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地贴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岔路口及人员动线指引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元/张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签到点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桌档、桌子、凳子、帐篷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元/㎡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汽笛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发令汽笛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游戏道具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六个游戏道具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6个游戏项目道具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元/项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执行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组织执行工作人员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主教练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项目教练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助教协助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组织策划服务费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人员保险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1日户外险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补给站点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用于2.5km处以及下午团建场地内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>
      <w:pPr>
        <w:pStyle w:val="4"/>
        <w:rPr>
          <w:rFonts w:hint="eastAsia" w:ascii="宋体" w:hAnsi="宋体" w:eastAsia="宋体" w:cs="宋体"/>
          <w:b/>
          <w:color w:val="000000" w:themeColor="text1"/>
          <w:kern w:val="2"/>
          <w:sz w:val="24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hint="eastAsia" w:ascii="宋体" w:hAnsi="宋体" w:eastAsia="宋体" w:cs="宋体"/>
          <w:b/>
          <w:color w:val="000000" w:themeColor="text1"/>
          <w:kern w:val="2"/>
          <w:sz w:val="24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2"/>
          <w:sz w:val="24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（格式仅供参考）</w:t>
      </w:r>
    </w:p>
    <w:p>
      <w:pPr>
        <w:spacing w:line="360" w:lineRule="auto"/>
        <w:rPr>
          <w:rFonts w:hint="eastAsia" w:ascii="宋体" w:hAnsi="宋体"/>
          <w:b/>
          <w:color w:val="000000" w:themeColor="text1"/>
          <w:sz w:val="24"/>
          <w:szCs w:val="20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宋体" w:hAnsi="宋体"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24"/>
          <w:szCs w:val="20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b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  <w:t>公章：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备注：</w:t>
      </w:r>
    </w:p>
    <w:p>
      <w:pPr>
        <w:adjustRightInd w:val="0"/>
        <w:snapToGrid w:val="0"/>
        <w:spacing w:line="360" w:lineRule="auto"/>
        <w:ind w:firstLine="482" w:firstLineChars="200"/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表中所列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货物或服务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为对应本项目需求的全部货物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或服务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及所需附件购置费、包装费、运输费、人工费、保险费、安装费、调试费、各种税费、资料费、售后服务费及完成项目应有的全部费用。如有漏项或缺项，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承担全部责任。</w:t>
      </w:r>
    </w:p>
    <w:p>
      <w:pPr>
        <w:pStyle w:val="4"/>
        <w:rPr>
          <w:rFonts w:hint="eastAsia" w:eastAsia="仿宋"/>
          <w:lang w:eastAsia="zh-CN"/>
        </w:rPr>
      </w:pPr>
    </w:p>
    <w:p>
      <w:pPr>
        <w:keepNext/>
        <w:keepLines/>
        <w:spacing w:before="260" w:after="260" w:line="416" w:lineRule="auto"/>
        <w:ind w:firstLine="562" w:firstLineChars="200"/>
        <w:jc w:val="center"/>
        <w:outlineLvl w:val="2"/>
        <w:rPr>
          <w:rFonts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bookmarkStart w:id="4" w:name="_Toc38783650"/>
      <w:bookmarkStart w:id="5" w:name="_Toc471736411"/>
      <w:bookmarkStart w:id="6" w:name="_Toc461103234"/>
      <w:r>
        <w:rPr>
          <w:rFonts w:hint="eastAsia" w:ascii="宋体" w:hAnsi="宋体"/>
          <w:b/>
          <w:bCs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七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信用承诺</w:t>
      </w:r>
      <w:bookmarkEnd w:id="4"/>
      <w:bookmarkEnd w:id="5"/>
      <w:bookmarkEnd w:id="6"/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我公司申明，我公司无以下不良信用记录情形：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1.公司被人民法院列入失信被执行人；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2.公司、公司法定代表人被人民检察院列入行贿犯罪档案；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3.公司被工商行政管理部门列入企业经营异常名录；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4.公司被税务部门列入重大税收违法案件当事人名单的；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参加本次</w:t>
      </w:r>
      <w:r>
        <w:rPr>
          <w:rFonts w:hint="eastAsia"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活动前三年内，在服务活动中没有重大违法及安全事故记录</w:t>
      </w: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我公司已就上述不良信用行为按照</w:t>
      </w:r>
      <w:r>
        <w:rPr>
          <w:rFonts w:hint="eastAsia" w:ascii="宋体" w:hAnsi="宋体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采购文件</w:t>
      </w:r>
      <w:r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规定进行了查询，并在</w:t>
      </w:r>
      <w:r>
        <w:rPr>
          <w:rFonts w:hint="eastAsia" w:ascii="宋体" w:hAnsi="宋体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响应文件</w:t>
      </w:r>
      <w:r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中如实提供查询截图及相关证明。我公司承诺</w:t>
      </w: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合同签订前，若我公司具有不良信用记录情形，贵方可取消我公司</w:t>
      </w:r>
      <w:r>
        <w:rPr>
          <w:rFonts w:hint="eastAsia" w:ascii="宋体" w:hAnsi="宋体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成交</w:t>
      </w:r>
      <w:r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 xml:space="preserve">资格或者不授予合同，所有责任由我公司自行承担。同时，我公司愿意无条件接受监管部门的调查处理。 </w:t>
      </w:r>
    </w:p>
    <w:p>
      <w:pPr>
        <w:spacing w:line="360" w:lineRule="auto"/>
        <w:ind w:firstLine="482" w:firstLineChars="200"/>
        <w:rPr>
          <w:rFonts w:ascii="宋体" w:hAnsi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（公章）：</w:t>
      </w:r>
    </w:p>
    <w:p>
      <w:pPr>
        <w:pStyle w:val="4"/>
        <w:rPr>
          <w:rFonts w:hint="default" w:ascii="宋体" w:hAnsi="宋体"/>
          <w:b/>
          <w:color w:val="000000"/>
          <w:sz w:val="24"/>
          <w:szCs w:val="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D148C9"/>
    <w:multiLevelType w:val="singleLevel"/>
    <w:tmpl w:val="8CD148C9"/>
    <w:lvl w:ilvl="0" w:tentative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1">
    <w:nsid w:val="B0AB06CB"/>
    <w:multiLevelType w:val="singleLevel"/>
    <w:tmpl w:val="B0AB06CB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B5A570CC"/>
    <w:multiLevelType w:val="singleLevel"/>
    <w:tmpl w:val="B5A570C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C3A444A"/>
    <w:multiLevelType w:val="singleLevel"/>
    <w:tmpl w:val="0C3A444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3388E81E"/>
    <w:multiLevelType w:val="singleLevel"/>
    <w:tmpl w:val="3388E81E"/>
    <w:lvl w:ilvl="0" w:tentative="0">
      <w:start w:val="6"/>
      <w:numFmt w:val="chineseCounting"/>
      <w:suff w:val="nothing"/>
      <w:lvlText w:val="%1、"/>
      <w:lvlJc w:val="left"/>
      <w:pPr>
        <w:ind w:left="-210"/>
      </w:pPr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4Y2EzYmJmY2M4NTA0ZmFhZTAzY2FkM2FkZDEyZDEifQ=="/>
  </w:docVars>
  <w:rsids>
    <w:rsidRoot w:val="00000000"/>
    <w:rsid w:val="00445DEA"/>
    <w:rsid w:val="00745D40"/>
    <w:rsid w:val="0246335C"/>
    <w:rsid w:val="03002304"/>
    <w:rsid w:val="058F6D23"/>
    <w:rsid w:val="062A15CE"/>
    <w:rsid w:val="0C2A2E85"/>
    <w:rsid w:val="0D451AEE"/>
    <w:rsid w:val="0E5D00BB"/>
    <w:rsid w:val="0EA77ABC"/>
    <w:rsid w:val="0F616077"/>
    <w:rsid w:val="0F7B76B3"/>
    <w:rsid w:val="1070353C"/>
    <w:rsid w:val="111B21A2"/>
    <w:rsid w:val="13BC3664"/>
    <w:rsid w:val="13E3677E"/>
    <w:rsid w:val="14221993"/>
    <w:rsid w:val="14302302"/>
    <w:rsid w:val="14B22C98"/>
    <w:rsid w:val="15B44625"/>
    <w:rsid w:val="17B66BA4"/>
    <w:rsid w:val="18093C6A"/>
    <w:rsid w:val="19AA0461"/>
    <w:rsid w:val="1BC530EE"/>
    <w:rsid w:val="1CE533EE"/>
    <w:rsid w:val="1D464944"/>
    <w:rsid w:val="1D534EAE"/>
    <w:rsid w:val="1EB9280E"/>
    <w:rsid w:val="1FA320A9"/>
    <w:rsid w:val="205D4D8C"/>
    <w:rsid w:val="20664B8F"/>
    <w:rsid w:val="20B017BF"/>
    <w:rsid w:val="235C5DB5"/>
    <w:rsid w:val="24EC43BC"/>
    <w:rsid w:val="28C03BBF"/>
    <w:rsid w:val="29B46149"/>
    <w:rsid w:val="2A00162B"/>
    <w:rsid w:val="2AAA59CA"/>
    <w:rsid w:val="31A87524"/>
    <w:rsid w:val="34F4339D"/>
    <w:rsid w:val="397E7549"/>
    <w:rsid w:val="3F9B684D"/>
    <w:rsid w:val="414D70D1"/>
    <w:rsid w:val="424961B9"/>
    <w:rsid w:val="45C77069"/>
    <w:rsid w:val="45C82E48"/>
    <w:rsid w:val="47C31746"/>
    <w:rsid w:val="4AD82636"/>
    <w:rsid w:val="4B250761"/>
    <w:rsid w:val="4C5B0FC3"/>
    <w:rsid w:val="4CBA7CE5"/>
    <w:rsid w:val="4F36695D"/>
    <w:rsid w:val="4FC652ED"/>
    <w:rsid w:val="523E5347"/>
    <w:rsid w:val="52CE6A38"/>
    <w:rsid w:val="57A75A04"/>
    <w:rsid w:val="585202C0"/>
    <w:rsid w:val="58F464FE"/>
    <w:rsid w:val="5A7C5CE6"/>
    <w:rsid w:val="5ABD26A8"/>
    <w:rsid w:val="5C2060A7"/>
    <w:rsid w:val="5D827247"/>
    <w:rsid w:val="5FAF36A8"/>
    <w:rsid w:val="60226DEA"/>
    <w:rsid w:val="645925F1"/>
    <w:rsid w:val="64F45366"/>
    <w:rsid w:val="6548752B"/>
    <w:rsid w:val="6558033E"/>
    <w:rsid w:val="658044A3"/>
    <w:rsid w:val="671E192A"/>
    <w:rsid w:val="67DF4D46"/>
    <w:rsid w:val="67EE2470"/>
    <w:rsid w:val="686A0ADC"/>
    <w:rsid w:val="6888718C"/>
    <w:rsid w:val="68E042D2"/>
    <w:rsid w:val="69C56800"/>
    <w:rsid w:val="69EB4FEC"/>
    <w:rsid w:val="6B746C0F"/>
    <w:rsid w:val="6C8C52F0"/>
    <w:rsid w:val="6E147C85"/>
    <w:rsid w:val="6F2E73DF"/>
    <w:rsid w:val="700371D1"/>
    <w:rsid w:val="709F01D7"/>
    <w:rsid w:val="71615319"/>
    <w:rsid w:val="71775136"/>
    <w:rsid w:val="74594912"/>
    <w:rsid w:val="74903F6C"/>
    <w:rsid w:val="76E14325"/>
    <w:rsid w:val="76E86402"/>
    <w:rsid w:val="782F21C9"/>
    <w:rsid w:val="7A28432B"/>
    <w:rsid w:val="7A37240F"/>
    <w:rsid w:val="7D516460"/>
    <w:rsid w:val="7DCC6B55"/>
    <w:rsid w:val="7F2A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autoRedefine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qFormat/>
    <w:uiPriority w:val="0"/>
    <w:pPr>
      <w:jc w:val="left"/>
    </w:pPr>
  </w:style>
  <w:style w:type="paragraph" w:styleId="4">
    <w:name w:val="Body Text"/>
    <w:basedOn w:val="1"/>
    <w:autoRedefine/>
    <w:qFormat/>
    <w:uiPriority w:val="0"/>
    <w:rPr>
      <w:rFonts w:ascii="Times New Roman" w:hAnsi="Times New Roman" w:eastAsia="仿宋"/>
      <w:kern w:val="0"/>
      <w:sz w:val="2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font1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11">
    <w:name w:val="font21"/>
    <w:basedOn w:val="8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3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2643</Words>
  <Characters>2797</Characters>
  <Paragraphs>75</Paragraphs>
  <TotalTime>11</TotalTime>
  <ScaleCrop>false</ScaleCrop>
  <LinksUpToDate>false</LinksUpToDate>
  <CharactersWithSpaces>3180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2023-04-04T11:16:00Z</dcterms:created>
  <dc:creator>吴文杰</dc:creator>
  <cp:lastModifiedBy>周君明</cp:lastModifiedBy>
  <cp:lastPrinted>2024-01-09T11:45:00Z</cp:lastPrinted>
  <dcterms:modified xsi:type="dcterms:W3CDTF">2024-01-10T01:52:08Z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4CE747DB80DF4F34985C5636B90C22F8_13</vt:lpwstr>
  </property>
</Properties>
</file>