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sz w:val="52"/>
          <w:szCs w:val="52"/>
        </w:rPr>
      </w:pPr>
      <w:r>
        <w:rPr>
          <w:rFonts w:hint="eastAsia" w:ascii="宋体" w:hAnsi="宋体"/>
          <w:b/>
          <w:bCs/>
          <w:color w:val="000000"/>
          <w:sz w:val="52"/>
          <w:szCs w:val="52"/>
        </w:rPr>
        <w:t>合肥泓瑞金陵大酒店有限责任公司</w:t>
      </w:r>
    </w:p>
    <w:p>
      <w:pPr>
        <w:tabs>
          <w:tab w:val="left" w:pos="420"/>
        </w:tabs>
        <w:spacing w:line="1700" w:lineRule="exact"/>
        <w:jc w:val="center"/>
        <w:rPr>
          <w:rFonts w:ascii="微软简标宋"/>
          <w:b/>
          <w:bCs/>
          <w:color w:val="000000"/>
          <w:sz w:val="52"/>
        </w:rPr>
      </w:pPr>
      <w:r>
        <w:rPr>
          <w:rFonts w:hint="eastAsia" w:ascii="宋体" w:hAnsi="宋体"/>
          <w:b/>
          <w:bCs/>
          <w:color w:val="000000"/>
          <w:sz w:val="52"/>
          <w:szCs w:val="52"/>
        </w:rPr>
        <w:t>货物类标准</w:t>
      </w:r>
      <w:r>
        <w:rPr>
          <w:rFonts w:hint="eastAsia" w:ascii="微软简标宋"/>
          <w:b/>
          <w:bCs/>
          <w:color w:val="000000"/>
          <w:sz w:val="52"/>
        </w:rPr>
        <w:t>招标文件</w:t>
      </w:r>
    </w:p>
    <w:p>
      <w:pPr>
        <w:pStyle w:val="2"/>
        <w:ind w:firstLine="640"/>
      </w:pPr>
    </w:p>
    <w:p>
      <w:pPr>
        <w:pStyle w:val="2"/>
        <w:ind w:firstLine="640"/>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widowControl/>
        <w:tabs>
          <w:tab w:val="left" w:pos="2410"/>
        </w:tabs>
        <w:autoSpaceDE w:val="0"/>
        <w:autoSpaceDN w:val="0"/>
        <w:adjustRightInd w:val="0"/>
        <w:snapToGrid w:val="0"/>
        <w:spacing w:line="360" w:lineRule="auto"/>
        <w:jc w:val="left"/>
        <w:rPr>
          <w:rFonts w:ascii="宋体" w:hAnsi="DotumChe" w:cs="宋体"/>
          <w:b/>
          <w:color w:val="000000"/>
          <w:spacing w:val="20"/>
          <w:kern w:val="0"/>
          <w:sz w:val="32"/>
          <w:szCs w:val="32"/>
        </w:rPr>
      </w:pPr>
    </w:p>
    <w:p>
      <w:pPr>
        <w:spacing w:line="360" w:lineRule="auto"/>
        <w:rPr>
          <w:rFonts w:ascii="宋体" w:hAnsi="DotumChe" w:cs="宋体"/>
          <w:b/>
          <w:spacing w:val="20"/>
          <w:kern w:val="0"/>
          <w:sz w:val="32"/>
          <w:szCs w:val="32"/>
        </w:rPr>
      </w:pPr>
      <w:r>
        <w:rPr>
          <w:rFonts w:hint="eastAsia" w:ascii="宋体" w:hAnsi="DotumChe" w:cs="宋体"/>
          <w:b/>
          <w:color w:val="000000"/>
          <w:spacing w:val="20"/>
          <w:kern w:val="0"/>
          <w:sz w:val="32"/>
          <w:szCs w:val="32"/>
        </w:rPr>
        <w:t>项目名称：</w:t>
      </w:r>
      <w:r>
        <w:rPr>
          <w:rFonts w:hint="eastAsia" w:ascii="宋体" w:hAnsi="DotumChe" w:cs="宋体"/>
          <w:b/>
          <w:spacing w:val="20"/>
          <w:kern w:val="0"/>
          <w:sz w:val="32"/>
          <w:szCs w:val="32"/>
        </w:rPr>
        <w:t>合肥泓瑞金陵大酒店大瓶四液类项目（二次）</w:t>
      </w:r>
    </w:p>
    <w:p>
      <w:pPr>
        <w:spacing w:line="540" w:lineRule="exact"/>
        <w:rPr>
          <w:rFonts w:ascii="宋体" w:hAnsi="宋体"/>
          <w:b/>
          <w:sz w:val="28"/>
        </w:rPr>
      </w:pPr>
      <w:r>
        <w:rPr>
          <w:rFonts w:hint="eastAsia" w:ascii="宋体" w:hAnsi="DotumChe" w:cs="宋体"/>
          <w:b/>
          <w:spacing w:val="20"/>
          <w:kern w:val="0"/>
          <w:sz w:val="32"/>
          <w:szCs w:val="32"/>
        </w:rPr>
        <w:t>项目编号：</w:t>
      </w:r>
      <w:r>
        <w:rPr>
          <w:rFonts w:hint="eastAsia" w:ascii="宋体" w:hAnsi="宋体"/>
          <w:b/>
          <w:sz w:val="28"/>
        </w:rPr>
        <w:t>2023HRJL1227（5）号</w:t>
      </w:r>
    </w:p>
    <w:p>
      <w:pPr>
        <w:pStyle w:val="2"/>
        <w:ind w:firstLine="640"/>
      </w:pPr>
    </w:p>
    <w:p>
      <w:pPr>
        <w:tabs>
          <w:tab w:val="left" w:pos="2410"/>
        </w:tabs>
        <w:autoSpaceDE w:val="0"/>
        <w:autoSpaceDN w:val="0"/>
        <w:adjustRightInd w:val="0"/>
        <w:snapToGrid w:val="0"/>
        <w:spacing w:line="360" w:lineRule="auto"/>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人：合肥泓瑞金陵大酒店有限责任公司</w:t>
      </w: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招标时间：2024年1月</w:t>
      </w:r>
    </w:p>
    <w:p>
      <w:pPr>
        <w:pStyle w:val="2"/>
        <w:ind w:firstLine="720"/>
        <w:rPr>
          <w:rFonts w:ascii="宋体" w:hAnsi="DotumChe" w:cs="宋体"/>
          <w:b/>
          <w:color w:val="000000"/>
          <w:spacing w:val="20"/>
          <w:kern w:val="0"/>
          <w:szCs w:val="32"/>
        </w:rPr>
      </w:pPr>
    </w:p>
    <w:p>
      <w:pPr>
        <w:pStyle w:val="2"/>
        <w:ind w:firstLine="720"/>
        <w:rPr>
          <w:rFonts w:ascii="宋体" w:hAnsi="DotumChe" w:cs="宋体"/>
          <w:b/>
          <w:color w:val="000000"/>
          <w:spacing w:val="20"/>
          <w:kern w:val="0"/>
          <w:szCs w:val="32"/>
        </w:rPr>
      </w:pPr>
    </w:p>
    <w:p>
      <w:pPr>
        <w:pStyle w:val="2"/>
        <w:ind w:firstLine="720"/>
        <w:rPr>
          <w:rFonts w:ascii="宋体" w:hAnsi="DotumChe" w:cs="宋体"/>
          <w:b/>
          <w:color w:val="000000"/>
          <w:spacing w:val="20"/>
          <w:kern w:val="0"/>
          <w:szCs w:val="32"/>
        </w:rPr>
        <w:sectPr>
          <w:headerReference r:id="rId3" w:type="default"/>
          <w:footerReference r:id="rId4" w:type="default"/>
          <w:pgSz w:w="11907" w:h="16840"/>
          <w:pgMar w:top="1440" w:right="1247" w:bottom="1440" w:left="1247" w:header="851" w:footer="992" w:gutter="0"/>
          <w:cols w:space="720" w:num="1"/>
          <w:docGrid w:linePitch="303" w:charSpace="0"/>
        </w:sectPr>
      </w:pPr>
    </w:p>
    <w:p>
      <w:pPr>
        <w:pStyle w:val="2"/>
        <w:ind w:firstLine="720"/>
        <w:rPr>
          <w:rFonts w:ascii="宋体" w:hAnsi="DotumChe" w:cs="宋体"/>
          <w:b/>
          <w:color w:val="000000"/>
          <w:spacing w:val="20"/>
          <w:kern w:val="0"/>
          <w:szCs w:val="32"/>
        </w:rPr>
      </w:pPr>
    </w:p>
    <w:p>
      <w:pPr>
        <w:spacing w:line="340" w:lineRule="exact"/>
        <w:jc w:val="center"/>
        <w:rPr>
          <w:rFonts w:ascii="宋体" w:hAnsi="宋体" w:cs="宋体"/>
          <w:sz w:val="28"/>
          <w:szCs w:val="28"/>
        </w:rPr>
      </w:pPr>
      <w:r>
        <w:rPr>
          <w:rFonts w:hint="eastAsia" w:ascii="宋体" w:hAnsi="宋体" w:cs="宋体"/>
          <w:b/>
          <w:bCs/>
          <w:sz w:val="28"/>
          <w:szCs w:val="28"/>
        </w:rPr>
        <w:t>目录</w:t>
      </w:r>
    </w:p>
    <w:p>
      <w:pPr>
        <w:pStyle w:val="21"/>
        <w:tabs>
          <w:tab w:val="right" w:leader="dot" w:pos="9413"/>
        </w:tabs>
        <w:spacing w:line="340" w:lineRule="exact"/>
        <w:ind w:leftChars="0"/>
        <w:rPr>
          <w:rFonts w:ascii="宋体" w:hAnsi="宋体" w:cs="宋体"/>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TOC \o "1-2" \h \u </w:instrText>
      </w:r>
      <w:r>
        <w:rPr>
          <w:rFonts w:hint="eastAsia" w:ascii="宋体" w:hAnsi="宋体" w:cs="宋体"/>
          <w:b/>
          <w:bCs/>
          <w:color w:val="000000"/>
          <w:sz w:val="28"/>
          <w:szCs w:val="28"/>
        </w:rPr>
        <w:fldChar w:fldCharType="separate"/>
      </w:r>
      <w:r>
        <w:fldChar w:fldCharType="begin"/>
      </w:r>
      <w:r>
        <w:instrText xml:space="preserve"> HYPERLINK \l "_Toc28391" </w:instrText>
      </w:r>
      <w:r>
        <w:fldChar w:fldCharType="separate"/>
      </w:r>
      <w:r>
        <w:rPr>
          <w:rFonts w:hint="eastAsia" w:ascii="宋体" w:hAnsi="宋体" w:cs="宋体"/>
          <w:b/>
          <w:bCs/>
          <w:sz w:val="28"/>
          <w:szCs w:val="28"/>
        </w:rPr>
        <w:t>第一章 投标邀请</w:t>
      </w:r>
      <w:r>
        <w:rPr>
          <w:rFonts w:hint="eastAsia" w:ascii="宋体" w:hAnsi="宋体" w:cs="宋体"/>
          <w:b/>
          <w:bCs/>
          <w:color w:val="000000"/>
          <w:sz w:val="28"/>
          <w:szCs w:val="28"/>
        </w:rPr>
        <w:t>（招标公告）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_Toc28391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"_Toc4699" </w:instrText>
      </w:r>
      <w:r>
        <w:fldChar w:fldCharType="separate"/>
      </w:r>
      <w:r>
        <w:rPr>
          <w:rFonts w:hint="eastAsia" w:ascii="宋体" w:hAnsi="宋体" w:cs="宋体"/>
          <w:bCs/>
          <w:sz w:val="28"/>
          <w:szCs w:val="28"/>
        </w:rPr>
        <w:t>一、项目名称及内容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_Toc4699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"_Toc14683" </w:instrText>
      </w:r>
      <w:r>
        <w:fldChar w:fldCharType="separate"/>
      </w:r>
      <w:r>
        <w:rPr>
          <w:rFonts w:hint="eastAsia" w:ascii="宋体" w:hAnsi="宋体" w:cs="宋体"/>
          <w:bCs/>
          <w:sz w:val="28"/>
          <w:szCs w:val="28"/>
        </w:rPr>
        <w:t>二、投标人资格</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_Toc14683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"_Toc57" </w:instrText>
      </w:r>
      <w:r>
        <w:fldChar w:fldCharType="separate"/>
      </w:r>
      <w:r>
        <w:rPr>
          <w:rFonts w:hint="eastAsia" w:ascii="宋体" w:hAnsi="宋体" w:cs="宋体"/>
          <w:bCs/>
          <w:sz w:val="28"/>
          <w:szCs w:val="28"/>
        </w:rPr>
        <w:t>三、投标报名</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"_Toc26675" </w:instrText>
      </w:r>
      <w:r>
        <w:fldChar w:fldCharType="separate"/>
      </w:r>
      <w:r>
        <w:rPr>
          <w:rFonts w:hint="eastAsia" w:ascii="宋体" w:hAnsi="宋体" w:cs="宋体"/>
          <w:bCs/>
          <w:sz w:val="28"/>
          <w:szCs w:val="28"/>
        </w:rPr>
        <w:t>四、开标时间及地点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_Toc26675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"_Toc27127" </w:instrText>
      </w:r>
      <w:r>
        <w:fldChar w:fldCharType="separate"/>
      </w:r>
      <w:r>
        <w:rPr>
          <w:rFonts w:hint="eastAsia" w:ascii="宋体" w:hAnsi="宋体" w:cs="宋体"/>
          <w:bCs/>
          <w:sz w:val="28"/>
          <w:szCs w:val="28"/>
        </w:rPr>
        <w:t>五、投标截止时间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_Toc27127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bCs/>
          <w:color w:val="000000"/>
          <w:sz w:val="28"/>
          <w:szCs w:val="28"/>
        </w:rPr>
      </w:pPr>
      <w:r>
        <w:fldChar w:fldCharType="begin"/>
      </w:r>
      <w:r>
        <w:instrText xml:space="preserve"> HYPERLINK \l "_Toc10568" </w:instrText>
      </w:r>
      <w:r>
        <w:fldChar w:fldCharType="separate"/>
      </w:r>
      <w:r>
        <w:rPr>
          <w:rFonts w:hint="eastAsia" w:ascii="宋体" w:hAnsi="宋体" w:cs="宋体"/>
          <w:bCs/>
          <w:sz w:val="28"/>
          <w:szCs w:val="28"/>
        </w:rPr>
        <w:t>六、联系方法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_Toc10568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bCs/>
          <w:color w:val="000000"/>
          <w:sz w:val="28"/>
          <w:szCs w:val="28"/>
        </w:rPr>
      </w:pPr>
      <w:r>
        <w:rPr>
          <w:rFonts w:hint="eastAsia" w:ascii="宋体" w:hAnsi="宋体" w:cs="宋体"/>
          <w:bCs/>
          <w:color w:val="000000"/>
          <w:sz w:val="28"/>
          <w:szCs w:val="28"/>
        </w:rPr>
        <w:t>七、监管部门</w:t>
      </w:r>
      <w:r>
        <w:rPr>
          <w:rFonts w:hint="eastAsia" w:ascii="宋体" w:hAnsi="宋体" w:cs="宋体"/>
          <w:sz w:val="28"/>
          <w:szCs w:val="28"/>
        </w:rPr>
        <w:tab/>
      </w:r>
      <w:r>
        <w:rPr>
          <w:rFonts w:hint="eastAsia" w:ascii="宋体" w:hAnsi="宋体" w:cs="宋体"/>
          <w:sz w:val="28"/>
          <w:szCs w:val="28"/>
        </w:rPr>
        <w:t>2</w:t>
      </w:r>
    </w:p>
    <w:p>
      <w:pPr>
        <w:pStyle w:val="21"/>
        <w:tabs>
          <w:tab w:val="right" w:leader="dot" w:pos="9413"/>
        </w:tabs>
        <w:spacing w:line="340" w:lineRule="exact"/>
        <w:ind w:leftChars="0"/>
        <w:rPr>
          <w:rFonts w:ascii="宋体" w:hAnsi="宋体" w:cs="宋体"/>
          <w:sz w:val="28"/>
          <w:szCs w:val="28"/>
        </w:rPr>
      </w:pPr>
      <w:r>
        <w:fldChar w:fldCharType="begin"/>
      </w:r>
      <w:r>
        <w:instrText xml:space="preserve"> HYPERLINK \l "_Toc2154" </w:instrText>
      </w:r>
      <w:r>
        <w:fldChar w:fldCharType="separate"/>
      </w:r>
      <w:r>
        <w:rPr>
          <w:rFonts w:hint="eastAsia" w:ascii="宋体" w:hAnsi="宋体" w:cs="宋体"/>
          <w:b/>
          <w:bCs/>
          <w:sz w:val="28"/>
          <w:szCs w:val="28"/>
        </w:rPr>
        <w:t>第二章 投标人须知前附表</w:t>
      </w:r>
      <w:r>
        <w:rPr>
          <w:rFonts w:hint="eastAsia" w:ascii="宋体" w:hAnsi="宋体" w:cs="宋体"/>
          <w:b/>
          <w:bCs/>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_Toc2154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3"/>
        </w:tabs>
        <w:spacing w:line="340" w:lineRule="exact"/>
        <w:rPr>
          <w:rFonts w:ascii="宋体" w:hAnsi="宋体" w:cs="宋体"/>
          <w:b/>
          <w:sz w:val="28"/>
          <w:szCs w:val="28"/>
        </w:rPr>
      </w:pPr>
      <w:r>
        <w:fldChar w:fldCharType="begin"/>
      </w:r>
      <w:r>
        <w:instrText xml:space="preserve"> HYPERLINK \l "_Toc4850" </w:instrText>
      </w:r>
      <w:r>
        <w:fldChar w:fldCharType="separate"/>
      </w:r>
      <w:r>
        <w:rPr>
          <w:rFonts w:hint="eastAsia" w:ascii="宋体" w:hAnsi="宋体" w:cs="宋体"/>
          <w:b/>
          <w:sz w:val="28"/>
          <w:szCs w:val="28"/>
        </w:rPr>
        <w:t>第三章 投标人须知</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_Toc4850 \h </w:instrText>
      </w:r>
      <w:r>
        <w:rPr>
          <w:rFonts w:hint="eastAsia" w:ascii="宋体" w:hAnsi="宋体" w:cs="宋体"/>
          <w:b/>
          <w:sz w:val="28"/>
          <w:szCs w:val="28"/>
        </w:rPr>
        <w:fldChar w:fldCharType="separate"/>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"_Toc15873" </w:instrText>
      </w:r>
      <w:r>
        <w:fldChar w:fldCharType="separate"/>
      </w:r>
      <w:r>
        <w:rPr>
          <w:rFonts w:hint="eastAsia" w:ascii="宋体" w:hAnsi="宋体" w:cs="宋体"/>
          <w:bCs/>
          <w:sz w:val="28"/>
          <w:szCs w:val="28"/>
        </w:rPr>
        <w:t>一．投标文件的编制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_Toc15873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"_Toc21904" </w:instrText>
      </w:r>
      <w:r>
        <w:fldChar w:fldCharType="separate"/>
      </w:r>
      <w:r>
        <w:rPr>
          <w:rFonts w:hint="eastAsia" w:ascii="宋体" w:hAnsi="宋体" w:cs="宋体"/>
          <w:bCs/>
          <w:sz w:val="28"/>
          <w:szCs w:val="28"/>
        </w:rPr>
        <w:t>二．投标文件的递交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_Toc21904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"_Toc6813" </w:instrText>
      </w:r>
      <w:r>
        <w:fldChar w:fldCharType="separate"/>
      </w:r>
      <w:r>
        <w:rPr>
          <w:rFonts w:hint="eastAsia" w:ascii="宋体" w:hAnsi="宋体" w:cs="宋体"/>
          <w:bCs/>
          <w:sz w:val="28"/>
          <w:szCs w:val="28"/>
        </w:rPr>
        <w:t>三．开标、评标及定标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_Toc6813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"_Toc26234" </w:instrText>
      </w:r>
      <w:r>
        <w:fldChar w:fldCharType="separate"/>
      </w:r>
      <w:r>
        <w:rPr>
          <w:rFonts w:hint="eastAsia" w:ascii="宋体" w:hAnsi="宋体" w:cs="宋体"/>
          <w:bCs/>
          <w:sz w:val="28"/>
          <w:szCs w:val="28"/>
        </w:rPr>
        <w:t>四. 投标信息发布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_Toc26234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"_Toc14153" </w:instrText>
      </w:r>
      <w:r>
        <w:fldChar w:fldCharType="separate"/>
      </w:r>
      <w:r>
        <w:rPr>
          <w:rFonts w:hint="eastAsia" w:ascii="宋体" w:hAnsi="宋体" w:cs="宋体"/>
          <w:bCs/>
          <w:sz w:val="28"/>
          <w:szCs w:val="28"/>
        </w:rPr>
        <w:t>五．投标文件的澄清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_Toc14153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"_Toc22356" </w:instrText>
      </w:r>
      <w:r>
        <w:fldChar w:fldCharType="separate"/>
      </w:r>
      <w:r>
        <w:rPr>
          <w:rFonts w:hint="eastAsia" w:ascii="宋体" w:hAnsi="宋体" w:cs="宋体"/>
          <w:bCs/>
          <w:sz w:val="28"/>
          <w:szCs w:val="28"/>
        </w:rPr>
        <w:t>六.中标通知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_Toc22356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"_Toc28861" </w:instrText>
      </w:r>
      <w:r>
        <w:fldChar w:fldCharType="separate"/>
      </w:r>
      <w:r>
        <w:rPr>
          <w:rFonts w:hint="eastAsia" w:ascii="宋体" w:hAnsi="宋体" w:cs="宋体"/>
          <w:bCs/>
          <w:sz w:val="28"/>
          <w:szCs w:val="28"/>
        </w:rPr>
        <w:t>七.异议处理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_Toc28861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"_Toc25877" </w:instrText>
      </w:r>
      <w:r>
        <w:fldChar w:fldCharType="separate"/>
      </w:r>
      <w:r>
        <w:rPr>
          <w:rFonts w:hint="eastAsia" w:ascii="宋体" w:hAnsi="宋体" w:cs="宋体"/>
          <w:bCs/>
          <w:sz w:val="28"/>
          <w:szCs w:val="28"/>
        </w:rPr>
        <w:t>八．签订合同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_Toc25877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Chars="0"/>
        <w:rPr>
          <w:rFonts w:ascii="宋体" w:hAnsi="宋体" w:cs="宋体"/>
          <w:sz w:val="28"/>
          <w:szCs w:val="28"/>
        </w:rPr>
      </w:pPr>
      <w:r>
        <w:fldChar w:fldCharType="begin"/>
      </w:r>
      <w:r>
        <w:instrText xml:space="preserve"> HYPERLINK \l "_Toc32450" </w:instrText>
      </w:r>
      <w:r>
        <w:fldChar w:fldCharType="separate"/>
      </w:r>
      <w:r>
        <w:rPr>
          <w:rFonts w:hint="eastAsia" w:ascii="宋体" w:hAnsi="宋体" w:cs="宋体"/>
          <w:b/>
          <w:bCs/>
          <w:sz w:val="28"/>
          <w:szCs w:val="28"/>
        </w:rPr>
        <w:t>第四章 招标需求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_Toc32450 \h </w:instrText>
      </w:r>
      <w:r>
        <w:rPr>
          <w:rFonts w:hint="eastAsia" w:ascii="宋体" w:hAnsi="宋体" w:cs="宋体"/>
          <w:b/>
          <w:bCs/>
          <w:sz w:val="28"/>
          <w:szCs w:val="28"/>
        </w:rPr>
        <w:fldChar w:fldCharType="separate"/>
      </w:r>
      <w:r>
        <w:rPr>
          <w:rFonts w:hint="eastAsia" w:ascii="宋体" w:hAnsi="宋体" w:cs="宋体"/>
          <w:b/>
          <w:bCs/>
          <w:sz w:val="28"/>
          <w:szCs w:val="28"/>
        </w:rPr>
        <w:t>9</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1"/>
        <w:tabs>
          <w:tab w:val="right" w:leader="dot" w:pos="9413"/>
        </w:tabs>
        <w:spacing w:line="340" w:lineRule="exact"/>
        <w:ind w:left="420"/>
        <w:rPr>
          <w:rFonts w:ascii="宋体" w:hAnsi="宋体" w:cs="宋体"/>
          <w:bCs/>
          <w:color w:val="000000"/>
          <w:sz w:val="28"/>
          <w:szCs w:val="28"/>
        </w:rPr>
      </w:pPr>
      <w:r>
        <w:fldChar w:fldCharType="begin"/>
      </w:r>
      <w:r>
        <w:instrText xml:space="preserve"> HYPERLINK \l "_Toc25675" </w:instrText>
      </w:r>
      <w:r>
        <w:fldChar w:fldCharType="separate"/>
      </w:r>
      <w:r>
        <w:rPr>
          <w:rFonts w:hint="eastAsia" w:ascii="宋体" w:hAnsi="宋体" w:cs="宋体"/>
          <w:sz w:val="28"/>
          <w:szCs w:val="28"/>
        </w:rPr>
        <w:t>一、项目概况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_Toc25675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"_Toc6134" </w:instrText>
      </w:r>
      <w:r>
        <w:fldChar w:fldCharType="separate"/>
      </w:r>
      <w:r>
        <w:rPr>
          <w:rFonts w:hint="eastAsia" w:ascii="宋体" w:hAnsi="宋体" w:cs="宋体"/>
          <w:sz w:val="28"/>
          <w:szCs w:val="28"/>
        </w:rPr>
        <w:t>二、需求清单</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9</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"_Toc6134" </w:instrText>
      </w:r>
      <w:r>
        <w:fldChar w:fldCharType="separate"/>
      </w:r>
      <w:r>
        <w:rPr>
          <w:rFonts w:hint="eastAsia" w:ascii="宋体" w:hAnsi="宋体" w:cs="宋体"/>
          <w:bCs/>
          <w:sz w:val="28"/>
          <w:szCs w:val="28"/>
        </w:rPr>
        <w:t>三</w:t>
      </w:r>
      <w:r>
        <w:rPr>
          <w:rFonts w:hint="eastAsia" w:ascii="宋体" w:hAnsi="宋体" w:cs="宋体"/>
          <w:sz w:val="28"/>
          <w:szCs w:val="28"/>
        </w:rPr>
        <w:t>、服务要求</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10</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"_Toc6134" </w:instrText>
      </w:r>
      <w:r>
        <w:fldChar w:fldCharType="separate"/>
      </w:r>
      <w:r>
        <w:rPr>
          <w:rFonts w:hint="eastAsia" w:ascii="宋体" w:hAnsi="宋体" w:cs="宋体"/>
          <w:bCs/>
          <w:sz w:val="28"/>
          <w:szCs w:val="28"/>
        </w:rPr>
        <w:t>四</w:t>
      </w:r>
      <w:r>
        <w:rPr>
          <w:rFonts w:hint="eastAsia" w:ascii="宋体" w:hAnsi="宋体" w:cs="宋体"/>
          <w:sz w:val="28"/>
          <w:szCs w:val="28"/>
        </w:rPr>
        <w:t>、其他要求</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10</w:t>
      </w:r>
    </w:p>
    <w:p>
      <w:pPr>
        <w:pStyle w:val="21"/>
        <w:tabs>
          <w:tab w:val="right" w:leader="dot" w:pos="9413"/>
        </w:tabs>
        <w:spacing w:line="340" w:lineRule="exact"/>
        <w:ind w:left="420"/>
        <w:rPr>
          <w:rFonts w:ascii="宋体" w:hAnsi="宋体" w:cs="宋体"/>
          <w:sz w:val="28"/>
          <w:szCs w:val="28"/>
        </w:rPr>
      </w:pPr>
      <w:r>
        <w:rPr>
          <w:rFonts w:hint="eastAsia" w:ascii="宋体" w:hAnsi="宋体" w:cs="宋体"/>
          <w:bCs/>
          <w:color w:val="000000"/>
          <w:sz w:val="28"/>
          <w:szCs w:val="28"/>
        </w:rPr>
        <w:t>四</w:t>
      </w:r>
      <w:r>
        <w:fldChar w:fldCharType="begin"/>
      </w:r>
      <w:r>
        <w:instrText xml:space="preserve"> HYPERLINK \l "_Toc6134" </w:instrText>
      </w:r>
      <w:r>
        <w:fldChar w:fldCharType="separate"/>
      </w:r>
      <w:r>
        <w:rPr>
          <w:rFonts w:hint="eastAsia" w:ascii="宋体" w:hAnsi="宋体" w:cs="宋体"/>
          <w:sz w:val="28"/>
          <w:szCs w:val="28"/>
        </w:rPr>
        <w:t>、报价要求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_Toc6134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Chars="0"/>
        <w:rPr>
          <w:rFonts w:ascii="宋体" w:hAnsi="宋体" w:cs="宋体"/>
          <w:b/>
          <w:bCs/>
          <w:sz w:val="28"/>
          <w:szCs w:val="28"/>
        </w:rPr>
      </w:pPr>
      <w:r>
        <w:fldChar w:fldCharType="begin"/>
      </w:r>
      <w:r>
        <w:instrText xml:space="preserve"> HYPERLINK \l "_Toc7253" </w:instrText>
      </w:r>
      <w:r>
        <w:fldChar w:fldCharType="separate"/>
      </w:r>
      <w:r>
        <w:rPr>
          <w:rFonts w:hint="eastAsia" w:ascii="宋体" w:hAnsi="宋体" w:cs="宋体"/>
          <w:b/>
          <w:bCs/>
          <w:sz w:val="28"/>
          <w:szCs w:val="28"/>
        </w:rPr>
        <w:t>第五章 评标办法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_Toc7253 \h </w:instrText>
      </w:r>
      <w:r>
        <w:rPr>
          <w:rFonts w:hint="eastAsia" w:ascii="宋体" w:hAnsi="宋体" w:cs="宋体"/>
          <w:b/>
          <w:bCs/>
          <w:sz w:val="28"/>
          <w:szCs w:val="28"/>
        </w:rPr>
        <w:fldChar w:fldCharType="separate"/>
      </w:r>
      <w:r>
        <w:rPr>
          <w:rFonts w:hint="eastAsia" w:ascii="宋体" w:hAnsi="宋体" w:cs="宋体"/>
          <w:b/>
          <w:bCs/>
          <w:sz w:val="28"/>
          <w:szCs w:val="28"/>
        </w:rPr>
        <w:t>12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1"/>
        <w:tabs>
          <w:tab w:val="right" w:leader="dot" w:pos="9413"/>
        </w:tabs>
        <w:spacing w:line="340" w:lineRule="exact"/>
        <w:ind w:leftChars="0"/>
        <w:rPr>
          <w:rFonts w:ascii="宋体" w:hAnsi="宋体" w:cs="宋体"/>
          <w:b/>
          <w:bCs/>
          <w:sz w:val="28"/>
          <w:szCs w:val="28"/>
        </w:rPr>
      </w:pPr>
      <w:r>
        <w:fldChar w:fldCharType="begin"/>
      </w:r>
      <w:r>
        <w:instrText xml:space="preserve"> HYPERLINK \l "_Toc3205" </w:instrText>
      </w:r>
      <w:r>
        <w:fldChar w:fldCharType="separate"/>
      </w:r>
      <w:r>
        <w:rPr>
          <w:rFonts w:hint="eastAsia" w:ascii="宋体" w:hAnsi="宋体" w:cs="宋体"/>
          <w:b/>
          <w:bCs/>
          <w:sz w:val="28"/>
          <w:szCs w:val="28"/>
        </w:rPr>
        <w:t>第六章 合同格式及主要条款</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_Toc3205 \h </w:instrText>
      </w:r>
      <w:r>
        <w:rPr>
          <w:rFonts w:hint="eastAsia" w:ascii="宋体" w:hAnsi="宋体" w:cs="宋体"/>
          <w:b/>
          <w:bCs/>
          <w:sz w:val="28"/>
          <w:szCs w:val="28"/>
        </w:rPr>
        <w:fldChar w:fldCharType="separate"/>
      </w:r>
      <w:r>
        <w:rPr>
          <w:rFonts w:hint="eastAsia" w:ascii="宋体" w:hAnsi="宋体" w:cs="宋体"/>
          <w:b/>
          <w:bCs/>
          <w:sz w:val="28"/>
          <w:szCs w:val="28"/>
        </w:rPr>
        <w:t>17</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1"/>
        <w:tabs>
          <w:tab w:val="right" w:leader="dot" w:pos="9413"/>
        </w:tabs>
        <w:spacing w:line="340" w:lineRule="exact"/>
        <w:ind w:leftChars="0"/>
        <w:rPr>
          <w:rFonts w:ascii="宋体" w:hAnsi="宋体" w:cs="宋体"/>
          <w:b/>
          <w:bCs/>
          <w:color w:val="000000"/>
          <w:sz w:val="28"/>
          <w:szCs w:val="28"/>
        </w:rPr>
      </w:pPr>
      <w:r>
        <w:fldChar w:fldCharType="begin"/>
      </w:r>
      <w:r>
        <w:instrText xml:space="preserve"> HYPERLINK \l "_Toc12216" </w:instrText>
      </w:r>
      <w:r>
        <w:fldChar w:fldCharType="separate"/>
      </w:r>
      <w:r>
        <w:rPr>
          <w:rFonts w:hint="eastAsia" w:ascii="宋体" w:hAnsi="宋体" w:cs="宋体"/>
          <w:b/>
          <w:bCs/>
          <w:sz w:val="28"/>
          <w:szCs w:val="28"/>
        </w:rPr>
        <w:t>第七章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_Toc12216 \h </w:instrText>
      </w:r>
      <w:r>
        <w:rPr>
          <w:rFonts w:hint="eastAsia" w:ascii="宋体" w:hAnsi="宋体" w:cs="宋体"/>
          <w:b/>
          <w:bCs/>
          <w:sz w:val="28"/>
          <w:szCs w:val="28"/>
        </w:rPr>
        <w:fldChar w:fldCharType="separate"/>
      </w:r>
      <w:r>
        <w:rPr>
          <w:rFonts w:hint="eastAsia" w:ascii="宋体" w:hAnsi="宋体" w:cs="宋体"/>
          <w:b/>
          <w:bCs/>
          <w:sz w:val="28"/>
          <w:szCs w:val="28"/>
        </w:rPr>
        <w:t>23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"_Toc989" </w:instrText>
      </w:r>
      <w:r>
        <w:fldChar w:fldCharType="separate"/>
      </w:r>
      <w:r>
        <w:rPr>
          <w:rFonts w:hint="eastAsia" w:ascii="宋体" w:hAnsi="宋体" w:cs="宋体"/>
          <w:sz w:val="28"/>
          <w:szCs w:val="28"/>
        </w:rPr>
        <w:t>投标文件资料清单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_Toc989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"_Toc7076" </w:instrText>
      </w:r>
      <w:r>
        <w:fldChar w:fldCharType="separate"/>
      </w:r>
      <w:r>
        <w:rPr>
          <w:rFonts w:hint="eastAsia" w:ascii="宋体" w:hAnsi="宋体" w:cs="宋体"/>
          <w:sz w:val="28"/>
          <w:szCs w:val="28"/>
        </w:rPr>
        <w:t>一．投标函</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t>5</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"_Toc31962" </w:instrText>
      </w:r>
      <w:r>
        <w:fldChar w:fldCharType="separate"/>
      </w:r>
      <w:r>
        <w:rPr>
          <w:rFonts w:hint="eastAsia" w:ascii="宋体" w:hAnsi="宋体" w:cs="宋体"/>
          <w:sz w:val="28"/>
          <w:szCs w:val="28"/>
        </w:rPr>
        <w:t>二．投标人情况综合简介</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t>6</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"_Toc28684" </w:instrText>
      </w:r>
      <w:r>
        <w:fldChar w:fldCharType="separate"/>
      </w:r>
      <w:r>
        <w:rPr>
          <w:rFonts w:hint="eastAsia" w:ascii="宋体" w:hAnsi="宋体" w:cs="宋体"/>
          <w:sz w:val="28"/>
          <w:szCs w:val="28"/>
        </w:rPr>
        <w:t>三．开标一览表</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t>6</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"_Toc24746" </w:instrText>
      </w:r>
      <w:r>
        <w:fldChar w:fldCharType="separate"/>
      </w:r>
      <w:r>
        <w:rPr>
          <w:rFonts w:hint="eastAsia" w:ascii="宋体" w:hAnsi="宋体" w:cs="宋体"/>
          <w:sz w:val="28"/>
          <w:szCs w:val="28"/>
        </w:rPr>
        <w:t>四、投标响应表</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t>6</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"_Toc17444" </w:instrText>
      </w:r>
      <w:r>
        <w:fldChar w:fldCharType="separate"/>
      </w:r>
      <w:r>
        <w:rPr>
          <w:rFonts w:hint="eastAsia" w:ascii="宋体" w:hAnsi="宋体" w:cs="宋体"/>
          <w:sz w:val="28"/>
          <w:szCs w:val="28"/>
        </w:rPr>
        <w:t>五．投标人信用承诺</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27</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"_Toc32236" </w:instrText>
      </w:r>
      <w:r>
        <w:fldChar w:fldCharType="separate"/>
      </w:r>
      <w:r>
        <w:rPr>
          <w:rFonts w:hint="eastAsia" w:ascii="宋体" w:hAnsi="宋体" w:cs="宋体"/>
          <w:sz w:val="28"/>
          <w:szCs w:val="28"/>
        </w:rPr>
        <w:t>六. 投标业绩</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t>7</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"_Toc22369" </w:instrText>
      </w:r>
      <w:r>
        <w:fldChar w:fldCharType="separate"/>
      </w:r>
      <w:r>
        <w:rPr>
          <w:rFonts w:hint="eastAsia" w:ascii="宋体" w:hAnsi="宋体" w:cs="宋体"/>
          <w:sz w:val="28"/>
          <w:szCs w:val="28"/>
        </w:rPr>
        <w:t>七．拟投入本项目的人员情况</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bCs/>
          <w:color w:val="000000"/>
          <w:sz w:val="28"/>
          <w:szCs w:val="28"/>
        </w:rPr>
        <w:t>28</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"_Toc23624" </w:instrText>
      </w:r>
      <w:r>
        <w:fldChar w:fldCharType="separate"/>
      </w:r>
      <w:r>
        <w:rPr>
          <w:rFonts w:hint="eastAsia" w:ascii="宋体" w:hAnsi="宋体" w:cs="宋体"/>
          <w:sz w:val="28"/>
          <w:szCs w:val="28"/>
        </w:rPr>
        <w:t>八．服务方案</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28</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"_Toc26798" </w:instrText>
      </w:r>
      <w:r>
        <w:fldChar w:fldCharType="separate"/>
      </w:r>
      <w:r>
        <w:rPr>
          <w:rFonts w:hint="eastAsia" w:ascii="宋体" w:hAnsi="宋体" w:cs="宋体"/>
          <w:sz w:val="28"/>
          <w:szCs w:val="28"/>
        </w:rPr>
        <w:t>九．有关证明文件</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bCs/>
          <w:color w:val="000000"/>
          <w:sz w:val="28"/>
          <w:szCs w:val="28"/>
        </w:rPr>
        <w:t>28</w:t>
      </w:r>
    </w:p>
    <w:p>
      <w:pPr>
        <w:pStyle w:val="21"/>
        <w:tabs>
          <w:tab w:val="right" w:leader="dot" w:pos="9413"/>
        </w:tabs>
        <w:spacing w:line="340" w:lineRule="exact"/>
        <w:ind w:left="420"/>
        <w:rPr>
          <w:rFonts w:ascii="宋体" w:hAnsi="宋体" w:cs="宋体"/>
          <w:bCs/>
          <w:color w:val="000000"/>
          <w:sz w:val="28"/>
          <w:szCs w:val="28"/>
        </w:rPr>
      </w:pPr>
      <w:r>
        <w:fldChar w:fldCharType="begin"/>
      </w:r>
      <w:r>
        <w:instrText xml:space="preserve"> HYPERLINK \l "_Toc17755" </w:instrText>
      </w:r>
      <w:r>
        <w:fldChar w:fldCharType="separate"/>
      </w:r>
      <w:r>
        <w:rPr>
          <w:rFonts w:hint="eastAsia" w:ascii="宋体" w:hAnsi="宋体" w:cs="宋体"/>
          <w:sz w:val="28"/>
          <w:szCs w:val="28"/>
        </w:rPr>
        <w:t>十．投标授权书</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bCs/>
          <w:color w:val="000000"/>
          <w:sz w:val="28"/>
          <w:szCs w:val="28"/>
        </w:rPr>
        <w:t>29</w:t>
      </w:r>
    </w:p>
    <w:p>
      <w:pPr>
        <w:pStyle w:val="21"/>
        <w:tabs>
          <w:tab w:val="right" w:leader="dot" w:pos="9413"/>
        </w:tabs>
        <w:spacing w:line="340" w:lineRule="exact"/>
        <w:ind w:left="420"/>
        <w:rPr>
          <w:rFonts w:ascii="宋体" w:hAnsi="宋体" w:cs="宋体"/>
          <w:sz w:val="28"/>
          <w:szCs w:val="28"/>
        </w:rPr>
      </w:pPr>
      <w:r>
        <w:fldChar w:fldCharType="begin"/>
      </w:r>
      <w:r>
        <w:instrText xml:space="preserve"> HYPERLINK \l "_Toc28711" </w:instrText>
      </w:r>
      <w:r>
        <w:fldChar w:fldCharType="separate"/>
      </w:r>
      <w:r>
        <w:rPr>
          <w:rFonts w:hint="eastAsia" w:ascii="宋体" w:hAnsi="宋体" w:cs="宋体"/>
          <w:sz w:val="28"/>
          <w:szCs w:val="28"/>
        </w:rPr>
        <w:t>十一．投标人认为需提供的其他资料</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bCs/>
          <w:color w:val="000000"/>
          <w:sz w:val="28"/>
          <w:szCs w:val="28"/>
        </w:rPr>
        <w:t>29</w:t>
      </w:r>
    </w:p>
    <w:p>
      <w:pPr>
        <w:spacing w:line="340" w:lineRule="exact"/>
        <w:jc w:val="center"/>
        <w:rPr>
          <w:rFonts w:ascii="仿宋_GB2312" w:eastAsia="仿宋_GB2312"/>
          <w:bCs/>
          <w:color w:val="000000"/>
        </w:rPr>
        <w:sectPr>
          <w:footerReference r:id="rId5" w:type="default"/>
          <w:pgSz w:w="11907" w:h="16840"/>
          <w:pgMar w:top="1440" w:right="1247" w:bottom="1320" w:left="1247" w:header="851" w:footer="992" w:gutter="0"/>
          <w:pgNumType w:start="1"/>
          <w:cols w:space="720" w:num="1"/>
          <w:docGrid w:linePitch="303" w:charSpace="0"/>
        </w:sectPr>
      </w:pPr>
      <w:r>
        <w:rPr>
          <w:rFonts w:hint="eastAsia" w:ascii="宋体" w:hAnsi="宋体" w:cs="宋体"/>
          <w:bCs/>
          <w:color w:val="000000"/>
          <w:sz w:val="28"/>
          <w:szCs w:val="28"/>
        </w:rPr>
        <w:fldChar w:fldCharType="end"/>
      </w:r>
    </w:p>
    <w:p>
      <w:pPr>
        <w:jc w:val="center"/>
        <w:rPr>
          <w:rFonts w:ascii="宋体" w:hAnsi="宋体"/>
          <w:b/>
          <w:bCs/>
          <w:sz w:val="32"/>
          <w:szCs w:val="36"/>
        </w:rPr>
      </w:pPr>
    </w:p>
    <w:p>
      <w:pPr>
        <w:pStyle w:val="6"/>
        <w:spacing w:before="0" w:after="0" w:line="430" w:lineRule="exact"/>
        <w:ind w:firstLine="0"/>
        <w:rPr>
          <w:color w:val="000000"/>
        </w:rPr>
      </w:pPr>
      <w:bookmarkStart w:id="0" w:name="_Toc3410"/>
      <w:bookmarkStart w:id="1" w:name="_Toc28355"/>
      <w:bookmarkStart w:id="2" w:name="_Toc28391"/>
      <w:bookmarkStart w:id="3" w:name="_Toc520280120"/>
      <w:bookmarkStart w:id="4" w:name="_Toc30595"/>
      <w:r>
        <w:rPr>
          <w:rFonts w:hint="eastAsia" w:ascii="宋体" w:hAnsi="宋体" w:eastAsia="宋体"/>
          <w:color w:val="000000"/>
        </w:rPr>
        <w:t>第一章 投标邀请</w:t>
      </w:r>
      <w:bookmarkEnd w:id="0"/>
      <w:bookmarkEnd w:id="1"/>
      <w:bookmarkEnd w:id="2"/>
      <w:bookmarkEnd w:id="3"/>
      <w:bookmarkEnd w:id="4"/>
      <w:r>
        <w:rPr>
          <w:rFonts w:hint="eastAsia" w:ascii="宋体" w:hAnsi="宋体"/>
          <w:color w:val="000000"/>
        </w:rPr>
        <w:t>（招标公告）</w:t>
      </w:r>
    </w:p>
    <w:p>
      <w:pPr>
        <w:pStyle w:val="6"/>
        <w:spacing w:before="0" w:line="360" w:lineRule="auto"/>
        <w:ind w:firstLine="0"/>
        <w:rPr>
          <w:rFonts w:ascii="宋体" w:hAnsi="宋体" w:eastAsia="宋体"/>
        </w:rPr>
      </w:pPr>
      <w:bookmarkStart w:id="5" w:name="_Toc153811183"/>
      <w:r>
        <w:rPr>
          <w:rFonts w:hint="eastAsia" w:ascii="宋体" w:hAnsi="宋体" w:eastAsia="宋体"/>
        </w:rPr>
        <w:t>第一章 投标</w:t>
      </w:r>
      <w:bookmarkEnd w:id="5"/>
      <w:r>
        <w:rPr>
          <w:rFonts w:hint="eastAsia" w:ascii="宋体" w:hAnsi="宋体" w:eastAsia="宋体"/>
        </w:rPr>
        <w:t>公告</w:t>
      </w:r>
    </w:p>
    <w:p>
      <w:pPr>
        <w:spacing w:line="360" w:lineRule="auto"/>
        <w:ind w:firstLine="960" w:firstLineChars="400"/>
        <w:rPr>
          <w:rFonts w:ascii="宋体" w:hAnsi="DotumChe" w:cs="宋体"/>
          <w:b/>
          <w:spacing w:val="20"/>
          <w:kern w:val="0"/>
          <w:sz w:val="24"/>
          <w:szCs w:val="24"/>
        </w:rPr>
      </w:pPr>
      <w:r>
        <w:rPr>
          <w:rFonts w:hint="eastAsia" w:ascii="宋体" w:hAnsi="宋体"/>
          <w:sz w:val="24"/>
          <w:szCs w:val="24"/>
        </w:rPr>
        <w:t>合肥泓瑞金陵大酒店有限责任公司（以下简称：酒店）现对“</w:t>
      </w:r>
      <w:r>
        <w:rPr>
          <w:rFonts w:hint="eastAsia" w:asciiTheme="minorEastAsia" w:hAnsiTheme="minorEastAsia" w:eastAsiaTheme="minorEastAsia"/>
          <w:sz w:val="24"/>
          <w:szCs w:val="24"/>
        </w:rPr>
        <w:t>合肥泓瑞金陵大酒店</w:t>
      </w:r>
      <w:r>
        <w:rPr>
          <w:rFonts w:hint="eastAsia" w:ascii="宋体" w:hAnsi="宋体"/>
          <w:sz w:val="24"/>
          <w:szCs w:val="24"/>
        </w:rPr>
        <w:t>酒店大瓶四液类项目”项目进行公开招标，欢迎具备条件的投标人参加投标。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t>
      </w:r>
      <w:r>
        <w:rPr>
          <w:rFonts w:hint="eastAsia" w:ascii="宋体" w:hAnsi="宋体" w:cs="宋体"/>
          <w:sz w:val="24"/>
          <w:szCs w:val="24"/>
        </w:rPr>
        <w:t>HRJL1227（5）</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w:t>
      </w:r>
      <w:r>
        <w:rPr>
          <w:rFonts w:hint="eastAsia" w:ascii="宋体" w:hAnsi="宋体"/>
          <w:sz w:val="24"/>
          <w:szCs w:val="24"/>
        </w:rPr>
        <w:t>酒店大瓶四液类项目（二次）</w:t>
      </w:r>
    </w:p>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3.项目单位：</w:t>
      </w:r>
      <w:r>
        <w:rPr>
          <w:rFonts w:hint="eastAsia" w:asciiTheme="minorEastAsia" w:hAnsiTheme="minorEastAsia" w:eastAsiaTheme="minorEastAsia"/>
          <w:sz w:val="24"/>
          <w:szCs w:val="24"/>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5.项目概算：12万元/年 （报价不得高于预算价）</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6.项目地点：招标人指定地点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提供征信报告（信用中国下载盖章）</w:t>
      </w:r>
      <w:r>
        <w:rPr>
          <w:rFonts w:ascii="宋体" w:hAnsi="宋体"/>
          <w:sz w:val="24"/>
          <w:szCs w:val="24"/>
        </w:rPr>
        <w:t>；</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rPr>
        <w:t>4.</w:t>
      </w:r>
      <w:r>
        <w:rPr>
          <w:rFonts w:hint="eastAsia" w:ascii="宋体" w:hAnsi="宋体"/>
          <w:sz w:val="24"/>
          <w:szCs w:val="24"/>
          <w:highlight w:val="none"/>
        </w:rPr>
        <w:t>有综合型酒店（客房间数260间以上，含餐饮宴会的综合型酒店）合作业绩（至少提供</w:t>
      </w:r>
      <w:r>
        <w:rPr>
          <w:rFonts w:hint="eastAsia" w:ascii="宋体" w:hAnsi="宋体"/>
          <w:color w:val="FF0000"/>
          <w:sz w:val="24"/>
          <w:szCs w:val="24"/>
          <w:highlight w:val="none"/>
        </w:rPr>
        <w:t>一</w:t>
      </w:r>
      <w:r>
        <w:rPr>
          <w:rFonts w:hint="eastAsia" w:ascii="宋体" w:hAnsi="宋体"/>
          <w:sz w:val="24"/>
          <w:szCs w:val="24"/>
          <w:highlight w:val="none"/>
        </w:rPr>
        <w:t>份2020年1月1日之后签署的合同复印件）</w:t>
      </w:r>
      <w:r>
        <w:rPr>
          <w:rFonts w:ascii="宋体" w:hAnsi="宋体"/>
          <w:sz w:val="24"/>
          <w:szCs w:val="24"/>
          <w:highlight w:val="none"/>
        </w:rPr>
        <w:t>；</w:t>
      </w:r>
      <w:r>
        <w:rPr>
          <w:rFonts w:hint="eastAsia" w:ascii="宋体" w:hAnsi="宋体"/>
          <w:sz w:val="24"/>
          <w:szCs w:val="24"/>
          <w:highlight w:val="none"/>
        </w:rPr>
        <w:t>（合同文本关键信息不明确的，需另外提供有效证明文件。）</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5.符合下列情形之一：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6.投标人存在以下不良信用记录情形之一的，不得推荐为中标候选人，不得确定为中标人：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报名日期：2024年1月</w:t>
      </w:r>
      <w:r>
        <w:rPr>
          <w:rFonts w:hint="eastAsia" w:ascii="宋体" w:hAnsi="宋体" w:cs="宋体"/>
          <w:kern w:val="0"/>
          <w:sz w:val="24"/>
          <w:szCs w:val="24"/>
          <w:lang w:val="en-US" w:eastAsia="zh-CN"/>
        </w:rPr>
        <w:t>9</w:t>
      </w:r>
      <w:r>
        <w:rPr>
          <w:rFonts w:hint="eastAsia" w:ascii="宋体" w:hAnsi="宋体" w:cs="宋体"/>
          <w:kern w:val="0"/>
          <w:sz w:val="24"/>
          <w:szCs w:val="24"/>
        </w:rPr>
        <w:t>日上午9:00至2024年1月1</w:t>
      </w:r>
      <w:r>
        <w:rPr>
          <w:rFonts w:hint="eastAsia" w:ascii="宋体" w:hAnsi="宋体" w:cs="宋体"/>
          <w:kern w:val="0"/>
          <w:sz w:val="24"/>
          <w:szCs w:val="24"/>
          <w:lang w:val="en-US" w:eastAsia="zh-CN"/>
        </w:rPr>
        <w:t>5</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1）领取方法1：微信订阅号消息---搜“合肥泓瑞金陵大酒店有限责任公司”关注公众号，里面下载标书；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2）关注文旅博览集团有限公司官方网站招标信息下载标书；</w:t>
      </w:r>
    </w:p>
    <w:p>
      <w:pPr>
        <w:autoSpaceDE w:val="0"/>
        <w:autoSpaceDN w:val="0"/>
        <w:adjustRightInd w:val="0"/>
        <w:spacing w:line="360" w:lineRule="auto"/>
        <w:ind w:firstLine="200"/>
        <w:jc w:val="left"/>
        <w:rPr>
          <w:rFonts w:ascii="宋体" w:hAnsi="宋体"/>
          <w:sz w:val="24"/>
          <w:szCs w:val="24"/>
        </w:rPr>
      </w:pPr>
      <w:r>
        <w:rPr>
          <w:rFonts w:hint="eastAsia" w:ascii="宋体" w:hAnsi="宋体" w:cs="宋体"/>
          <w:kern w:val="0"/>
          <w:sz w:val="24"/>
          <w:szCs w:val="24"/>
        </w:rPr>
        <w:t>3.报名方法：下载附件《合肥泓瑞金陵大酒店</w:t>
      </w:r>
      <w:r>
        <w:rPr>
          <w:rFonts w:hint="eastAsia" w:ascii="宋体" w:hAnsi="宋体"/>
          <w:sz w:val="24"/>
          <w:szCs w:val="24"/>
        </w:rPr>
        <w:t>酒店大瓶四液类</w:t>
      </w:r>
      <w:r>
        <w:rPr>
          <w:rFonts w:hint="eastAsia" w:ascii="宋体" w:hAnsi="宋体" w:cs="宋体"/>
          <w:kern w:val="0"/>
          <w:sz w:val="24"/>
          <w:szCs w:val="24"/>
        </w:rPr>
        <w:t>采购项目投标报名信息表》并完整填写信息</w:t>
      </w:r>
      <w:r>
        <w:rPr>
          <w:rFonts w:hint="eastAsia" w:ascii="宋体" w:hAnsi="宋体"/>
          <w:sz w:val="24"/>
          <w:szCs w:val="24"/>
        </w:rPr>
        <w:t>后在规定</w:t>
      </w:r>
      <w:r>
        <w:rPr>
          <w:rFonts w:hint="eastAsia" w:ascii="宋体" w:hAnsi="宋体" w:cs="宋体"/>
          <w:kern w:val="0"/>
          <w:sz w:val="24"/>
          <w:szCs w:val="24"/>
        </w:rPr>
        <w:t>的报名日期内发送至邮箱：</w:t>
      </w:r>
      <w:r>
        <w:fldChar w:fldCharType="begin"/>
      </w:r>
      <w:r>
        <w:instrText xml:space="preserve"> HYPERLINK "mailto:361923526@qq.com" </w:instrText>
      </w:r>
      <w:r>
        <w:fldChar w:fldCharType="separate"/>
      </w:r>
      <w:r>
        <w:rPr>
          <w:rFonts w:hint="eastAsia" w:ascii="宋体" w:hAnsi="宋体" w:cs="宋体"/>
          <w:kern w:val="0"/>
          <w:sz w:val="24"/>
          <w:szCs w:val="24"/>
        </w:rPr>
        <w:t>1161414857@qq.com</w:t>
      </w:r>
      <w:r>
        <w:rPr>
          <w:rFonts w:hint="eastAsia" w:ascii="宋体" w:hAnsi="宋体" w:cs="宋体"/>
          <w:kern w:val="0"/>
          <w:sz w:val="24"/>
          <w:szCs w:val="24"/>
        </w:rPr>
        <w:fldChar w:fldCharType="end"/>
      </w:r>
      <w:r>
        <w:rPr>
          <w:rFonts w:hint="eastAsia" w:ascii="宋体" w:hAnsi="宋体" w:cs="宋体"/>
          <w:kern w:val="0"/>
          <w:sz w:val="24"/>
          <w:szCs w:val="24"/>
        </w:rPr>
        <w:t xml:space="preserve"> 。</w:t>
      </w:r>
      <w:r>
        <w:rPr>
          <w:rFonts w:hint="eastAsia" w:ascii="宋体" w:hAnsi="宋体"/>
          <w:sz w:val="24"/>
          <w:szCs w:val="24"/>
        </w:rPr>
        <w:t xml:space="preserve"> </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1.开标时间：2024年1月1</w:t>
      </w:r>
      <w:r>
        <w:rPr>
          <w:rFonts w:hint="eastAsia" w:ascii="宋体" w:hAnsi="宋体" w:cs="宋体"/>
          <w:kern w:val="0"/>
          <w:sz w:val="24"/>
          <w:szCs w:val="24"/>
          <w:lang w:val="en-US" w:eastAsia="zh-CN"/>
        </w:rPr>
        <w:t>6</w:t>
      </w:r>
      <w:r>
        <w:rPr>
          <w:rFonts w:hint="eastAsia" w:ascii="宋体" w:hAnsi="宋体" w:cs="宋体"/>
          <w:kern w:val="0"/>
          <w:sz w:val="24"/>
          <w:szCs w:val="24"/>
        </w:rPr>
        <w:t>日</w:t>
      </w:r>
      <w:r>
        <w:rPr>
          <w:rFonts w:hint="eastAsia" w:ascii="宋体" w:hAnsi="宋体" w:cs="宋体"/>
          <w:kern w:val="0"/>
          <w:sz w:val="24"/>
          <w:szCs w:val="24"/>
          <w:lang w:val="en-US" w:eastAsia="zh-CN"/>
        </w:rPr>
        <w:t>9</w:t>
      </w:r>
      <w:r>
        <w:rPr>
          <w:rFonts w:hint="eastAsia" w:ascii="宋体" w:hAnsi="宋体" w:cs="宋体"/>
          <w:kern w:val="0"/>
          <w:sz w:val="24"/>
          <w:szCs w:val="24"/>
        </w:rPr>
        <w:t>：30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2.开标地点：合肥市蜀山区祁门路1799号合肥泓瑞金陵大酒店四楼</w:t>
      </w:r>
      <w:r>
        <w:rPr>
          <w:rFonts w:hint="eastAsia" w:ascii="宋体" w:hAnsi="宋体" w:cs="宋体"/>
          <w:kern w:val="0"/>
          <w:sz w:val="24"/>
          <w:szCs w:val="24"/>
          <w:lang w:eastAsia="zh-CN"/>
        </w:rPr>
        <w:t>相山</w:t>
      </w:r>
      <w:r>
        <w:rPr>
          <w:rFonts w:hint="eastAsia" w:ascii="宋体" w:hAnsi="宋体" w:cs="宋体"/>
          <w:kern w:val="0"/>
          <w:sz w:val="24"/>
          <w:szCs w:val="24"/>
        </w:rPr>
        <w:t>厅</w:t>
      </w:r>
    </w:p>
    <w:p>
      <w:pPr>
        <w:pStyle w:val="31"/>
        <w:rPr>
          <w:lang w:val="en-US"/>
        </w:rPr>
      </w:pP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hint="eastAsia" w:ascii="宋体" w:hAnsi="宋体" w:eastAsia="宋体" w:cs="宋体"/>
          <w:kern w:val="0"/>
          <w:sz w:val="24"/>
          <w:szCs w:val="24"/>
          <w:lang w:val="en-US" w:eastAsia="zh-CN"/>
        </w:rPr>
      </w:pPr>
      <w:r>
        <w:rPr>
          <w:rFonts w:hint="eastAsia" w:ascii="宋体" w:hAnsi="宋体" w:cs="宋体"/>
          <w:kern w:val="0"/>
          <w:sz w:val="24"/>
          <w:szCs w:val="24"/>
        </w:rPr>
        <w:t>2024年1月1</w:t>
      </w:r>
      <w:r>
        <w:rPr>
          <w:rFonts w:hint="eastAsia" w:ascii="宋体" w:hAnsi="宋体" w:cs="宋体"/>
          <w:kern w:val="0"/>
          <w:sz w:val="24"/>
          <w:szCs w:val="24"/>
          <w:lang w:val="en-US" w:eastAsia="zh-CN"/>
        </w:rPr>
        <w:t>5</w:t>
      </w:r>
      <w:r>
        <w:rPr>
          <w:rFonts w:hint="eastAsia" w:ascii="宋体" w:hAnsi="宋体" w:cs="宋体"/>
          <w:kern w:val="0"/>
          <w:sz w:val="24"/>
          <w:szCs w:val="24"/>
        </w:rPr>
        <w:t>日17：00</w:t>
      </w:r>
      <w:r>
        <w:rPr>
          <w:rFonts w:hint="eastAsia" w:ascii="宋体" w:hAnsi="宋体" w:cs="宋体"/>
          <w:kern w:val="0"/>
          <w:sz w:val="24"/>
          <w:szCs w:val="24"/>
          <w:lang w:val="en-US" w:eastAsia="zh-CN"/>
        </w:rPr>
        <w:t xml:space="preserve">   (投标样品请于1月12日17:00前</w:t>
      </w:r>
      <w:bookmarkStart w:id="225" w:name="_GoBack"/>
      <w:bookmarkEnd w:id="225"/>
      <w:r>
        <w:rPr>
          <w:rFonts w:hint="eastAsia" w:ascii="宋体" w:hAnsi="宋体" w:cs="宋体"/>
          <w:kern w:val="0"/>
          <w:sz w:val="24"/>
          <w:szCs w:val="24"/>
          <w:lang w:val="en-US" w:eastAsia="zh-CN"/>
        </w:rPr>
        <w:t>提供给酒店试用)</w:t>
      </w:r>
    </w:p>
    <w:p>
      <w:pPr>
        <w:spacing w:line="540" w:lineRule="exact"/>
        <w:rPr>
          <w:rFonts w:ascii="宋体" w:hAnsi="宋体"/>
          <w:b/>
          <w:sz w:val="28"/>
        </w:rPr>
      </w:pPr>
      <w:r>
        <w:rPr>
          <w:rFonts w:hint="eastAsia" w:ascii="宋体" w:hAnsi="宋体"/>
          <w:bCs/>
          <w:color w:val="000000"/>
          <w:sz w:val="24"/>
          <w:szCs w:val="24"/>
        </w:rPr>
        <w:t>七、</w:t>
      </w:r>
      <w:r>
        <w:rPr>
          <w:rFonts w:hint="eastAsia" w:ascii="宋体" w:hAnsi="宋体"/>
          <w:b/>
          <w:sz w:val="28"/>
        </w:rPr>
        <w:t>监管部门和联系方式：</w:t>
      </w:r>
    </w:p>
    <w:p>
      <w:pPr>
        <w:spacing w:line="500" w:lineRule="exact"/>
        <w:rPr>
          <w:rFonts w:ascii="宋体" w:hAnsi="宋体"/>
          <w:sz w:val="28"/>
        </w:rPr>
      </w:pPr>
      <w:r>
        <w:rPr>
          <w:rFonts w:hint="eastAsia" w:ascii="宋体" w:hAnsi="宋体"/>
          <w:sz w:val="28"/>
        </w:rPr>
        <w:t>监管部门：合肥泓瑞金陵大酒店党支部纪检委员</w:t>
      </w:r>
    </w:p>
    <w:p>
      <w:pPr>
        <w:spacing w:line="500" w:lineRule="exact"/>
        <w:rPr>
          <w:rFonts w:ascii="宋体" w:hAnsi="宋体"/>
          <w:sz w:val="28"/>
        </w:rPr>
      </w:pPr>
      <w:r>
        <w:rPr>
          <w:rFonts w:hint="eastAsia" w:ascii="宋体" w:hAnsi="宋体"/>
          <w:sz w:val="28"/>
        </w:rPr>
        <w:t>联系方式：0551-62266404</w:t>
      </w:r>
    </w:p>
    <w:p>
      <w:pPr>
        <w:pStyle w:val="20"/>
        <w:ind w:firstLine="420"/>
      </w:pPr>
    </w:p>
    <w:p>
      <w:pPr>
        <w:autoSpaceDE w:val="0"/>
        <w:autoSpaceDN w:val="0"/>
        <w:adjustRightInd w:val="0"/>
        <w:spacing w:line="430" w:lineRule="exact"/>
        <w:ind w:firstLine="200"/>
        <w:jc w:val="left"/>
        <w:rPr>
          <w:rFonts w:ascii="宋体" w:hAnsi="宋体"/>
          <w:color w:val="000000"/>
        </w:rPr>
      </w:pPr>
    </w:p>
    <w:p>
      <w:pPr>
        <w:pStyle w:val="6"/>
        <w:numPr>
          <w:ilvl w:val="0"/>
          <w:numId w:val="1"/>
        </w:numPr>
        <w:spacing w:before="0" w:line="500" w:lineRule="exact"/>
        <w:ind w:firstLine="0"/>
        <w:rPr>
          <w:rFonts w:ascii="宋体" w:hAnsi="宋体" w:eastAsia="宋体"/>
          <w:color w:val="000000"/>
        </w:rPr>
      </w:pPr>
      <w:bookmarkStart w:id="6" w:name="_Toc520280121"/>
      <w:bookmarkStart w:id="7" w:name="_Toc7683"/>
      <w:bookmarkStart w:id="8" w:name="_Toc31947"/>
      <w:bookmarkStart w:id="9" w:name="_Toc6982"/>
      <w:bookmarkStart w:id="10" w:name="_Toc2154"/>
      <w:r>
        <w:rPr>
          <w:rFonts w:hint="eastAsia" w:ascii="宋体" w:hAnsi="宋体" w:eastAsia="宋体"/>
          <w:color w:val="000000"/>
        </w:rPr>
        <w:t>投标人须知前附表</w:t>
      </w:r>
      <w:bookmarkEnd w:id="6"/>
      <w:bookmarkEnd w:id="7"/>
      <w:bookmarkEnd w:id="8"/>
      <w:bookmarkEnd w:id="9"/>
      <w:bookmarkEnd w:id="10"/>
    </w:p>
    <w:p/>
    <w:tbl>
      <w:tblPr>
        <w:tblStyle w:val="19"/>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23"/>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4"/>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autoSpaceDE w:val="0"/>
              <w:autoSpaceDN w:val="0"/>
              <w:adjustRightInd w:val="0"/>
              <w:spacing w:line="430" w:lineRule="exact"/>
              <w:jc w:val="left"/>
              <w:rPr>
                <w:b/>
                <w:color w:val="000000"/>
                <w:sz w:val="24"/>
                <w:szCs w:val="20"/>
              </w:rPr>
            </w:pPr>
            <w:r>
              <w:rPr>
                <w:rFonts w:hint="eastAsia" w:ascii="宋体" w:hAnsi="宋体" w:cs="宋体"/>
                <w:color w:val="000000"/>
                <w:kern w:val="0"/>
                <w:sz w:val="24"/>
              </w:rPr>
              <w:t>合肥泓瑞金陵大酒店</w:t>
            </w:r>
            <w:r>
              <w:rPr>
                <w:rFonts w:hint="eastAsia" w:ascii="宋体" w:hAnsi="宋体"/>
                <w:bCs/>
                <w:color w:val="000000"/>
                <w:sz w:val="24"/>
                <w:szCs w:val="24"/>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spacing w:line="360" w:lineRule="auto"/>
              <w:rPr>
                <w:rFonts w:ascii="宋体" w:hAnsi="宋体" w:cs="宋体" w:eastAsiaTheme="minorEastAsia"/>
                <w:b/>
                <w:color w:val="000000"/>
                <w:kern w:val="0"/>
                <w:sz w:val="24"/>
              </w:rPr>
            </w:pPr>
            <w:r>
              <w:rPr>
                <w:rFonts w:hint="eastAsia" w:asciiTheme="minorEastAsia" w:hAnsiTheme="minorEastAsia" w:eastAsiaTheme="minorEastAsia"/>
                <w:sz w:val="24"/>
                <w:szCs w:val="24"/>
              </w:rPr>
              <w:t>合肥泓瑞金陵大酒店酒店大瓶四液类项目（二次）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tabs>
                <w:tab w:val="left" w:pos="2410"/>
              </w:tabs>
              <w:autoSpaceDE w:val="0"/>
              <w:autoSpaceDN w:val="0"/>
              <w:adjustRightInd w:val="0"/>
              <w:snapToGrid w:val="0"/>
              <w:spacing w:line="360" w:lineRule="auto"/>
              <w:ind w:firstLine="480" w:firstLineChars="200"/>
              <w:rPr>
                <w:rFonts w:ascii="宋体" w:hAnsi="DotumChe" w:cs="宋体"/>
                <w:b/>
                <w:color w:val="000000"/>
                <w:spacing w:val="20"/>
                <w:kern w:val="0"/>
                <w:sz w:val="32"/>
                <w:szCs w:val="32"/>
              </w:rPr>
            </w:pPr>
            <w:r>
              <w:rPr>
                <w:rFonts w:ascii="宋体" w:hAnsi="宋体" w:cs="宋体"/>
                <w:sz w:val="24"/>
                <w:szCs w:val="24"/>
              </w:rPr>
              <w:t>2023</w:t>
            </w:r>
            <w:r>
              <w:rPr>
                <w:rFonts w:hint="eastAsia" w:ascii="宋体" w:hAnsi="宋体" w:cs="宋体"/>
                <w:sz w:val="24"/>
                <w:szCs w:val="24"/>
              </w:rPr>
              <w:t>HRJL1227（5）</w:t>
            </w:r>
            <w:r>
              <w:rPr>
                <w:rFonts w:ascii="宋体" w:hAnsi="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23"/>
              <w:widowControl w:val="0"/>
              <w:spacing w:before="0" w:beforeAutospacing="0" w:after="0" w:afterAutospacing="0"/>
              <w:jc w:val="both"/>
              <w:rPr>
                <w:b w:val="0"/>
                <w:bCs w:val="0"/>
                <w:color w:val="000000"/>
                <w:sz w:val="24"/>
              </w:rPr>
            </w:pPr>
            <w:r>
              <w:rPr>
                <w:rFonts w:hint="eastAsia"/>
                <w:b w:val="0"/>
                <w:bCs w:val="0"/>
                <w:color w:val="000000"/>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23"/>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招标人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rPr>
              <w:t>7</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spacing w:line="600" w:lineRule="exact"/>
              <w:jc w:val="left"/>
              <w:rPr>
                <w:rFonts w:ascii="宋体" w:hAnsi="宋体"/>
                <w:bCs/>
                <w:color w:val="000000"/>
                <w:sz w:val="24"/>
                <w:szCs w:val="20"/>
              </w:rPr>
            </w:pPr>
            <w:r>
              <w:rPr>
                <w:rFonts w:hint="eastAsia" w:asciiTheme="minorEastAsia" w:hAnsiTheme="minorEastAsia" w:eastAsiaTheme="minorEastAsia"/>
                <w:sz w:val="24"/>
                <w:szCs w:val="24"/>
              </w:rPr>
              <w:t>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w:t>
            </w:r>
          </w:p>
          <w:p>
            <w:pPr>
              <w:spacing w:line="600" w:lineRule="exact"/>
              <w:jc w:val="left"/>
              <w:rPr>
                <w:rFonts w:ascii="宋体" w:hAnsi="宋体"/>
                <w:bCs/>
                <w:color w:val="000000"/>
                <w:sz w:val="24"/>
              </w:rPr>
            </w:pPr>
            <w:r>
              <w:rPr>
                <w:rFonts w:hint="eastAsia" w:ascii="宋体" w:hAnsi="宋体"/>
                <w:bCs/>
                <w:color w:val="000000"/>
                <w:sz w:val="24"/>
                <w:szCs w:val="20"/>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tcPr>
          <w:p>
            <w:pPr>
              <w:spacing w:line="500" w:lineRule="exact"/>
              <w:rPr>
                <w:rFonts w:ascii="宋体" w:hAnsi="宋体"/>
                <w:color w:val="000000"/>
                <w:sz w:val="24"/>
              </w:rPr>
            </w:pPr>
            <w:r>
              <w:rPr>
                <w:rFonts w:hint="eastAsia" w:ascii="宋体" w:hAnsi="宋体" w:eastAsiaTheme="minorEastAsia"/>
                <w:sz w:val="24"/>
                <w:szCs w:val="24"/>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ind w:firstLine="120" w:firstLineChars="50"/>
              <w:jc w:val="center"/>
              <w:rPr>
                <w:rFonts w:ascii="宋体" w:hAnsi="宋体"/>
                <w:color w:val="000000"/>
                <w:sz w:val="24"/>
              </w:rPr>
            </w:pPr>
            <w:r>
              <w:rPr>
                <w:rFonts w:hint="eastAsia" w:ascii="宋体" w:hAnsi="宋体"/>
                <w:color w:val="000000"/>
                <w:sz w:val="24"/>
              </w:rPr>
              <w:t>报价需求</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报价不得高于或等于控制价12万元/年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bl>
    <w:p>
      <w:pPr>
        <w:spacing w:line="500" w:lineRule="exact"/>
        <w:jc w:val="center"/>
        <w:rPr>
          <w:rFonts w:ascii="宋体" w:hAnsi="宋体"/>
          <w:color w:val="000000"/>
          <w:sz w:val="24"/>
        </w:rPr>
        <w:sectPr>
          <w:headerReference r:id="rId6" w:type="default"/>
          <w:footerReference r:id="rId7" w:type="default"/>
          <w:pgSz w:w="11907" w:h="16840"/>
          <w:pgMar w:top="1440" w:right="1247" w:bottom="1440" w:left="1247" w:header="851" w:footer="992" w:gutter="0"/>
          <w:cols w:space="720" w:num="1"/>
          <w:docGrid w:linePitch="303" w:charSpace="0"/>
        </w:sectPr>
      </w:pPr>
    </w:p>
    <w:tbl>
      <w:tblPr>
        <w:tblStyle w:val="19"/>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综合评分法。详见招标</w:t>
            </w:r>
            <w:r>
              <w:rPr>
                <w:rFonts w:hint="eastAsia" w:ascii="宋体" w:hAnsi="宋体"/>
                <w:color w:val="000000"/>
                <w:sz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17</w:t>
            </w:r>
          </w:p>
        </w:tc>
        <w:tc>
          <w:tcPr>
            <w:tcW w:w="1559" w:type="dxa"/>
            <w:vAlign w:val="center"/>
          </w:tcPr>
          <w:p>
            <w:pPr>
              <w:spacing w:line="500" w:lineRule="exact"/>
              <w:jc w:val="center"/>
              <w:rPr>
                <w:rFonts w:ascii="宋体" w:hAnsi="宋体"/>
                <w:color w:val="000000"/>
                <w:sz w:val="24"/>
                <w:szCs w:val="24"/>
              </w:rPr>
            </w:pPr>
            <w:r>
              <w:rPr>
                <w:rFonts w:hint="eastAsia" w:ascii="宋体" w:hAnsi="宋体"/>
                <w:color w:val="000000"/>
                <w:sz w:val="24"/>
                <w:szCs w:val="24"/>
              </w:rPr>
              <w:t>投标人信用记录</w:t>
            </w:r>
          </w:p>
        </w:tc>
        <w:tc>
          <w:tcPr>
            <w:tcW w:w="7077" w:type="dxa"/>
            <w:vAlign w:val="center"/>
          </w:tcPr>
          <w:p>
            <w:pPr>
              <w:spacing w:line="360" w:lineRule="auto"/>
              <w:rPr>
                <w:rFonts w:ascii="宋体" w:hAnsi="宋体"/>
                <w:color w:val="000000"/>
                <w:sz w:val="24"/>
                <w:szCs w:val="24"/>
              </w:rPr>
            </w:pPr>
            <w:r>
              <w:rPr>
                <w:rFonts w:hint="eastAsia" w:ascii="宋体" w:hAnsi="宋体"/>
                <w:color w:val="000000"/>
                <w:sz w:val="24"/>
                <w:szCs w:val="24"/>
              </w:rPr>
              <w:t>1.投标人存在以下不良信用记录情形之一的，不得推荐为中标候选人，不得确定为中标人：</w:t>
            </w:r>
          </w:p>
          <w:p>
            <w:pPr>
              <w:spacing w:line="360" w:lineRule="auto"/>
              <w:rPr>
                <w:rFonts w:ascii="宋体" w:hAnsi="宋体"/>
                <w:color w:val="000000"/>
                <w:sz w:val="24"/>
                <w:szCs w:val="24"/>
              </w:rPr>
            </w:pPr>
            <w:r>
              <w:rPr>
                <w:rFonts w:hint="eastAsia" w:ascii="宋体" w:hAnsi="宋体"/>
                <w:color w:val="000000"/>
                <w:sz w:val="24"/>
                <w:szCs w:val="24"/>
              </w:rPr>
              <w:t>（1）投标人被人民法院列入失信被执行人的；</w:t>
            </w:r>
          </w:p>
          <w:p>
            <w:pPr>
              <w:spacing w:line="360" w:lineRule="auto"/>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spacing w:line="360" w:lineRule="auto"/>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spacing w:line="360" w:lineRule="auto"/>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spacing w:line="360" w:lineRule="auto"/>
              <w:rPr>
                <w:rFonts w:ascii="宋体" w:hAnsi="宋体"/>
                <w:color w:val="000000"/>
                <w:sz w:val="24"/>
                <w:szCs w:val="24"/>
              </w:rPr>
            </w:pPr>
            <w:r>
              <w:rPr>
                <w:rFonts w:hint="eastAsia" w:ascii="宋体" w:hAnsi="宋体"/>
                <w:color w:val="000000"/>
                <w:sz w:val="24"/>
                <w:szCs w:val="24"/>
              </w:rPr>
              <w:t>2.联合体投标人，联合体任何一方存在上述不良信用记录的，视同联合体存在不良信用记录。</w:t>
            </w:r>
          </w:p>
          <w:p>
            <w:pPr>
              <w:spacing w:line="360" w:lineRule="auto"/>
              <w:rPr>
                <w:rFonts w:ascii="宋体" w:hAnsi="宋体"/>
                <w:color w:val="000000"/>
                <w:sz w:val="24"/>
                <w:szCs w:val="24"/>
              </w:rPr>
            </w:pPr>
            <w:r>
              <w:rPr>
                <w:rFonts w:hint="eastAsia" w:ascii="宋体" w:hAnsi="宋体"/>
                <w:color w:val="000000"/>
                <w:sz w:val="24"/>
                <w:szCs w:val="24"/>
              </w:rPr>
              <w:t>3.不良信用记录仅以下列渠道查询结果为准：</w:t>
            </w:r>
          </w:p>
          <w:p>
            <w:pPr>
              <w:spacing w:line="360" w:lineRule="auto"/>
              <w:rPr>
                <w:rFonts w:ascii="宋体" w:hAnsi="宋体"/>
                <w:b/>
                <w:color w:val="000000"/>
                <w:sz w:val="24"/>
                <w:szCs w:val="24"/>
              </w:rPr>
            </w:pPr>
            <w:r>
              <w:rPr>
                <w:rFonts w:hint="eastAsia" w:ascii="宋体" w:hAnsi="宋体"/>
                <w:b/>
                <w:color w:val="000000"/>
                <w:sz w:val="24"/>
                <w:szCs w:val="24"/>
              </w:rPr>
              <w:t>（1）信用中国官网（www.creditchina.gov.cn）或者中国执行信息公开网（http://zxgk.court.gov.cn/）、国家税务总局（http://www.chinatax.gov.cn/）等网站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（2）行贿犯罪档案：人民检察院书面证明扫描件（时限为近三年，且在有效期内）或人民检察院官方网站查询结果的电子件(打印件扫描)；</w:t>
            </w:r>
          </w:p>
          <w:p>
            <w:pPr>
              <w:spacing w:line="360" w:lineRule="auto"/>
              <w:rPr>
                <w:rFonts w:ascii="宋体" w:hAnsi="宋体"/>
                <w:color w:val="000000"/>
                <w:sz w:val="24"/>
                <w:szCs w:val="24"/>
              </w:rPr>
            </w:pPr>
            <w:r>
              <w:rPr>
                <w:rFonts w:hint="eastAsia" w:ascii="宋体" w:hAnsi="宋体"/>
                <w:color w:val="000000"/>
                <w:sz w:val="24"/>
                <w:szCs w:val="24"/>
              </w:rPr>
              <w:t>4.投标文件中应当提供无不良信用记录承诺（第七章“投标人信用承诺”）。联合体投标的，所有联合体成员均须加盖公章。</w:t>
            </w:r>
          </w:p>
          <w:p>
            <w:pPr>
              <w:spacing w:line="500" w:lineRule="exact"/>
              <w:rPr>
                <w:rFonts w:ascii="宋体" w:hAnsi="宋体"/>
                <w:color w:val="000000"/>
                <w:sz w:val="24"/>
                <w:szCs w:val="24"/>
              </w:rPr>
            </w:pPr>
            <w:r>
              <w:rPr>
                <w:rFonts w:hint="eastAsia" w:ascii="宋体" w:hAnsi="宋体"/>
                <w:b/>
                <w:color w:val="000000"/>
                <w:sz w:val="24"/>
                <w:szCs w:val="24"/>
              </w:rPr>
              <w:t>5.投标文件中应当提供信用中国官网查询的失信被执行人、企业经营异常名录、重大税收违法案件当事人名单查询结果截图和行贿犯罪档案证明材料。联合体投标的，所有联合体成员均须提供查询结果截图、行贿犯罪档案证明材料及承诺（承诺及截图参考）</w:t>
            </w:r>
          </w:p>
        </w:tc>
      </w:tr>
    </w:tbl>
    <w:p>
      <w:pPr>
        <w:spacing w:line="500" w:lineRule="exact"/>
        <w:jc w:val="center"/>
        <w:rPr>
          <w:rFonts w:ascii="宋体" w:hAnsi="宋体"/>
          <w:color w:val="000000"/>
          <w:sz w:val="24"/>
        </w:rPr>
        <w:sectPr>
          <w:footerReference r:id="rId8" w:type="default"/>
          <w:pgSz w:w="11907" w:h="16840"/>
          <w:pgMar w:top="1440" w:right="1247" w:bottom="1440" w:left="1247" w:header="851" w:footer="992" w:gutter="0"/>
          <w:cols w:space="720" w:num="1"/>
          <w:docGrid w:linePitch="303" w:charSpace="0"/>
        </w:sectPr>
      </w:pPr>
    </w:p>
    <w:p>
      <w:pPr>
        <w:spacing w:line="360" w:lineRule="auto"/>
        <w:rPr>
          <w:rFonts w:ascii="宋体" w:hAnsi="宋体"/>
          <w:color w:val="000000"/>
          <w:sz w:val="24"/>
          <w:szCs w:val="24"/>
        </w:rPr>
      </w:pPr>
      <w:bookmarkStart w:id="11" w:name="_Hlt519045778"/>
      <w:bookmarkEnd w:id="11"/>
      <w:bookmarkStart w:id="12" w:name="_Hlt509650027"/>
      <w:bookmarkEnd w:id="12"/>
    </w:p>
    <w:p>
      <w:pPr>
        <w:rPr>
          <w:color w:val="000000"/>
        </w:rPr>
      </w:pPr>
      <w:bookmarkStart w:id="13" w:name="_Hlt509650103"/>
      <w:bookmarkEnd w:id="13"/>
      <w:bookmarkStart w:id="14" w:name="_Hlt509650932"/>
      <w:bookmarkEnd w:id="14"/>
      <w:bookmarkStart w:id="15" w:name="_Hlt509649795"/>
      <w:bookmarkEnd w:id="15"/>
      <w:bookmarkStart w:id="16" w:name="_Hlt509650936"/>
      <w:bookmarkEnd w:id="16"/>
      <w:bookmarkStart w:id="17" w:name="_Hlt509649678"/>
      <w:bookmarkEnd w:id="17"/>
      <w:bookmarkStart w:id="18" w:name="_Hlt526418153"/>
      <w:bookmarkEnd w:id="18"/>
      <w:bookmarkStart w:id="19" w:name="_Hlt509650690"/>
      <w:bookmarkEnd w:id="19"/>
      <w:bookmarkStart w:id="20" w:name="_Hlt509649645"/>
      <w:bookmarkEnd w:id="20"/>
      <w:bookmarkStart w:id="21" w:name="_Hlt509650961"/>
      <w:bookmarkEnd w:id="21"/>
      <w:bookmarkStart w:id="22" w:name="_Hlt509649330"/>
      <w:bookmarkEnd w:id="22"/>
      <w:bookmarkStart w:id="23" w:name="_Hlt509650929"/>
      <w:bookmarkEnd w:id="23"/>
      <w:bookmarkStart w:id="24" w:name="_Hlt509650116"/>
      <w:bookmarkEnd w:id="24"/>
      <w:bookmarkStart w:id="25" w:name="_Hlt509650333"/>
      <w:bookmarkEnd w:id="25"/>
      <w:bookmarkStart w:id="26" w:name="_Hlt509649669"/>
      <w:bookmarkEnd w:id="26"/>
      <w:bookmarkStart w:id="27" w:name="_Toc459990137"/>
      <w:bookmarkStart w:id="28" w:name="_Toc508363589"/>
    </w:p>
    <w:p>
      <w:pPr>
        <w:pStyle w:val="5"/>
        <w:spacing w:before="0" w:line="500" w:lineRule="exact"/>
        <w:jc w:val="center"/>
        <w:rPr>
          <w:rFonts w:ascii="宋体" w:hAnsi="宋体"/>
          <w:color w:val="000000"/>
        </w:rPr>
      </w:pPr>
      <w:bookmarkStart w:id="29" w:name="_Toc29205"/>
      <w:bookmarkStart w:id="30" w:name="_Toc55285810"/>
      <w:bookmarkStart w:id="31" w:name="_Toc31200"/>
      <w:bookmarkStart w:id="32" w:name="_Toc12926"/>
      <w:bookmarkStart w:id="33" w:name="_Toc24236"/>
      <w:bookmarkStart w:id="34" w:name="_Toc4850"/>
      <w:bookmarkStart w:id="35" w:name="_Toc520280122"/>
      <w:r>
        <w:rPr>
          <w:rFonts w:hint="eastAsia" w:ascii="宋体" w:hAnsi="宋体"/>
          <w:color w:val="000000"/>
        </w:rPr>
        <w:t>第三章 投标人须知</w:t>
      </w:r>
      <w:bookmarkEnd w:id="29"/>
      <w:bookmarkEnd w:id="30"/>
      <w:bookmarkEnd w:id="31"/>
      <w:bookmarkEnd w:id="32"/>
      <w:bookmarkEnd w:id="33"/>
      <w:bookmarkEnd w:id="34"/>
    </w:p>
    <w:p>
      <w:pPr>
        <w:keepNext/>
        <w:keepLines/>
        <w:spacing w:before="260" w:after="260" w:line="360" w:lineRule="auto"/>
        <w:jc w:val="center"/>
        <w:outlineLvl w:val="1"/>
        <w:rPr>
          <w:rFonts w:ascii="宋体" w:hAnsi="宋体"/>
          <w:b/>
          <w:bCs/>
          <w:color w:val="000000"/>
          <w:sz w:val="28"/>
          <w:szCs w:val="32"/>
        </w:rPr>
      </w:pPr>
      <w:bookmarkStart w:id="36" w:name="_Toc14924"/>
      <w:bookmarkStart w:id="37" w:name="_Toc22888330"/>
      <w:bookmarkStart w:id="38" w:name="_Toc51505239"/>
      <w:bookmarkStart w:id="39" w:name="_Toc55285811"/>
      <w:bookmarkStart w:id="40" w:name="_Toc15873"/>
      <w:bookmarkStart w:id="41" w:name="_Toc12998"/>
      <w:bookmarkStart w:id="42" w:name="_Toc3145"/>
      <w:r>
        <w:rPr>
          <w:rFonts w:hint="eastAsia" w:ascii="宋体" w:hAnsi="宋体"/>
          <w:b/>
          <w:bCs/>
          <w:color w:val="000000"/>
          <w:sz w:val="28"/>
          <w:szCs w:val="32"/>
        </w:rPr>
        <w:t>一．投标文件的编制</w:t>
      </w:r>
      <w:bookmarkEnd w:id="36"/>
      <w:bookmarkEnd w:id="37"/>
      <w:bookmarkEnd w:id="38"/>
      <w:bookmarkEnd w:id="39"/>
      <w:bookmarkEnd w:id="40"/>
      <w:bookmarkEnd w:id="41"/>
      <w:bookmarkEnd w:id="42"/>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1.投标文件的编写要求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1.1投标人须以招标人正式发布的《招标文件》为制作《投标文件》的依据；</w:t>
      </w:r>
    </w:p>
    <w:p>
      <w:pPr>
        <w:spacing w:line="360" w:lineRule="auto"/>
        <w:ind w:firstLine="480" w:firstLineChars="200"/>
        <w:rPr>
          <w:rFonts w:ascii="宋体" w:hAnsi="宋体"/>
          <w:color w:val="000000"/>
          <w:kern w:val="0"/>
          <w:sz w:val="24"/>
        </w:rPr>
      </w:pPr>
      <w:r>
        <w:rPr>
          <w:rFonts w:hint="eastAsia" w:ascii="宋体" w:hAnsi="宋体" w:cs="宋体"/>
          <w:color w:val="000000"/>
          <w:kern w:val="0"/>
          <w:sz w:val="24"/>
        </w:rPr>
        <w:t>1.2</w:t>
      </w:r>
      <w:r>
        <w:rPr>
          <w:rFonts w:hint="eastAsia" w:ascii="宋体" w:hAnsi="宋体"/>
          <w:color w:val="000000"/>
          <w:kern w:val="0"/>
          <w:sz w:val="24"/>
        </w:rPr>
        <w:t>投标人应仔细阅读招标文件的所有内容，按招标文件的要求提供投标文件，并保证所提供的全部资料真实有效；</w:t>
      </w:r>
    </w:p>
    <w:p>
      <w:pPr>
        <w:spacing w:line="360" w:lineRule="auto"/>
        <w:ind w:firstLine="480" w:firstLineChars="200"/>
        <w:rPr>
          <w:rFonts w:ascii="宋体" w:hAnsi="宋体"/>
          <w:color w:val="000000"/>
          <w:kern w:val="0"/>
          <w:sz w:val="24"/>
        </w:rPr>
      </w:pPr>
      <w:r>
        <w:rPr>
          <w:rFonts w:hint="eastAsia" w:ascii="宋体" w:hAnsi="宋体" w:cs="宋体"/>
          <w:color w:val="000000"/>
          <w:kern w:val="0"/>
          <w:sz w:val="24"/>
        </w:rPr>
        <w:t>1.3</w:t>
      </w:r>
      <w:r>
        <w:rPr>
          <w:rFonts w:hint="eastAsia" w:ascii="宋体" w:hAnsi="宋体"/>
          <w:color w:val="000000"/>
          <w:kern w:val="0"/>
          <w:sz w:val="24"/>
        </w:rPr>
        <w:t>投标文件的书面内容不得涂抹或改写；</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1.4满足本招标文件规定的其它要求。</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2.投标文件由以下部分构成</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2.1</w:t>
      </w:r>
      <w:r>
        <w:rPr>
          <w:rFonts w:hint="eastAsia" w:ascii="宋体" w:hAnsi="宋体"/>
          <w:color w:val="000000"/>
          <w:kern w:val="0"/>
          <w:sz w:val="24"/>
        </w:rPr>
        <w:t>投标承诺书、开标一览表、分项报价表、投标事项承诺原件等；</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2.2</w:t>
      </w:r>
      <w:r>
        <w:rPr>
          <w:rFonts w:hint="eastAsia" w:ascii="宋体" w:hAnsi="宋体"/>
          <w:color w:val="000000"/>
          <w:kern w:val="0"/>
          <w:sz w:val="24"/>
        </w:rPr>
        <w:t>投标人资质证明文件复印件、法人和授权代表人身份证复印件；</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2.3投标人</w:t>
      </w:r>
      <w:r>
        <w:rPr>
          <w:rFonts w:hint="eastAsia" w:ascii="宋体" w:hAnsi="宋体"/>
          <w:color w:val="000000"/>
          <w:kern w:val="0"/>
          <w:sz w:val="24"/>
        </w:rPr>
        <w:t>同类项目合同及投标人其它说明文件等；</w:t>
      </w:r>
    </w:p>
    <w:p>
      <w:pPr>
        <w:spacing w:line="480" w:lineRule="exact"/>
        <w:ind w:firstLine="482" w:firstLineChars="200"/>
        <w:rPr>
          <w:rFonts w:ascii="宋体" w:hAnsi="宋体"/>
          <w:b/>
          <w:color w:val="000000"/>
          <w:kern w:val="0"/>
          <w:sz w:val="24"/>
        </w:rPr>
      </w:pPr>
      <w:r>
        <w:rPr>
          <w:rFonts w:hint="eastAsia" w:ascii="宋体" w:hAnsi="宋体"/>
          <w:b/>
          <w:color w:val="000000"/>
          <w:kern w:val="0"/>
          <w:sz w:val="24"/>
        </w:rPr>
        <w:t>3.投标报价说明及依据</w:t>
      </w:r>
    </w:p>
    <w:p>
      <w:pPr>
        <w:spacing w:line="480" w:lineRule="exact"/>
        <w:ind w:firstLine="480" w:firstLineChars="200"/>
        <w:rPr>
          <w:rFonts w:ascii="宋体" w:hAnsi="宋体"/>
          <w:b/>
          <w:color w:val="000000"/>
          <w:kern w:val="0"/>
          <w:sz w:val="24"/>
        </w:rPr>
      </w:pPr>
      <w:r>
        <w:rPr>
          <w:rFonts w:hint="eastAsia" w:ascii="宋体" w:hAnsi="宋体" w:cs="宋体"/>
          <w:color w:val="000000"/>
          <w:kern w:val="0"/>
          <w:sz w:val="24"/>
        </w:rPr>
        <w:t>3.1招标内容、采购清单及有关文件等；</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3.2国家、行业、地方有关技术标准规范；</w:t>
      </w:r>
    </w:p>
    <w:p>
      <w:pPr>
        <w:widowControl/>
        <w:spacing w:line="480" w:lineRule="exact"/>
        <w:ind w:firstLine="465"/>
        <w:jc w:val="left"/>
        <w:rPr>
          <w:rFonts w:ascii="宋体" w:hAnsi="宋体" w:cs="宋体"/>
          <w:color w:val="000000"/>
          <w:kern w:val="0"/>
          <w:sz w:val="24"/>
        </w:rPr>
        <w:sectPr>
          <w:footerReference r:id="rId9" w:type="default"/>
          <w:pgSz w:w="11907" w:h="16840"/>
          <w:pgMar w:top="1440" w:right="1247" w:bottom="1440" w:left="1247" w:header="851" w:footer="992" w:gutter="0"/>
          <w:cols w:space="720" w:num="1"/>
          <w:docGrid w:linePitch="303" w:charSpace="0"/>
        </w:sectPr>
      </w:pPr>
      <w:r>
        <w:rPr>
          <w:rFonts w:hint="eastAsia" w:ascii="宋体" w:hAnsi="宋体" w:cs="宋体"/>
          <w:color w:val="000000"/>
          <w:kern w:val="0"/>
          <w:sz w:val="24"/>
        </w:rPr>
        <w:t>3.3投标方需按照《投标分项报价表》格式做报价清单，所有价格均为到达项目所在工地含税（增值税专用发票）报价。</w:t>
      </w:r>
    </w:p>
    <w:p>
      <w:pPr>
        <w:widowControl/>
        <w:spacing w:line="480" w:lineRule="exact"/>
        <w:jc w:val="left"/>
        <w:rPr>
          <w:rFonts w:ascii="宋体" w:hAnsi="宋体" w:cs="宋体"/>
          <w:color w:val="000000"/>
          <w:kern w:val="0"/>
          <w:sz w:val="24"/>
        </w:rPr>
      </w:pPr>
      <w:r>
        <w:rPr>
          <w:rFonts w:hint="eastAsia" w:ascii="宋体" w:hAnsi="宋体" w:cs="宋体"/>
          <w:color w:val="000000"/>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1"/>
        <w:rPr>
          <w:rFonts w:ascii="宋体" w:hAnsi="宋体"/>
          <w:b/>
          <w:bCs/>
          <w:color w:val="000000"/>
          <w:sz w:val="28"/>
          <w:szCs w:val="32"/>
        </w:rPr>
      </w:pPr>
      <w:bookmarkStart w:id="43" w:name="_Toc27573"/>
      <w:bookmarkStart w:id="44" w:name="_Toc22888332"/>
      <w:bookmarkStart w:id="45" w:name="_Toc26100"/>
      <w:bookmarkStart w:id="46" w:name="_Toc55285813"/>
      <w:bookmarkStart w:id="47" w:name="_Toc29375"/>
      <w:bookmarkStart w:id="48" w:name="_Toc21904"/>
      <w:bookmarkStart w:id="49" w:name="_Toc7187423"/>
      <w:bookmarkStart w:id="50" w:name="_Toc19773336"/>
      <w:bookmarkStart w:id="51" w:name="_Toc51505241"/>
      <w:r>
        <w:rPr>
          <w:rFonts w:hint="eastAsia" w:ascii="宋体" w:hAnsi="宋体"/>
          <w:b/>
          <w:bCs/>
          <w:color w:val="000000"/>
          <w:sz w:val="28"/>
          <w:szCs w:val="32"/>
        </w:rPr>
        <w:t>二．投标文件的递交</w:t>
      </w:r>
      <w:bookmarkEnd w:id="43"/>
      <w:bookmarkEnd w:id="44"/>
      <w:bookmarkEnd w:id="45"/>
      <w:bookmarkEnd w:id="46"/>
      <w:bookmarkEnd w:id="47"/>
      <w:bookmarkEnd w:id="48"/>
      <w:bookmarkEnd w:id="49"/>
      <w:bookmarkEnd w:id="50"/>
      <w:bookmarkEnd w:id="51"/>
    </w:p>
    <w:p>
      <w:pPr>
        <w:widowControl/>
        <w:spacing w:line="360" w:lineRule="auto"/>
        <w:outlineLvl w:val="2"/>
        <w:rPr>
          <w:rFonts w:ascii="宋体" w:hAnsi="宋体" w:cs="宋体"/>
          <w:b/>
          <w:color w:val="000000"/>
          <w:kern w:val="0"/>
          <w:sz w:val="24"/>
        </w:rPr>
      </w:pPr>
      <w:r>
        <w:rPr>
          <w:rFonts w:hint="eastAsia" w:ascii="宋体" w:hAnsi="宋体" w:cs="宋体"/>
          <w:b/>
          <w:color w:val="000000"/>
          <w:kern w:val="0"/>
          <w:sz w:val="24"/>
        </w:rPr>
        <w:t xml:space="preserve">    </w:t>
      </w:r>
      <w:bookmarkStart w:id="52" w:name="_Toc22385"/>
      <w:r>
        <w:rPr>
          <w:rFonts w:hint="eastAsia" w:ascii="宋体" w:hAnsi="宋体" w:cs="宋体"/>
          <w:b/>
          <w:color w:val="000000"/>
          <w:kern w:val="0"/>
          <w:sz w:val="24"/>
        </w:rPr>
        <w:t>1、投标文件的密封和标记</w:t>
      </w:r>
      <w:bookmarkEnd w:id="52"/>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1.1投标文件应密封，并在封面注明招标编号、投标项目等，同时在密封处加盖骑缝章；</w:t>
      </w:r>
    </w:p>
    <w:p>
      <w:pPr>
        <w:widowControl/>
        <w:spacing w:line="360" w:lineRule="auto"/>
        <w:jc w:val="left"/>
        <w:rPr>
          <w:rFonts w:ascii="宋体" w:hAnsi="宋体" w:cs="宋体"/>
          <w:bCs/>
          <w:color w:val="000000"/>
          <w:kern w:val="0"/>
          <w:sz w:val="24"/>
        </w:rPr>
      </w:pPr>
      <w:r>
        <w:rPr>
          <w:rFonts w:hint="eastAsia" w:ascii="宋体" w:hAnsi="宋体" w:cs="宋体"/>
          <w:color w:val="000000"/>
          <w:kern w:val="0"/>
          <w:sz w:val="24"/>
        </w:rPr>
        <w:t xml:space="preserve">    1.2投标文件要求：</w:t>
      </w:r>
      <w:r>
        <w:rPr>
          <w:rFonts w:hint="eastAsia" w:ascii="宋体" w:hAnsi="宋体" w:cs="宋体"/>
          <w:bCs/>
          <w:color w:val="000000"/>
          <w:kern w:val="0"/>
          <w:sz w:val="24"/>
        </w:rPr>
        <w:t>正、副本各一份。</w:t>
      </w:r>
    </w:p>
    <w:p>
      <w:pPr>
        <w:widowControl/>
        <w:spacing w:line="360" w:lineRule="auto"/>
        <w:jc w:val="left"/>
        <w:outlineLvl w:val="2"/>
        <w:rPr>
          <w:rFonts w:ascii="宋体" w:hAnsi="宋体"/>
          <w:b/>
          <w:bCs/>
          <w:color w:val="000000"/>
          <w:kern w:val="0"/>
          <w:sz w:val="24"/>
        </w:rPr>
      </w:pPr>
      <w:r>
        <w:rPr>
          <w:rFonts w:hint="eastAsia" w:ascii="宋体" w:hAnsi="宋体"/>
          <w:b/>
          <w:bCs/>
          <w:color w:val="000000"/>
          <w:kern w:val="0"/>
          <w:sz w:val="24"/>
        </w:rPr>
        <w:t xml:space="preserve">    </w:t>
      </w:r>
      <w:bookmarkStart w:id="53" w:name="_Toc11405"/>
      <w:r>
        <w:rPr>
          <w:rFonts w:hint="eastAsia" w:ascii="宋体" w:hAnsi="宋体"/>
          <w:b/>
          <w:bCs/>
          <w:color w:val="000000"/>
          <w:kern w:val="0"/>
          <w:sz w:val="24"/>
        </w:rPr>
        <w:t>2、投标文件的递交、修改和撤回</w:t>
      </w:r>
      <w:bookmarkEnd w:id="53"/>
    </w:p>
    <w:p>
      <w:pPr>
        <w:spacing w:line="360" w:lineRule="auto"/>
        <w:rPr>
          <w:rFonts w:ascii="宋体" w:hAnsi="宋体"/>
          <w:color w:val="000000"/>
          <w:kern w:val="0"/>
          <w:sz w:val="24"/>
        </w:rPr>
      </w:pPr>
      <w:r>
        <w:rPr>
          <w:rFonts w:hint="eastAsia" w:ascii="宋体" w:hAnsi="宋体" w:cs="宋体"/>
          <w:color w:val="000000"/>
          <w:kern w:val="0"/>
          <w:sz w:val="24"/>
        </w:rPr>
        <w:t xml:space="preserve">    2.1</w:t>
      </w:r>
      <w:r>
        <w:rPr>
          <w:rFonts w:hint="eastAsia" w:ascii="宋体" w:hAnsi="宋体"/>
          <w:color w:val="000000"/>
          <w:kern w:val="0"/>
          <w:sz w:val="24"/>
        </w:rPr>
        <w:t>投标人应在投标截止时间前将密封合格的投标文件送达开标现场；</w:t>
      </w:r>
    </w:p>
    <w:p>
      <w:pPr>
        <w:spacing w:line="360" w:lineRule="auto"/>
        <w:rPr>
          <w:rFonts w:ascii="宋体" w:hAnsi="宋体"/>
          <w:color w:val="000000"/>
          <w:kern w:val="0"/>
          <w:sz w:val="24"/>
        </w:rPr>
      </w:pPr>
      <w:r>
        <w:rPr>
          <w:rFonts w:hint="eastAsia" w:ascii="宋体" w:hAnsi="宋体" w:cs="宋体"/>
          <w:color w:val="000000"/>
          <w:kern w:val="0"/>
          <w:sz w:val="24"/>
        </w:rPr>
        <w:t xml:space="preserve">    2.2</w:t>
      </w:r>
      <w:r>
        <w:rPr>
          <w:rFonts w:hint="eastAsia" w:ascii="宋体" w:hAnsi="宋体"/>
          <w:color w:val="000000"/>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1"/>
        <w:rPr>
          <w:rFonts w:ascii="宋体" w:hAnsi="宋体"/>
          <w:b/>
          <w:bCs/>
          <w:color w:val="000000"/>
          <w:sz w:val="28"/>
          <w:szCs w:val="32"/>
        </w:rPr>
      </w:pPr>
      <w:bookmarkStart w:id="54" w:name="_Toc30525"/>
      <w:bookmarkStart w:id="55" w:name="_Toc7187424"/>
      <w:bookmarkStart w:id="56" w:name="_Toc6813"/>
      <w:bookmarkStart w:id="57" w:name="_Toc31187"/>
      <w:bookmarkStart w:id="58" w:name="_Toc55285814"/>
      <w:bookmarkStart w:id="59" w:name="_Toc23477"/>
      <w:bookmarkStart w:id="60" w:name="_Toc51505242"/>
      <w:bookmarkStart w:id="61" w:name="_Toc19773337"/>
      <w:bookmarkStart w:id="62" w:name="_Toc22888333"/>
      <w:r>
        <w:rPr>
          <w:rFonts w:hint="eastAsia" w:ascii="宋体" w:hAnsi="宋体"/>
          <w:b/>
          <w:bCs/>
          <w:color w:val="000000"/>
          <w:sz w:val="28"/>
          <w:szCs w:val="32"/>
        </w:rPr>
        <w:t>三．开标、评标及定标</w:t>
      </w:r>
      <w:bookmarkEnd w:id="54"/>
      <w:bookmarkEnd w:id="55"/>
      <w:bookmarkEnd w:id="56"/>
      <w:bookmarkEnd w:id="57"/>
      <w:bookmarkEnd w:id="58"/>
      <w:bookmarkEnd w:id="59"/>
      <w:bookmarkEnd w:id="60"/>
      <w:bookmarkEnd w:id="61"/>
      <w:bookmarkEnd w:id="62"/>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1.开标</w:t>
      </w:r>
    </w:p>
    <w:p>
      <w:pPr>
        <w:spacing w:line="360" w:lineRule="auto"/>
        <w:ind w:firstLine="550"/>
        <w:rPr>
          <w:rFonts w:ascii="宋体" w:hAnsi="宋体"/>
          <w:color w:val="000000"/>
          <w:sz w:val="24"/>
          <w:szCs w:val="24"/>
        </w:rPr>
      </w:pPr>
      <w:r>
        <w:rPr>
          <w:rFonts w:hint="eastAsia" w:ascii="宋体" w:hAnsi="宋体" w:cs="宋体"/>
          <w:color w:val="000000"/>
          <w:kern w:val="0"/>
          <w:sz w:val="24"/>
        </w:rPr>
        <w:t>1.1合肥泓瑞金陵大酒店有限责任公司</w:t>
      </w:r>
      <w:r>
        <w:rPr>
          <w:rFonts w:hint="eastAsia" w:ascii="宋体" w:hAnsi="宋体"/>
          <w:color w:val="000000"/>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color w:val="000000"/>
          <w:kern w:val="0"/>
          <w:sz w:val="24"/>
        </w:rPr>
      </w:pPr>
      <w:r>
        <w:rPr>
          <w:rFonts w:hint="eastAsia" w:ascii="宋体" w:hAnsi="宋体"/>
          <w:color w:val="000000"/>
          <w:sz w:val="24"/>
          <w:szCs w:val="24"/>
        </w:rPr>
        <w:t>1.</w:t>
      </w:r>
      <w:r>
        <w:rPr>
          <w:rFonts w:hint="eastAsia" w:ascii="宋体" w:hAnsi="宋体" w:cs="宋体"/>
          <w:color w:val="000000"/>
          <w:kern w:val="0"/>
          <w:sz w:val="24"/>
        </w:rPr>
        <w:t>2</w:t>
      </w:r>
      <w:r>
        <w:rPr>
          <w:rFonts w:hint="eastAsia" w:ascii="宋体" w:hAnsi="宋体"/>
          <w:color w:val="000000"/>
          <w:kern w:val="0"/>
          <w:sz w:val="24"/>
        </w:rPr>
        <w:t>投标人一名授权代表参加商务标的开标</w:t>
      </w:r>
      <w:r>
        <w:rPr>
          <w:rFonts w:hint="eastAsia" w:ascii="宋体" w:hAnsi="宋体" w:cs="宋体"/>
          <w:color w:val="000000"/>
          <w:kern w:val="0"/>
          <w:sz w:val="24"/>
        </w:rPr>
        <w:t>。（授权代表须出示身份证原件）</w:t>
      </w:r>
    </w:p>
    <w:p>
      <w:pPr>
        <w:widowControl/>
        <w:spacing w:line="360" w:lineRule="auto"/>
        <w:ind w:firstLine="600" w:firstLineChars="250"/>
        <w:jc w:val="left"/>
        <w:rPr>
          <w:rFonts w:ascii="宋体" w:hAnsi="宋体"/>
          <w:color w:val="000000"/>
          <w:sz w:val="24"/>
        </w:rPr>
      </w:pPr>
      <w:r>
        <w:rPr>
          <w:rFonts w:hint="eastAsia" w:ascii="宋体" w:hAnsi="宋体"/>
          <w:color w:val="000000"/>
          <w:sz w:val="24"/>
          <w:szCs w:val="24"/>
        </w:rPr>
        <w:t>1.3</w:t>
      </w:r>
      <w:r>
        <w:rPr>
          <w:rFonts w:hint="eastAsia" w:ascii="宋体" w:hAnsi="宋体"/>
          <w:bCs/>
          <w:color w:val="000000"/>
          <w:sz w:val="24"/>
          <w:szCs w:val="24"/>
        </w:rPr>
        <w:t>开标时</w:t>
      </w:r>
      <w:r>
        <w:rPr>
          <w:rFonts w:hint="eastAsia" w:ascii="宋体" w:hAnsi="宋体"/>
          <w:color w:val="000000"/>
          <w:sz w:val="24"/>
        </w:rPr>
        <w:t>，</w:t>
      </w:r>
      <w:r>
        <w:rPr>
          <w:rFonts w:hint="eastAsia" w:ascii="宋体" w:hAnsi="宋体" w:cs="宋体"/>
          <w:color w:val="000000"/>
          <w:kern w:val="0"/>
          <w:sz w:val="24"/>
        </w:rPr>
        <w:t>合肥泓瑞金陵大酒店有限责任公司</w:t>
      </w:r>
      <w:r>
        <w:rPr>
          <w:rFonts w:hint="eastAsia" w:ascii="宋体" w:hAnsi="宋体"/>
          <w:color w:val="000000"/>
          <w:sz w:val="24"/>
        </w:rPr>
        <w:t>查验投标文件的密封状况，确认无误后拆封唱标。</w:t>
      </w:r>
      <w:r>
        <w:rPr>
          <w:rFonts w:hint="eastAsia" w:ascii="宋体" w:hAnsi="宋体" w:cs="宋体"/>
          <w:color w:val="000000"/>
          <w:kern w:val="0"/>
          <w:sz w:val="24"/>
        </w:rPr>
        <w:t>合肥泓瑞金陵大酒店有限责任公司</w:t>
      </w:r>
      <w:r>
        <w:rPr>
          <w:rFonts w:hint="eastAsia" w:ascii="宋体" w:hAnsi="宋体"/>
          <w:bCs/>
          <w:color w:val="000000"/>
          <w:sz w:val="24"/>
          <w:szCs w:val="24"/>
        </w:rPr>
        <w:t>将当众宣读</w:t>
      </w:r>
      <w:r>
        <w:rPr>
          <w:rFonts w:hint="eastAsia" w:ascii="宋体" w:hAnsi="宋体"/>
          <w:color w:val="000000"/>
          <w:sz w:val="24"/>
          <w:szCs w:val="24"/>
        </w:rPr>
        <w:t>投标人名称、投标价格以及</w:t>
      </w:r>
      <w:r>
        <w:rPr>
          <w:rFonts w:hint="eastAsia" w:ascii="宋体" w:hAnsi="宋体" w:cs="宋体"/>
          <w:color w:val="000000"/>
          <w:kern w:val="0"/>
          <w:sz w:val="24"/>
        </w:rPr>
        <w:t>合肥泓瑞金陵大酒店有限责任公司</w:t>
      </w:r>
      <w:r>
        <w:rPr>
          <w:rFonts w:hint="eastAsia" w:ascii="宋体" w:hAnsi="宋体"/>
          <w:color w:val="000000"/>
          <w:sz w:val="24"/>
          <w:szCs w:val="24"/>
        </w:rPr>
        <w:t>认为合适的其它详细内容。</w:t>
      </w:r>
    </w:p>
    <w:p>
      <w:pPr>
        <w:spacing w:line="360" w:lineRule="auto"/>
        <w:ind w:firstLine="549"/>
        <w:rPr>
          <w:rFonts w:ascii="宋体" w:hAnsi="宋体"/>
          <w:b/>
          <w:color w:val="000000"/>
          <w:sz w:val="24"/>
          <w:szCs w:val="24"/>
        </w:rPr>
      </w:pPr>
      <w:r>
        <w:rPr>
          <w:rFonts w:hint="eastAsia" w:ascii="宋体" w:hAnsi="宋体"/>
          <w:b/>
          <w:color w:val="000000"/>
          <w:sz w:val="24"/>
        </w:rPr>
        <w:t>2</w:t>
      </w:r>
      <w:r>
        <w:rPr>
          <w:rFonts w:hint="eastAsia" w:ascii="宋体" w:hAnsi="宋体"/>
          <w:b/>
          <w:color w:val="000000"/>
          <w:sz w:val="24"/>
          <w:szCs w:val="24"/>
        </w:rPr>
        <w:t>.投标文件的澄清、说明或补正</w:t>
      </w:r>
    </w:p>
    <w:p>
      <w:pPr>
        <w:spacing w:line="360" w:lineRule="auto"/>
        <w:ind w:firstLine="549"/>
        <w:rPr>
          <w:rFonts w:ascii="宋体" w:hAnsi="宋体"/>
          <w:bCs/>
          <w:color w:val="000000"/>
          <w:sz w:val="24"/>
          <w:szCs w:val="24"/>
        </w:rPr>
      </w:pPr>
      <w:r>
        <w:rPr>
          <w:rFonts w:hint="eastAsia" w:ascii="宋体" w:hAnsi="宋体"/>
          <w:bCs/>
          <w:color w:val="000000"/>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.3开标一览表内容与投标文件中明细表内容不一致的，以开标一览表为准。</w:t>
      </w:r>
      <w:r>
        <w:rPr>
          <w:rFonts w:hint="eastAsia" w:ascii="宋体" w:hAnsi="宋体"/>
          <w:bCs/>
          <w:color w:val="000000"/>
          <w:sz w:val="24"/>
          <w:szCs w:val="24"/>
        </w:rPr>
        <w:t>开标一览表内容与唱标信息内容不一致的，以开标一览表为准。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 开标一览表中投标总价与投标文件中各分项报价汇总金额不一致的，按以下方式处理：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.4.1 项目以投标总价结算的，以开标一览表中投标总价为准；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.4.2项目以分项报价为准据实结算的，投标无效。</w:t>
      </w:r>
    </w:p>
    <w:p>
      <w:pPr>
        <w:spacing w:line="360" w:lineRule="auto"/>
        <w:ind w:firstLine="549"/>
        <w:rPr>
          <w:rFonts w:ascii="宋体" w:hAnsi="宋体"/>
          <w:b/>
          <w:color w:val="000000"/>
          <w:sz w:val="24"/>
          <w:szCs w:val="24"/>
        </w:rPr>
      </w:pPr>
      <w:r>
        <w:rPr>
          <w:rFonts w:hint="eastAsia" w:ascii="宋体" w:hAnsi="宋体"/>
          <w:color w:val="000000"/>
          <w:sz w:val="24"/>
        </w:rPr>
        <w:t>3.</w:t>
      </w:r>
      <w:r>
        <w:rPr>
          <w:rFonts w:hint="eastAsia" w:ascii="宋体" w:hAnsi="宋体"/>
          <w:b/>
          <w:color w:val="000000"/>
          <w:sz w:val="24"/>
          <w:szCs w:val="24"/>
        </w:rPr>
        <w:t>评标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3.1评标原则：</w:t>
      </w:r>
      <w:r>
        <w:rPr>
          <w:rFonts w:hint="eastAsia" w:ascii="宋体" w:hAnsi="宋体" w:cs="宋体"/>
          <w:color w:val="000000"/>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sz w:val="24"/>
        </w:rPr>
      </w:pPr>
      <w:r>
        <w:rPr>
          <w:rFonts w:hint="eastAsia" w:ascii="宋体" w:hAnsi="宋体"/>
          <w:b/>
          <w:color w:val="000000"/>
          <w:sz w:val="24"/>
          <w:szCs w:val="24"/>
        </w:rPr>
        <w:t>3.</w:t>
      </w:r>
      <w:r>
        <w:rPr>
          <w:rFonts w:hint="eastAsia" w:ascii="宋体" w:hAnsi="宋体"/>
          <w:b/>
          <w:color w:val="000000"/>
          <w:sz w:val="24"/>
        </w:rPr>
        <w:t>2评标方法：</w:t>
      </w:r>
      <w:r>
        <w:rPr>
          <w:rFonts w:hint="eastAsia" w:ascii="宋体" w:hAnsi="宋体"/>
          <w:color w:val="000000"/>
          <w:sz w:val="24"/>
        </w:rPr>
        <w:t>本次项目评标采用综合评分法作为对投标人标书的比较方法。</w:t>
      </w:r>
    </w:p>
    <w:p>
      <w:pPr>
        <w:spacing w:line="360" w:lineRule="auto"/>
        <w:ind w:firstLine="480" w:firstLineChars="200"/>
        <w:rPr>
          <w:rFonts w:ascii="宋体" w:hAnsi="宋体"/>
          <w:color w:val="000000"/>
          <w:sz w:val="24"/>
          <w:szCs w:val="24"/>
        </w:rPr>
      </w:pPr>
      <w:r>
        <w:rPr>
          <w:rFonts w:hint="eastAsia" w:ascii="宋体" w:hAnsi="宋体"/>
          <w:color w:val="000000"/>
          <w:sz w:val="24"/>
        </w:rPr>
        <w:t>3.3</w:t>
      </w:r>
      <w:r>
        <w:rPr>
          <w:rFonts w:hint="eastAsia" w:ascii="宋体" w:hAnsi="宋体"/>
          <w:color w:val="000000"/>
          <w:sz w:val="24"/>
          <w:szCs w:val="24"/>
        </w:rPr>
        <w:t xml:space="preserve"> 评标委员会将按照招标文件规定的评标办法对投标人独立进行评审。</w:t>
      </w:r>
    </w:p>
    <w:p>
      <w:pPr>
        <w:spacing w:line="360" w:lineRule="auto"/>
        <w:ind w:firstLine="549"/>
        <w:rPr>
          <w:rFonts w:ascii="宋体" w:hAnsi="宋体" w:cs="Tahoma"/>
          <w:color w:val="000000"/>
          <w:sz w:val="24"/>
          <w:szCs w:val="24"/>
        </w:rPr>
      </w:pPr>
      <w:r>
        <w:rPr>
          <w:rFonts w:hint="eastAsia" w:ascii="宋体" w:hAnsi="宋体"/>
          <w:color w:val="000000"/>
          <w:sz w:val="24"/>
          <w:szCs w:val="24"/>
        </w:rPr>
        <w:t>3.4</w:t>
      </w:r>
      <w:r>
        <w:rPr>
          <w:rFonts w:hint="eastAsia" w:ascii="宋体" w:hAnsi="宋体" w:cs="Tahoma"/>
          <w:color w:val="000000"/>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sz w:val="24"/>
          <w:szCs w:val="24"/>
        </w:rPr>
      </w:pPr>
      <w:r>
        <w:rPr>
          <w:rFonts w:hint="eastAsia" w:ascii="宋体" w:hAnsi="宋体"/>
          <w:color w:val="000000"/>
          <w:sz w:val="24"/>
          <w:szCs w:val="24"/>
        </w:rPr>
        <w:t>3.5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sz w:val="24"/>
          <w:szCs w:val="24"/>
        </w:rPr>
      </w:pPr>
      <w:r>
        <w:rPr>
          <w:rFonts w:hint="eastAsia" w:ascii="宋体" w:hAnsi="宋体"/>
          <w:color w:val="000000"/>
          <w:sz w:val="24"/>
          <w:szCs w:val="24"/>
        </w:rPr>
        <w:t>有下列情形之一的，评标委员会应当否决其投标</w:t>
      </w:r>
      <w:r>
        <w:rPr>
          <w:rFonts w:hint="eastAsia" w:ascii="宋体" w:hAnsi="宋体"/>
          <w:color w:val="000000"/>
          <w:sz w:val="24"/>
        </w:rPr>
        <w:t>：</w:t>
      </w:r>
    </w:p>
    <w:p>
      <w:pPr>
        <w:spacing w:line="360" w:lineRule="auto"/>
        <w:ind w:firstLine="549"/>
        <w:rPr>
          <w:rFonts w:ascii="宋体" w:hAnsi="宋体"/>
          <w:color w:val="000000"/>
          <w:sz w:val="24"/>
          <w:szCs w:val="24"/>
        </w:rPr>
      </w:pPr>
      <w:r>
        <w:rPr>
          <w:rFonts w:hint="eastAsia" w:ascii="宋体" w:hAnsi="宋体"/>
          <w:color w:val="000000"/>
          <w:sz w:val="24"/>
          <w:szCs w:val="24"/>
        </w:rPr>
        <w:t>3.6.1</w:t>
      </w:r>
      <w:r>
        <w:rPr>
          <w:rFonts w:ascii="宋体" w:hAnsi="宋体"/>
          <w:color w:val="000000"/>
          <w:sz w:val="24"/>
          <w:szCs w:val="24"/>
        </w:rPr>
        <w:t>投标文件未经投标</w:t>
      </w:r>
      <w:r>
        <w:rPr>
          <w:rFonts w:ascii="宋体" w:hAnsi="宋体"/>
          <w:color w:val="000000"/>
          <w:sz w:val="24"/>
          <w:szCs w:val="24"/>
          <w:highlight w:val="none"/>
        </w:rPr>
        <w:t>人盖章和单位负责人签字</w:t>
      </w:r>
      <w:r>
        <w:rPr>
          <w:rFonts w:hint="eastAsia" w:ascii="宋体" w:hAnsi="宋体"/>
          <w:color w:val="000000"/>
          <w:sz w:val="24"/>
          <w:szCs w:val="24"/>
          <w:highlight w:val="none"/>
        </w:rPr>
        <w:t>/盖签章；</w:t>
      </w:r>
    </w:p>
    <w:p>
      <w:pPr>
        <w:spacing w:line="360" w:lineRule="auto"/>
        <w:ind w:firstLine="549"/>
        <w:rPr>
          <w:rFonts w:ascii="宋体" w:hAnsi="宋体"/>
          <w:color w:val="000000"/>
          <w:sz w:val="24"/>
          <w:szCs w:val="24"/>
        </w:rPr>
      </w:pPr>
      <w:r>
        <w:rPr>
          <w:rFonts w:hint="eastAsia" w:ascii="宋体" w:hAnsi="宋体"/>
          <w:color w:val="000000"/>
          <w:sz w:val="24"/>
          <w:szCs w:val="24"/>
        </w:rPr>
        <w:t>3.6.2</w:t>
      </w:r>
      <w:r>
        <w:rPr>
          <w:rFonts w:ascii="宋体" w:hAnsi="宋体"/>
          <w:color w:val="000000"/>
          <w:sz w:val="24"/>
          <w:szCs w:val="24"/>
        </w:rPr>
        <w:t>投标联合体没有提交</w:t>
      </w:r>
      <w:r>
        <w:rPr>
          <w:rFonts w:hint="eastAsia" w:ascii="宋体" w:hAnsi="宋体"/>
          <w:color w:val="000000"/>
          <w:sz w:val="24"/>
          <w:szCs w:val="24"/>
        </w:rPr>
        <w:t>共同投标</w:t>
      </w:r>
      <w:r>
        <w:rPr>
          <w:rFonts w:ascii="宋体" w:hAnsi="宋体"/>
          <w:color w:val="000000"/>
          <w:sz w:val="24"/>
          <w:szCs w:val="24"/>
        </w:rPr>
        <w:t>协议；</w:t>
      </w:r>
    </w:p>
    <w:p>
      <w:pPr>
        <w:spacing w:line="360" w:lineRule="auto"/>
        <w:ind w:firstLine="549"/>
        <w:rPr>
          <w:rFonts w:ascii="宋体" w:hAnsi="宋体"/>
          <w:color w:val="000000"/>
          <w:sz w:val="24"/>
          <w:szCs w:val="24"/>
        </w:rPr>
      </w:pPr>
      <w:r>
        <w:rPr>
          <w:rFonts w:hint="eastAsia" w:ascii="宋体" w:hAnsi="宋体"/>
          <w:color w:val="000000"/>
          <w:sz w:val="24"/>
          <w:szCs w:val="24"/>
        </w:rPr>
        <w:t>3.6.3投标人不符合国家或者招标文件规定的资格条件；</w:t>
      </w:r>
    </w:p>
    <w:p>
      <w:pPr>
        <w:spacing w:line="360" w:lineRule="auto"/>
        <w:ind w:firstLine="549"/>
        <w:rPr>
          <w:rFonts w:ascii="宋体" w:hAnsi="宋体"/>
          <w:color w:val="000000"/>
          <w:sz w:val="24"/>
          <w:szCs w:val="24"/>
        </w:rPr>
      </w:pPr>
      <w:r>
        <w:rPr>
          <w:rFonts w:hint="eastAsia" w:ascii="宋体" w:hAnsi="宋体"/>
          <w:color w:val="000000"/>
          <w:sz w:val="24"/>
          <w:szCs w:val="24"/>
        </w:rPr>
        <w:t>3.6.4同一投标人提交两个以上不同的投标文件或者投标报价，但招标文件要求提交备选投标的除外；</w:t>
      </w:r>
    </w:p>
    <w:p>
      <w:pPr>
        <w:spacing w:line="360" w:lineRule="auto"/>
        <w:ind w:firstLine="549"/>
        <w:rPr>
          <w:rFonts w:ascii="宋体" w:hAnsi="宋体"/>
          <w:color w:val="000000"/>
          <w:sz w:val="24"/>
          <w:szCs w:val="24"/>
        </w:rPr>
      </w:pPr>
      <w:r>
        <w:rPr>
          <w:rFonts w:hint="eastAsia" w:ascii="宋体" w:hAnsi="宋体"/>
          <w:color w:val="000000"/>
          <w:sz w:val="24"/>
          <w:szCs w:val="24"/>
        </w:rPr>
        <w:t>3.6.5</w:t>
      </w:r>
      <w:r>
        <w:rPr>
          <w:rFonts w:ascii="宋体" w:hAnsi="宋体"/>
          <w:color w:val="000000"/>
          <w:sz w:val="24"/>
          <w:szCs w:val="24"/>
        </w:rPr>
        <w:t>投标报价低于成本或者高于招标文件设定的最高投标限价；</w:t>
      </w:r>
    </w:p>
    <w:p>
      <w:pPr>
        <w:spacing w:line="360" w:lineRule="auto"/>
        <w:ind w:firstLine="549"/>
        <w:rPr>
          <w:rFonts w:ascii="宋体" w:hAnsi="宋体"/>
          <w:color w:val="000000"/>
          <w:sz w:val="24"/>
          <w:szCs w:val="24"/>
        </w:rPr>
      </w:pPr>
      <w:r>
        <w:rPr>
          <w:rFonts w:hint="eastAsia" w:ascii="宋体" w:hAnsi="宋体"/>
          <w:color w:val="000000"/>
          <w:sz w:val="24"/>
          <w:szCs w:val="24"/>
        </w:rPr>
        <w:t>3.6.6</w:t>
      </w:r>
      <w:r>
        <w:rPr>
          <w:rFonts w:ascii="宋体" w:hAnsi="宋体"/>
          <w:color w:val="000000"/>
          <w:sz w:val="24"/>
          <w:szCs w:val="24"/>
        </w:rPr>
        <w:t>投标文件没有对招标文件的实质性要求和条件作出响应；</w:t>
      </w:r>
    </w:p>
    <w:p>
      <w:pPr>
        <w:spacing w:line="360" w:lineRule="auto"/>
        <w:ind w:firstLine="549"/>
        <w:rPr>
          <w:rFonts w:ascii="宋体" w:hAnsi="宋体"/>
          <w:color w:val="000000"/>
          <w:sz w:val="24"/>
          <w:szCs w:val="24"/>
        </w:rPr>
      </w:pPr>
      <w:r>
        <w:rPr>
          <w:rFonts w:hint="eastAsia" w:ascii="宋体" w:hAnsi="宋体"/>
          <w:color w:val="000000"/>
          <w:sz w:val="24"/>
          <w:szCs w:val="24"/>
        </w:rPr>
        <w:t>3.6.7</w:t>
      </w:r>
      <w:r>
        <w:rPr>
          <w:rFonts w:ascii="宋体" w:hAnsi="宋体"/>
          <w:color w:val="000000"/>
          <w:sz w:val="24"/>
          <w:szCs w:val="24"/>
        </w:rPr>
        <w:t>投标人有串通投标、弄虚作假、行贿等违法行为</w:t>
      </w:r>
      <w:r>
        <w:rPr>
          <w:rFonts w:hint="eastAsia" w:ascii="宋体" w:hAnsi="宋体"/>
          <w:color w:val="000000"/>
          <w:sz w:val="24"/>
          <w:szCs w:val="24"/>
        </w:rPr>
        <w:t>；</w:t>
      </w:r>
    </w:p>
    <w:p>
      <w:pPr>
        <w:spacing w:line="360" w:lineRule="auto"/>
        <w:ind w:firstLine="549"/>
        <w:rPr>
          <w:rFonts w:ascii="宋体" w:hAnsi="宋体"/>
          <w:color w:val="000000"/>
          <w:sz w:val="24"/>
          <w:szCs w:val="24"/>
        </w:rPr>
      </w:pPr>
      <w:r>
        <w:rPr>
          <w:rFonts w:hint="eastAsia" w:ascii="宋体" w:hAnsi="宋体"/>
          <w:color w:val="000000"/>
          <w:sz w:val="24"/>
          <w:szCs w:val="24"/>
        </w:rPr>
        <w:t>3.6.8评标委员会评议认为构成废标的其他情况；</w:t>
      </w:r>
    </w:p>
    <w:p>
      <w:pPr>
        <w:spacing w:line="360" w:lineRule="auto"/>
        <w:ind w:firstLine="549"/>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9其他未实质性响应招标文件要求的。</w:t>
      </w:r>
    </w:p>
    <w:p>
      <w:pPr>
        <w:spacing w:line="360" w:lineRule="auto"/>
        <w:ind w:firstLine="549"/>
        <w:rPr>
          <w:rFonts w:ascii="宋体" w:hAnsi="宋体"/>
          <w:color w:val="000000"/>
          <w:sz w:val="24"/>
          <w:szCs w:val="24"/>
        </w:rPr>
      </w:pPr>
      <w:r>
        <w:rPr>
          <w:rFonts w:hint="eastAsia" w:ascii="宋体" w:hAnsi="宋体"/>
          <w:color w:val="000000"/>
          <w:sz w:val="24"/>
          <w:szCs w:val="24"/>
        </w:rPr>
        <w:t>3.7评审时，评标委员会将审查投标文件是否符合招标文件的评审指标要求。</w:t>
      </w:r>
    </w:p>
    <w:p>
      <w:pPr>
        <w:spacing w:line="360" w:lineRule="auto"/>
        <w:ind w:firstLine="549"/>
        <w:rPr>
          <w:rFonts w:ascii="宋体" w:hAnsi="宋体"/>
          <w:color w:val="000000"/>
          <w:sz w:val="24"/>
        </w:rPr>
      </w:pPr>
      <w:r>
        <w:rPr>
          <w:rFonts w:hint="eastAsia" w:ascii="宋体" w:hAnsi="宋体"/>
          <w:color w:val="000000"/>
          <w:sz w:val="24"/>
          <w:szCs w:val="24"/>
        </w:rPr>
        <w:t>3.8</w:t>
      </w:r>
      <w:r>
        <w:rPr>
          <w:rFonts w:hint="eastAsia" w:ascii="宋体" w:hAnsi="宋体"/>
          <w:color w:val="000000"/>
          <w:sz w:val="24"/>
        </w:rPr>
        <w:t>如果投标文件未通过投标有效性评审，投标无效。</w:t>
      </w:r>
    </w:p>
    <w:p>
      <w:pPr>
        <w:spacing w:line="360" w:lineRule="auto"/>
        <w:ind w:firstLine="549"/>
        <w:rPr>
          <w:rFonts w:ascii="宋体" w:hAnsi="宋体"/>
          <w:color w:val="000000"/>
          <w:sz w:val="24"/>
          <w:szCs w:val="24"/>
        </w:rPr>
      </w:pPr>
      <w:r>
        <w:rPr>
          <w:rFonts w:hint="eastAsia" w:ascii="宋体" w:hAnsi="宋体"/>
          <w:color w:val="000000"/>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000000"/>
          <w:kern w:val="0"/>
          <w:sz w:val="24"/>
        </w:rPr>
      </w:pPr>
      <w:r>
        <w:rPr>
          <w:rFonts w:hint="eastAsia" w:ascii="宋体" w:hAnsi="宋体" w:cs="宋体"/>
          <w:b/>
          <w:color w:val="000000"/>
          <w:kern w:val="0"/>
          <w:sz w:val="24"/>
        </w:rPr>
        <w:t>4.定标</w:t>
      </w:r>
    </w:p>
    <w:p>
      <w:pPr>
        <w:spacing w:line="360" w:lineRule="auto"/>
        <w:ind w:firstLine="549"/>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1评标委员会应当按招标文件规定的标准和方法提出独立评审意见，推荐中标候选人。</w:t>
      </w:r>
    </w:p>
    <w:p>
      <w:pPr>
        <w:spacing w:line="360" w:lineRule="auto"/>
        <w:ind w:firstLine="549"/>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sz w:val="24"/>
          <w:szCs w:val="24"/>
        </w:rPr>
      </w:pPr>
      <w:r>
        <w:rPr>
          <w:rFonts w:hint="eastAsia" w:ascii="宋体" w:hAnsi="宋体"/>
          <w:color w:val="000000"/>
          <w:sz w:val="24"/>
          <w:szCs w:val="24"/>
        </w:rPr>
        <w:t>第一中标候选人放弃中标、因不可抗力不能履行合同、不按照招标文件要求提交履约保证金，或者被查实存在影响中标结果的违法、违规行为、投标文件内容虚假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sz w:val="24"/>
          <w:szCs w:val="24"/>
        </w:rPr>
      </w:pPr>
      <w:r>
        <w:rPr>
          <w:rFonts w:hint="eastAsia" w:ascii="宋体" w:hAnsi="宋体"/>
          <w:color w:val="000000"/>
          <w:sz w:val="24"/>
          <w:szCs w:val="24"/>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sz w:val="24"/>
        </w:rPr>
      </w:pPr>
      <w:r>
        <w:rPr>
          <w:rFonts w:hint="eastAsia" w:ascii="宋体" w:hAnsi="宋体"/>
          <w:b/>
          <w:color w:val="000000"/>
          <w:sz w:val="24"/>
        </w:rPr>
        <w:t>5.招标人一律不予退还投标人的投标文件。</w:t>
      </w:r>
    </w:p>
    <w:p>
      <w:pPr>
        <w:spacing w:line="360" w:lineRule="auto"/>
        <w:ind w:firstLine="525" w:firstLineChars="218"/>
        <w:rPr>
          <w:rFonts w:ascii="宋体" w:hAnsi="宋体"/>
          <w:color w:val="000000"/>
          <w:sz w:val="24"/>
          <w:szCs w:val="24"/>
        </w:rPr>
      </w:pPr>
      <w:r>
        <w:rPr>
          <w:rFonts w:hint="eastAsia" w:ascii="宋体" w:hAnsi="宋体"/>
          <w:b/>
          <w:color w:val="000000"/>
          <w:sz w:val="24"/>
        </w:rPr>
        <w:t>6.</w:t>
      </w:r>
      <w:r>
        <w:rPr>
          <w:rFonts w:hint="eastAsia" w:ascii="宋体" w:hAnsi="宋体"/>
          <w:color w:val="000000"/>
          <w:sz w:val="24"/>
          <w:szCs w:val="24"/>
        </w:rPr>
        <w:t xml:space="preserve"> 本招标文件所要求的证书、认证、资质，均应当是有权机构颁发，且在有效期内的。</w:t>
      </w:r>
    </w:p>
    <w:p>
      <w:pPr>
        <w:spacing w:line="360" w:lineRule="auto"/>
        <w:ind w:firstLine="562" w:firstLineChars="200"/>
        <w:jc w:val="center"/>
        <w:outlineLvl w:val="1"/>
        <w:rPr>
          <w:rFonts w:ascii="宋体" w:hAnsi="宋体"/>
          <w:b/>
          <w:bCs/>
          <w:color w:val="000000"/>
          <w:sz w:val="28"/>
          <w:szCs w:val="32"/>
        </w:rPr>
      </w:pPr>
      <w:bookmarkStart w:id="63" w:name="_Toc26343"/>
      <w:bookmarkStart w:id="64" w:name="_Toc20303"/>
      <w:bookmarkStart w:id="65" w:name="_Toc311"/>
      <w:bookmarkStart w:id="66" w:name="_Toc26234"/>
      <w:r>
        <w:rPr>
          <w:rFonts w:hint="eastAsia" w:ascii="宋体" w:hAnsi="宋体"/>
          <w:b/>
          <w:bCs/>
          <w:color w:val="000000"/>
          <w:sz w:val="28"/>
          <w:szCs w:val="32"/>
        </w:rPr>
        <w:t>四. 投标信息发布</w:t>
      </w:r>
      <w:bookmarkEnd w:id="63"/>
      <w:bookmarkEnd w:id="64"/>
      <w:bookmarkEnd w:id="65"/>
      <w:bookmarkEnd w:id="66"/>
    </w:p>
    <w:p>
      <w:pPr>
        <w:spacing w:line="360" w:lineRule="auto"/>
        <w:ind w:firstLine="550"/>
        <w:rPr>
          <w:rFonts w:ascii="宋体" w:hAnsi="宋体"/>
          <w:color w:val="000000"/>
          <w:sz w:val="24"/>
        </w:rPr>
      </w:pPr>
      <w:r>
        <w:rPr>
          <w:rFonts w:hint="eastAsia" w:ascii="宋体" w:hAnsi="宋体"/>
          <w:color w:val="000000"/>
          <w:sz w:val="24"/>
        </w:rPr>
        <w:t>1.与本次招标活动相关的信息，将在</w:t>
      </w:r>
      <w:r>
        <w:rPr>
          <w:rFonts w:hint="eastAsia" w:ascii="宋体" w:hAnsi="宋体" w:cs="宋体"/>
          <w:color w:val="000000"/>
          <w:kern w:val="0"/>
          <w:sz w:val="24"/>
        </w:rPr>
        <w:t>合肥泓瑞金陵大酒店有限责任公司</w:t>
      </w:r>
      <w:r>
        <w:rPr>
          <w:rFonts w:hint="eastAsia" w:ascii="宋体" w:hAnsi="宋体"/>
          <w:color w:val="000000"/>
          <w:sz w:val="24"/>
        </w:rPr>
        <w:t>微信公众号发布。</w:t>
      </w:r>
    </w:p>
    <w:p>
      <w:pPr>
        <w:spacing w:line="360" w:lineRule="auto"/>
        <w:ind w:firstLine="550"/>
        <w:rPr>
          <w:rFonts w:ascii="宋体" w:hAnsi="宋体"/>
          <w:color w:val="000000"/>
          <w:sz w:val="24"/>
        </w:rPr>
      </w:pPr>
      <w:r>
        <w:rPr>
          <w:rFonts w:hint="eastAsia" w:ascii="宋体" w:hAnsi="宋体"/>
          <w:color w:val="000000"/>
          <w:sz w:val="24"/>
        </w:rPr>
        <w:t>2.</w:t>
      </w:r>
      <w:r>
        <w:rPr>
          <w:rFonts w:hint="eastAsia" w:ascii="宋体" w:hAnsi="宋体" w:cs="宋体"/>
          <w:color w:val="000000"/>
          <w:kern w:val="0"/>
          <w:sz w:val="24"/>
        </w:rPr>
        <w:t>合肥泓瑞金陵大酒店</w:t>
      </w:r>
      <w:r>
        <w:rPr>
          <w:rFonts w:hint="eastAsia" w:ascii="宋体" w:hAnsi="宋体"/>
          <w:color w:val="000000"/>
          <w:sz w:val="24"/>
        </w:rPr>
        <w:t>对招标文件进行的答疑、澄清、变更或补充，将以书面形式群内及时发送，该内容为招标文件的组成部分，对投标人具有同样约束力效力。当招标文件、招标文件的答疑、澄清、变更或补充等在同一内容的表述上不一致时，以最后发出的书面文件为准。投标人应主动上网查询。</w:t>
      </w:r>
      <w:r>
        <w:rPr>
          <w:rFonts w:hint="eastAsia" w:ascii="宋体" w:hAnsi="宋体" w:cs="宋体"/>
          <w:color w:val="000000"/>
          <w:kern w:val="0"/>
          <w:sz w:val="24"/>
        </w:rPr>
        <w:t>合肥泓瑞金陵大酒店有限责任公司</w:t>
      </w:r>
      <w:r>
        <w:rPr>
          <w:rFonts w:hint="eastAsia" w:ascii="宋体" w:hAnsi="宋体"/>
          <w:color w:val="000000"/>
          <w:sz w:val="24"/>
        </w:rPr>
        <w:t>不承担投标人未及时关注相关信息引发的相关责任。</w:t>
      </w:r>
    </w:p>
    <w:p>
      <w:pPr>
        <w:keepNext/>
        <w:keepLines/>
        <w:spacing w:before="260" w:after="260" w:line="360" w:lineRule="auto"/>
        <w:ind w:firstLine="628"/>
        <w:jc w:val="center"/>
        <w:outlineLvl w:val="1"/>
        <w:rPr>
          <w:rFonts w:ascii="宋体" w:hAnsi="宋体"/>
          <w:b/>
          <w:bCs/>
          <w:color w:val="000000"/>
          <w:sz w:val="28"/>
          <w:szCs w:val="32"/>
        </w:rPr>
      </w:pPr>
      <w:bookmarkStart w:id="67" w:name="_Toc22888334"/>
      <w:bookmarkStart w:id="68" w:name="_Toc31860"/>
      <w:bookmarkStart w:id="69" w:name="_Toc14153"/>
      <w:bookmarkStart w:id="70" w:name="_Toc12007"/>
      <w:bookmarkStart w:id="71" w:name="_Toc7187425"/>
      <w:bookmarkStart w:id="72" w:name="_Toc21196"/>
      <w:bookmarkStart w:id="73" w:name="_Toc19773338"/>
      <w:bookmarkStart w:id="74" w:name="_Toc55285815"/>
      <w:bookmarkStart w:id="75" w:name="_Toc51505243"/>
      <w:r>
        <w:rPr>
          <w:rFonts w:hint="eastAsia" w:ascii="宋体" w:hAnsi="宋体"/>
          <w:b/>
          <w:bCs/>
          <w:color w:val="000000"/>
          <w:sz w:val="28"/>
          <w:szCs w:val="32"/>
        </w:rPr>
        <w:t>五．投标文件的澄清</w:t>
      </w:r>
      <w:bookmarkEnd w:id="67"/>
      <w:bookmarkEnd w:id="68"/>
      <w:bookmarkEnd w:id="69"/>
      <w:bookmarkEnd w:id="70"/>
      <w:bookmarkEnd w:id="71"/>
      <w:bookmarkEnd w:id="72"/>
      <w:bookmarkEnd w:id="73"/>
      <w:bookmarkEnd w:id="74"/>
      <w:bookmarkEnd w:id="75"/>
    </w:p>
    <w:p>
      <w:pPr>
        <w:spacing w:line="360" w:lineRule="auto"/>
        <w:ind w:firstLine="549"/>
        <w:rPr>
          <w:rFonts w:ascii="宋体" w:hAnsi="宋体"/>
          <w:bCs/>
          <w:color w:val="000000"/>
          <w:sz w:val="24"/>
        </w:rPr>
      </w:pPr>
      <w:r>
        <w:rPr>
          <w:rFonts w:hint="eastAsia" w:ascii="宋体" w:hAnsi="宋体"/>
          <w:bCs/>
          <w:color w:val="000000"/>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sz w:val="24"/>
        </w:rPr>
      </w:pPr>
      <w:r>
        <w:rPr>
          <w:rFonts w:hint="eastAsia" w:ascii="宋体" w:hAnsi="宋体"/>
          <w:bCs/>
          <w:color w:val="000000"/>
          <w:sz w:val="24"/>
        </w:rPr>
        <w:t>2.重要的澄清应是书面的，但不得对投标内容进行实质性修改。</w:t>
      </w:r>
    </w:p>
    <w:p>
      <w:pPr>
        <w:keepNext/>
        <w:keepLines/>
        <w:spacing w:before="260" w:after="260" w:line="360" w:lineRule="auto"/>
        <w:jc w:val="center"/>
        <w:outlineLvl w:val="1"/>
        <w:rPr>
          <w:rFonts w:ascii="宋体" w:hAnsi="宋体"/>
          <w:b/>
          <w:bCs/>
          <w:color w:val="000000"/>
          <w:sz w:val="28"/>
          <w:szCs w:val="32"/>
        </w:rPr>
      </w:pPr>
      <w:bookmarkStart w:id="76" w:name="_Toc18794"/>
      <w:bookmarkStart w:id="77" w:name="_Toc7187426"/>
      <w:bookmarkStart w:id="78" w:name="_Toc55285816"/>
      <w:bookmarkStart w:id="79" w:name="_Toc51505244"/>
      <w:bookmarkStart w:id="80" w:name="_Toc22888335"/>
      <w:bookmarkStart w:id="81" w:name="_Toc20325"/>
      <w:bookmarkStart w:id="82" w:name="_Toc22356"/>
      <w:bookmarkStart w:id="83" w:name="_Toc19773339"/>
      <w:bookmarkStart w:id="84" w:name="_Toc31074"/>
      <w:r>
        <w:rPr>
          <w:rFonts w:hint="eastAsia" w:ascii="宋体" w:hAnsi="宋体"/>
          <w:b/>
          <w:bCs/>
          <w:color w:val="000000"/>
          <w:sz w:val="28"/>
          <w:szCs w:val="32"/>
        </w:rPr>
        <w:t>六.中标通知</w:t>
      </w:r>
      <w:bookmarkEnd w:id="76"/>
      <w:bookmarkEnd w:id="77"/>
      <w:bookmarkEnd w:id="78"/>
      <w:bookmarkEnd w:id="79"/>
      <w:bookmarkEnd w:id="80"/>
      <w:bookmarkEnd w:id="81"/>
      <w:bookmarkEnd w:id="82"/>
      <w:bookmarkEnd w:id="83"/>
      <w:bookmarkEnd w:id="84"/>
    </w:p>
    <w:p>
      <w:pPr>
        <w:tabs>
          <w:tab w:val="left" w:pos="709"/>
        </w:tabs>
        <w:snapToGrid w:val="0"/>
        <w:spacing w:line="360" w:lineRule="auto"/>
        <w:ind w:firstLine="600" w:firstLineChars="250"/>
        <w:rPr>
          <w:rFonts w:ascii="宋体" w:hAnsi="宋体" w:cs="宋体"/>
          <w:color w:val="000000"/>
          <w:sz w:val="24"/>
        </w:rPr>
      </w:pPr>
      <w:r>
        <w:rPr>
          <w:rFonts w:hint="eastAsia" w:ascii="宋体" w:hAnsi="宋体" w:cs="宋体"/>
          <w:bCs/>
          <w:color w:val="000000"/>
          <w:sz w:val="24"/>
        </w:rPr>
        <w:t>1.</w:t>
      </w:r>
      <w:r>
        <w:rPr>
          <w:rFonts w:hint="eastAsia" w:ascii="宋体" w:hAnsi="宋体" w:cs="宋体"/>
          <w:color w:val="000000"/>
          <w:kern w:val="0"/>
          <w:sz w:val="24"/>
        </w:rPr>
        <w:t>合肥泓瑞金陵大酒店</w:t>
      </w:r>
      <w:r>
        <w:rPr>
          <w:rFonts w:hint="eastAsia" w:ascii="宋体" w:hAnsi="宋体" w:cs="宋体"/>
          <w:color w:val="000000"/>
          <w:sz w:val="24"/>
        </w:rPr>
        <w:t>将以微信公告形式通知中标人，其投标已被接受。</w:t>
      </w:r>
    </w:p>
    <w:p>
      <w:pPr>
        <w:tabs>
          <w:tab w:val="left" w:pos="709"/>
        </w:tabs>
        <w:snapToGrid w:val="0"/>
        <w:spacing w:line="360" w:lineRule="auto"/>
        <w:ind w:left="566"/>
        <w:rPr>
          <w:rFonts w:ascii="宋体" w:hAnsi="宋体" w:cs="宋体"/>
          <w:color w:val="000000"/>
          <w:sz w:val="24"/>
        </w:rPr>
      </w:pPr>
      <w:r>
        <w:rPr>
          <w:rFonts w:hint="eastAsia" w:ascii="宋体" w:hAnsi="宋体" w:cs="宋体"/>
          <w:bCs/>
          <w:color w:val="000000"/>
          <w:sz w:val="24"/>
        </w:rPr>
        <w:t>2.</w:t>
      </w:r>
      <w:r>
        <w:rPr>
          <w:rFonts w:hint="eastAsia" w:ascii="宋体" w:hAnsi="宋体" w:cs="宋体"/>
          <w:color w:val="000000"/>
          <w:kern w:val="0"/>
          <w:sz w:val="24"/>
        </w:rPr>
        <w:t>合肥泓瑞金陵大酒店</w:t>
      </w:r>
      <w:r>
        <w:rPr>
          <w:rFonts w:hint="eastAsia" w:ascii="宋体" w:hAnsi="宋体" w:cs="宋体"/>
          <w:color w:val="000000"/>
          <w:sz w:val="24"/>
        </w:rPr>
        <w:t>对未中标的投标人不做未中标原因的解释。</w:t>
      </w:r>
    </w:p>
    <w:p>
      <w:pPr>
        <w:spacing w:line="360" w:lineRule="auto"/>
        <w:ind w:firstLine="549"/>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中标公示期满后，中标人请在3个工作日内委派专人凭介绍信或公司授权书（须同时携带有效身份证明）对接中标后签订合同等事宜（联系人及联系方式：胡工  0551-62266887，地址：</w:t>
      </w:r>
      <w:r>
        <w:rPr>
          <w:rFonts w:hint="eastAsia" w:ascii="宋体" w:hAnsi="宋体"/>
          <w:bCs/>
          <w:color w:val="000000"/>
          <w:sz w:val="22"/>
        </w:rPr>
        <w:t>合肥市蜀山区祁门路1799号合肥泓瑞金陵大酒店采购部</w:t>
      </w:r>
      <w:r>
        <w:rPr>
          <w:rFonts w:hint="eastAsia" w:ascii="宋体" w:hAnsi="宋体"/>
          <w:color w:val="000000"/>
          <w:sz w:val="24"/>
        </w:rPr>
        <w:t>）。</w:t>
      </w:r>
    </w:p>
    <w:p>
      <w:pPr>
        <w:keepNext/>
        <w:keepLines/>
        <w:spacing w:before="260" w:after="260" w:line="360" w:lineRule="auto"/>
        <w:jc w:val="center"/>
        <w:outlineLvl w:val="1"/>
        <w:rPr>
          <w:rFonts w:ascii="宋体" w:hAnsi="宋体"/>
          <w:b/>
          <w:bCs/>
          <w:color w:val="000000"/>
          <w:sz w:val="28"/>
          <w:szCs w:val="32"/>
        </w:rPr>
      </w:pPr>
      <w:bookmarkStart w:id="85" w:name="_Toc28861"/>
      <w:bookmarkStart w:id="86" w:name="_Toc22888336"/>
      <w:bookmarkStart w:id="87" w:name="_Toc51505245"/>
      <w:bookmarkStart w:id="88" w:name="_Toc7187427"/>
      <w:bookmarkStart w:id="89" w:name="_Toc31643"/>
      <w:bookmarkStart w:id="90" w:name="_Toc55285817"/>
      <w:bookmarkStart w:id="91" w:name="_Toc3082"/>
      <w:bookmarkStart w:id="92" w:name="_Toc24793"/>
      <w:bookmarkStart w:id="93" w:name="_Toc19773340"/>
      <w:r>
        <w:rPr>
          <w:rFonts w:hint="eastAsia" w:ascii="宋体" w:hAnsi="宋体"/>
          <w:b/>
          <w:bCs/>
          <w:color w:val="000000"/>
          <w:sz w:val="28"/>
          <w:szCs w:val="32"/>
        </w:rPr>
        <w:t>七.异议处理</w:t>
      </w:r>
      <w:bookmarkEnd w:id="85"/>
      <w:bookmarkEnd w:id="86"/>
      <w:bookmarkEnd w:id="87"/>
      <w:bookmarkEnd w:id="88"/>
      <w:bookmarkEnd w:id="89"/>
      <w:bookmarkEnd w:id="90"/>
      <w:bookmarkEnd w:id="91"/>
      <w:bookmarkEnd w:id="92"/>
      <w:bookmarkEnd w:id="93"/>
    </w:p>
    <w:p>
      <w:pPr>
        <w:spacing w:line="360" w:lineRule="auto"/>
        <w:ind w:firstLine="523" w:firstLineChars="218"/>
        <w:rPr>
          <w:rFonts w:ascii="宋体" w:hAnsi="宋体"/>
          <w:bCs/>
          <w:color w:val="000000"/>
          <w:sz w:val="24"/>
        </w:rPr>
      </w:pPr>
      <w:r>
        <w:rPr>
          <w:rFonts w:hint="eastAsia" w:ascii="宋体" w:hAnsi="宋体"/>
          <w:bCs/>
          <w:color w:val="000000"/>
          <w:sz w:val="24"/>
        </w:rPr>
        <w:t>1.</w:t>
      </w:r>
      <w:r>
        <w:rPr>
          <w:rFonts w:ascii="宋体" w:hAnsi="宋体"/>
          <w:bCs/>
          <w:color w:val="000000"/>
          <w:sz w:val="24"/>
        </w:rPr>
        <w:t>投标人或者其他利害关系人对依法必须进行招标的项目的评标结果有异议的，应当在中标候选人公示</w:t>
      </w:r>
      <w:r>
        <w:rPr>
          <w:rFonts w:hint="eastAsia" w:ascii="宋体" w:hAnsi="宋体"/>
          <w:bCs/>
          <w:color w:val="000000"/>
          <w:sz w:val="24"/>
        </w:rPr>
        <w:t>3天</w:t>
      </w:r>
      <w:r>
        <w:rPr>
          <w:rFonts w:ascii="宋体" w:hAnsi="宋体"/>
          <w:bCs/>
          <w:color w:val="000000"/>
          <w:sz w:val="24"/>
        </w:rPr>
        <w:t>期间</w:t>
      </w:r>
      <w:r>
        <w:rPr>
          <w:rFonts w:hint="eastAsia" w:ascii="宋体" w:hAnsi="宋体"/>
          <w:bCs/>
          <w:color w:val="000000"/>
          <w:sz w:val="24"/>
        </w:rPr>
        <w:t>，由投标人授权代表（或法定代表人）携带身份证明材料，以书面形式向</w:t>
      </w:r>
      <w:r>
        <w:rPr>
          <w:rFonts w:hint="eastAsia" w:ascii="宋体" w:hAnsi="宋体" w:cs="宋体"/>
          <w:color w:val="000000"/>
          <w:kern w:val="0"/>
          <w:sz w:val="24"/>
        </w:rPr>
        <w:t>合肥泓瑞金陵大酒店</w:t>
      </w:r>
      <w:r>
        <w:rPr>
          <w:rFonts w:hint="eastAsia" w:ascii="宋体" w:hAnsi="宋体"/>
          <w:bCs/>
          <w:color w:val="000000"/>
          <w:sz w:val="24"/>
        </w:rPr>
        <w:t>提出异议，逾期不予受理。</w:t>
      </w:r>
    </w:p>
    <w:p>
      <w:pPr>
        <w:spacing w:line="360" w:lineRule="auto"/>
        <w:ind w:firstLine="523" w:firstLineChars="218"/>
        <w:rPr>
          <w:rFonts w:ascii="宋体" w:hAnsi="宋体"/>
          <w:bCs/>
          <w:color w:val="000000"/>
          <w:sz w:val="24"/>
        </w:rPr>
      </w:pPr>
      <w:r>
        <w:rPr>
          <w:rFonts w:hint="eastAsia" w:ascii="宋体" w:hAnsi="宋体"/>
          <w:bCs/>
          <w:color w:val="000000"/>
          <w:sz w:val="24"/>
        </w:rPr>
        <w:t>2.异议书内容应包括异议的详细理由和依据，并提供有关证明资料。</w:t>
      </w:r>
    </w:p>
    <w:p>
      <w:pPr>
        <w:spacing w:line="360" w:lineRule="auto"/>
        <w:ind w:firstLine="523" w:firstLineChars="218"/>
        <w:rPr>
          <w:rFonts w:ascii="宋体" w:hAnsi="宋体"/>
          <w:bCs/>
          <w:color w:val="000000"/>
          <w:sz w:val="24"/>
        </w:rPr>
      </w:pPr>
      <w:r>
        <w:rPr>
          <w:rFonts w:hint="eastAsia" w:ascii="宋体" w:hAnsi="宋体"/>
          <w:bCs/>
          <w:color w:val="000000"/>
          <w:sz w:val="24"/>
        </w:rPr>
        <w:t>3.有以下情形之一的，视为无效异议：</w:t>
      </w:r>
    </w:p>
    <w:p>
      <w:pPr>
        <w:spacing w:line="360" w:lineRule="auto"/>
        <w:ind w:firstLine="523" w:firstLineChars="218"/>
        <w:rPr>
          <w:rFonts w:ascii="宋体" w:hAnsi="宋体"/>
          <w:bCs/>
          <w:color w:val="000000"/>
          <w:sz w:val="24"/>
        </w:rPr>
      </w:pPr>
      <w:r>
        <w:rPr>
          <w:rFonts w:hint="eastAsia" w:ascii="宋体" w:hAnsi="宋体"/>
          <w:bCs/>
          <w:color w:val="000000"/>
          <w:sz w:val="24"/>
        </w:rPr>
        <w:t>3.1 未按规定时间或规定手续提交异议的；</w:t>
      </w:r>
    </w:p>
    <w:p>
      <w:pPr>
        <w:spacing w:line="360" w:lineRule="auto"/>
        <w:ind w:firstLine="523" w:firstLineChars="218"/>
        <w:rPr>
          <w:rFonts w:ascii="宋体" w:hAnsi="宋体"/>
          <w:bCs/>
          <w:color w:val="000000"/>
          <w:sz w:val="24"/>
        </w:rPr>
      </w:pPr>
      <w:r>
        <w:rPr>
          <w:rFonts w:hint="eastAsia" w:ascii="宋体" w:hAnsi="宋体"/>
          <w:bCs/>
          <w:color w:val="000000"/>
          <w:sz w:val="24"/>
        </w:rPr>
        <w:t>3.2异议内容含糊不清、没有提供详细理由和依据，无法进行核查的；</w:t>
      </w:r>
    </w:p>
    <w:p>
      <w:pPr>
        <w:spacing w:line="360" w:lineRule="auto"/>
        <w:ind w:firstLine="523" w:firstLineChars="218"/>
        <w:rPr>
          <w:rFonts w:ascii="宋体" w:hAnsi="宋体"/>
          <w:bCs/>
          <w:color w:val="000000"/>
          <w:sz w:val="24"/>
        </w:rPr>
      </w:pPr>
      <w:r>
        <w:rPr>
          <w:rFonts w:hint="eastAsia" w:ascii="宋体" w:hAnsi="宋体"/>
          <w:bCs/>
          <w:color w:val="000000"/>
          <w:sz w:val="24"/>
        </w:rPr>
        <w:t>3.3其他不符合异议程序和有关规定的。</w:t>
      </w:r>
    </w:p>
    <w:p>
      <w:pPr>
        <w:spacing w:line="360" w:lineRule="auto"/>
        <w:ind w:firstLine="523" w:firstLineChars="218"/>
        <w:rPr>
          <w:rFonts w:ascii="宋体" w:hAnsi="宋体"/>
          <w:bCs/>
          <w:color w:val="000000"/>
          <w:sz w:val="24"/>
        </w:rPr>
      </w:pPr>
      <w:r>
        <w:rPr>
          <w:rFonts w:hint="eastAsia" w:ascii="宋体" w:hAnsi="宋体"/>
          <w:bCs/>
          <w:color w:val="000000"/>
          <w:sz w:val="24"/>
        </w:rPr>
        <w:t>4.</w:t>
      </w:r>
      <w:r>
        <w:rPr>
          <w:rFonts w:hint="eastAsia" w:ascii="宋体" w:hAnsi="宋体" w:cs="宋体"/>
          <w:color w:val="000000"/>
          <w:kern w:val="0"/>
          <w:sz w:val="24"/>
        </w:rPr>
        <w:t>合肥泓瑞金陵大酒店</w:t>
      </w:r>
      <w:r>
        <w:rPr>
          <w:rFonts w:hint="eastAsia" w:ascii="宋体" w:hAnsi="宋体"/>
          <w:bCs/>
          <w:color w:val="000000"/>
          <w:sz w:val="24"/>
        </w:rPr>
        <w:t>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1"/>
        <w:rPr>
          <w:rFonts w:ascii="宋体" w:hAnsi="宋体"/>
          <w:color w:val="000000"/>
          <w:sz w:val="24"/>
          <w:szCs w:val="24"/>
        </w:rPr>
      </w:pPr>
      <w:bookmarkStart w:id="94" w:name="_Toc7187428"/>
      <w:bookmarkStart w:id="95" w:name="_Toc22888337"/>
      <w:bookmarkStart w:id="96" w:name="_Toc55285818"/>
      <w:bookmarkStart w:id="97" w:name="_Toc10227"/>
      <w:bookmarkStart w:id="98" w:name="_Toc25877"/>
      <w:bookmarkStart w:id="99" w:name="_Toc51505246"/>
      <w:bookmarkStart w:id="100" w:name="_Toc19773341"/>
      <w:bookmarkStart w:id="101" w:name="_Toc5146"/>
      <w:bookmarkStart w:id="102" w:name="_Toc20766"/>
      <w:r>
        <w:rPr>
          <w:rFonts w:hint="eastAsia" w:ascii="宋体" w:hAnsi="宋体"/>
          <w:b/>
          <w:bCs/>
          <w:color w:val="000000"/>
          <w:sz w:val="28"/>
          <w:szCs w:val="32"/>
        </w:rPr>
        <w:t>八．签订合同</w:t>
      </w:r>
      <w:bookmarkEnd w:id="94"/>
      <w:bookmarkEnd w:id="95"/>
      <w:bookmarkEnd w:id="96"/>
      <w:bookmarkEnd w:id="97"/>
      <w:bookmarkEnd w:id="98"/>
      <w:bookmarkEnd w:id="99"/>
      <w:bookmarkEnd w:id="100"/>
      <w:bookmarkEnd w:id="101"/>
      <w:bookmarkEnd w:id="102"/>
    </w:p>
    <w:p>
      <w:pPr>
        <w:spacing w:line="360" w:lineRule="auto"/>
        <w:ind w:firstLine="549"/>
        <w:rPr>
          <w:rFonts w:ascii="宋体" w:hAnsi="宋体"/>
          <w:b/>
          <w:color w:val="000000"/>
          <w:sz w:val="24"/>
        </w:rPr>
      </w:pPr>
      <w:bookmarkStart w:id="103" w:name="_Toc2046"/>
      <w:r>
        <w:rPr>
          <w:rFonts w:hint="eastAsia" w:ascii="宋体" w:hAnsi="宋体"/>
          <w:b/>
          <w:color w:val="000000"/>
          <w:sz w:val="24"/>
        </w:rPr>
        <w:t>1.</w:t>
      </w:r>
      <w:bookmarkEnd w:id="103"/>
      <w:bookmarkStart w:id="104" w:name="_Toc6466"/>
      <w:r>
        <w:rPr>
          <w:rFonts w:hint="eastAsia" w:ascii="宋体" w:hAnsi="宋体"/>
          <w:b/>
          <w:color w:val="000000"/>
          <w:sz w:val="24"/>
        </w:rPr>
        <w:t>签订合同</w:t>
      </w:r>
      <w:bookmarkEnd w:id="104"/>
    </w:p>
    <w:p>
      <w:pPr>
        <w:spacing w:line="360" w:lineRule="auto"/>
        <w:ind w:firstLine="549"/>
        <w:rPr>
          <w:rFonts w:ascii="宋体" w:hAnsi="宋体"/>
          <w:color w:val="000000"/>
          <w:sz w:val="24"/>
        </w:rPr>
      </w:pPr>
      <w:r>
        <w:rPr>
          <w:rFonts w:hint="eastAsia" w:ascii="宋体" w:hAnsi="宋体"/>
          <w:color w:val="000000"/>
          <w:sz w:val="24"/>
        </w:rPr>
        <w:t>1.1中标人应在中标通知发出之日起30日内（具体时间、地点见中标通知）与委托人签订合同。招标文件、中标人的投标文件及澄清文件等，均作为合同的附件。</w:t>
      </w:r>
    </w:p>
    <w:p>
      <w:pPr>
        <w:spacing w:line="360" w:lineRule="auto"/>
        <w:ind w:firstLine="549"/>
        <w:rPr>
          <w:rFonts w:ascii="宋体" w:hAnsi="宋体"/>
          <w:color w:val="000000"/>
          <w:sz w:val="24"/>
        </w:rPr>
      </w:pPr>
      <w:r>
        <w:rPr>
          <w:rFonts w:hint="eastAsia" w:ascii="宋体" w:hAnsi="宋体"/>
          <w:color w:val="000000"/>
          <w:sz w:val="24"/>
        </w:rPr>
        <w:t>1.2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sz w:val="24"/>
        </w:rPr>
      </w:pPr>
      <w:r>
        <w:rPr>
          <w:rFonts w:hint="eastAsia" w:ascii="宋体" w:hAnsi="宋体"/>
          <w:color w:val="000000"/>
          <w:sz w:val="24"/>
        </w:rPr>
        <w:t>1.3招标人保留以书面形式要求合同的服务方对其所投服务的方式、成果及服务细则等作适当调整的权利。</w:t>
      </w:r>
    </w:p>
    <w:p>
      <w:pPr>
        <w:spacing w:line="360" w:lineRule="auto"/>
        <w:ind w:firstLine="523" w:firstLineChars="218"/>
        <w:rPr>
          <w:rFonts w:ascii="宋体" w:hAnsi="宋体"/>
          <w:color w:val="000000"/>
          <w:sz w:val="24"/>
        </w:rPr>
      </w:pPr>
      <w:r>
        <w:rPr>
          <w:rFonts w:hint="eastAsia" w:ascii="宋体" w:hAnsi="宋体"/>
          <w:color w:val="000000"/>
          <w:sz w:val="24"/>
        </w:rPr>
        <w:t>1.4</w:t>
      </w:r>
      <w:r>
        <w:rPr>
          <w:rFonts w:hint="eastAsia" w:ascii="宋体" w:hAnsi="宋体" w:cs="宋体"/>
          <w:color w:val="000000"/>
          <w:kern w:val="0"/>
          <w:sz w:val="24"/>
        </w:rPr>
        <w:t>招标人在授予合同时有权对标的物的数量予以适当的增加或减少；</w:t>
      </w:r>
    </w:p>
    <w:p>
      <w:pPr>
        <w:spacing w:line="360" w:lineRule="auto"/>
        <w:ind w:firstLine="549"/>
        <w:rPr>
          <w:rFonts w:ascii="宋体" w:hAnsi="宋体"/>
          <w:color w:val="000000"/>
          <w:sz w:val="24"/>
        </w:rPr>
      </w:pPr>
      <w:r>
        <w:rPr>
          <w:rFonts w:hint="eastAsia" w:ascii="宋体" w:hAnsi="宋体"/>
          <w:color w:val="000000"/>
          <w:sz w:val="24"/>
        </w:rPr>
        <w:t>1.5中标人在中标通知发出之日起3日内不与委托人签订合同的，招标人可单方面取消其中标资格，并追究其责任。</w:t>
      </w:r>
    </w:p>
    <w:p>
      <w:pPr>
        <w:pStyle w:val="25"/>
        <w:spacing w:line="360" w:lineRule="auto"/>
        <w:ind w:left="549" w:firstLine="0" w:firstLineChars="0"/>
        <w:rPr>
          <w:rFonts w:ascii="宋体" w:hAnsi="宋体"/>
          <w:color w:val="000000"/>
          <w:sz w:val="24"/>
        </w:rPr>
      </w:pPr>
      <w:r>
        <w:rPr>
          <w:rFonts w:hint="eastAsia" w:ascii="宋体" w:hAnsi="宋体"/>
          <w:color w:val="000000"/>
          <w:sz w:val="24"/>
        </w:rPr>
        <w:t>1.6合同履行完毕后，经委托人考核合格，双方可续签合同。</w:t>
      </w:r>
    </w:p>
    <w:bookmarkEnd w:id="27"/>
    <w:bookmarkEnd w:id="28"/>
    <w:bookmarkEnd w:id="35"/>
    <w:p>
      <w:pPr>
        <w:rPr>
          <w:color w:val="000000"/>
        </w:rPr>
      </w:pPr>
    </w:p>
    <w:p>
      <w:pPr>
        <w:pStyle w:val="6"/>
        <w:spacing w:line="500" w:lineRule="exact"/>
        <w:rPr>
          <w:rFonts w:ascii="宋体" w:hAnsi="宋体" w:eastAsia="宋体"/>
          <w:color w:val="000000"/>
        </w:rPr>
      </w:pPr>
      <w:bookmarkStart w:id="105" w:name="_Toc10716"/>
      <w:bookmarkStart w:id="106" w:name="_Toc32450"/>
      <w:bookmarkStart w:id="107" w:name="_Toc7417"/>
      <w:bookmarkStart w:id="108" w:name="_Toc6687"/>
      <w:bookmarkStart w:id="109" w:name="_Toc520280130"/>
      <w:r>
        <w:rPr>
          <w:rFonts w:hint="eastAsia" w:ascii="宋体" w:hAnsi="宋体" w:eastAsia="宋体"/>
          <w:color w:val="000000"/>
        </w:rPr>
        <w:t xml:space="preserve">第四章 </w:t>
      </w:r>
      <w:r>
        <w:rPr>
          <w:rFonts w:hint="eastAsia" w:ascii="宋体" w:hAnsi="宋体" w:eastAsia="宋体"/>
          <w:color w:val="000000"/>
          <w:szCs w:val="36"/>
        </w:rPr>
        <w:t>招标需求</w:t>
      </w:r>
      <w:bookmarkEnd w:id="105"/>
      <w:bookmarkEnd w:id="106"/>
      <w:bookmarkEnd w:id="107"/>
      <w:bookmarkEnd w:id="108"/>
    </w:p>
    <w:p>
      <w:pPr>
        <w:spacing w:line="360" w:lineRule="auto"/>
        <w:ind w:firstLine="420" w:firstLineChars="200"/>
        <w:rPr>
          <w:rFonts w:ascii="宋体" w:hAnsi="宋体"/>
          <w:sz w:val="24"/>
          <w:szCs w:val="28"/>
        </w:rPr>
      </w:pPr>
      <w:r>
        <w:rPr>
          <w:rStyle w:val="16"/>
          <w:rFonts w:hint="eastAsia" w:hAnsi="仿宋_GB2312" w:cs="仿宋_GB2312"/>
          <w:b w:val="0"/>
          <w:snapToGrid w:val="0"/>
          <w:color w:val="000000"/>
          <w:shd w:val="clear" w:color="auto" w:fill="FFFFFF"/>
        </w:rPr>
        <w:t xml:space="preserve"> </w:t>
      </w:r>
      <w:r>
        <w:rPr>
          <w:rFonts w:hint="eastAsia" w:ascii="宋体" w:hAnsi="宋体"/>
          <w:sz w:val="24"/>
          <w:szCs w:val="28"/>
        </w:rPr>
        <w:t>前注：</w:t>
      </w:r>
    </w:p>
    <w:p>
      <w:pPr>
        <w:spacing w:line="360" w:lineRule="auto"/>
        <w:ind w:firstLine="480" w:firstLineChars="200"/>
        <w:rPr>
          <w:rFonts w:ascii="宋体" w:hAnsi="宋体"/>
          <w:sz w:val="24"/>
          <w:szCs w:val="28"/>
        </w:rPr>
      </w:pPr>
      <w:r>
        <w:rPr>
          <w:rFonts w:hint="eastAsia" w:ascii="宋体" w:hAnsi="宋体"/>
          <w:sz w:val="24"/>
          <w:szCs w:val="28"/>
        </w:rPr>
        <w:t>1.投标人自行考虑“营改增”税收费用及风险，中标后须按国家相关规定</w:t>
      </w:r>
      <w:r>
        <w:rPr>
          <w:rFonts w:hint="eastAsia" w:hAnsi="宋体"/>
          <w:sz w:val="24"/>
          <w:szCs w:val="28"/>
        </w:rPr>
        <w:t>缴纳</w:t>
      </w:r>
      <w:r>
        <w:rPr>
          <w:rFonts w:hint="eastAsia" w:ascii="宋体" w:hAnsi="宋体"/>
          <w:sz w:val="24"/>
          <w:szCs w:val="28"/>
        </w:rPr>
        <w:t>税金并按委托人要求提供发票，费用含在本次投标总价中，中标后不作调整。</w:t>
      </w:r>
    </w:p>
    <w:p>
      <w:pPr>
        <w:spacing w:line="360" w:lineRule="auto"/>
        <w:ind w:firstLine="480" w:firstLineChars="200"/>
        <w:rPr>
          <w:rFonts w:ascii="宋体" w:hAnsi="宋体"/>
          <w:sz w:val="24"/>
          <w:szCs w:val="28"/>
        </w:rPr>
      </w:pPr>
      <w:r>
        <w:rPr>
          <w:rFonts w:hint="eastAsia" w:ascii="宋体" w:hAnsi="宋体"/>
          <w:sz w:val="24"/>
          <w:szCs w:val="28"/>
        </w:rPr>
        <w:t>2.如对本招标文件有任何疑问或澄清要求，请按本招标文件“投标人须知前附表”中的约定方式</w:t>
      </w:r>
      <w:r>
        <w:rPr>
          <w:rFonts w:hint="eastAsia" w:ascii="宋体" w:hAnsi="宋体" w:cs="宋体"/>
          <w:color w:val="000000"/>
          <w:kern w:val="0"/>
          <w:sz w:val="24"/>
        </w:rPr>
        <w:t>合肥泓瑞金陵大酒店</w:t>
      </w:r>
      <w:r>
        <w:rPr>
          <w:rFonts w:hint="eastAsia" w:ascii="宋体" w:hAnsi="宋体"/>
          <w:sz w:val="24"/>
          <w:szCs w:val="28"/>
        </w:rPr>
        <w:t>，或接受答疑截止时间前联系招标人。否则视同理解和接受。</w:t>
      </w:r>
    </w:p>
    <w:p>
      <w:pPr>
        <w:spacing w:line="360" w:lineRule="auto"/>
      </w:pPr>
    </w:p>
    <w:p>
      <w:pPr>
        <w:autoSpaceDE w:val="0"/>
        <w:autoSpaceDN w:val="0"/>
        <w:adjustRightInd w:val="0"/>
        <w:spacing w:line="360" w:lineRule="auto"/>
        <w:ind w:firstLine="354" w:firstLineChars="147"/>
        <w:jc w:val="left"/>
        <w:outlineLvl w:val="1"/>
        <w:rPr>
          <w:rFonts w:ascii="宋体" w:hAnsi="宋体"/>
          <w:b/>
          <w:color w:val="000000"/>
          <w:kern w:val="0"/>
          <w:sz w:val="24"/>
          <w:szCs w:val="24"/>
          <w:highlight w:val="yellow"/>
        </w:rPr>
      </w:pPr>
      <w:bookmarkStart w:id="110" w:name="_Toc17801"/>
      <w:bookmarkStart w:id="111" w:name="_Toc32659"/>
      <w:bookmarkStart w:id="112" w:name="_Toc8126"/>
      <w:bookmarkStart w:id="113" w:name="_Toc25675"/>
      <w:r>
        <w:rPr>
          <w:rFonts w:hint="eastAsia" w:ascii="宋体" w:hAnsi="宋体"/>
          <w:b/>
          <w:color w:val="000000"/>
          <w:kern w:val="0"/>
          <w:sz w:val="24"/>
          <w:szCs w:val="24"/>
        </w:rPr>
        <w:t xml:space="preserve">一、 </w:t>
      </w:r>
      <w:bookmarkEnd w:id="110"/>
      <w:bookmarkEnd w:id="111"/>
      <w:bookmarkEnd w:id="112"/>
      <w:bookmarkEnd w:id="113"/>
      <w:r>
        <w:rPr>
          <w:rFonts w:hint="eastAsia" w:ascii="宋体" w:hAnsi="宋体"/>
          <w:b/>
          <w:color w:val="000000"/>
          <w:kern w:val="0"/>
          <w:sz w:val="24"/>
          <w:szCs w:val="24"/>
          <w:highlight w:val="yellow"/>
        </w:rPr>
        <w:t>项目概况</w:t>
      </w:r>
    </w:p>
    <w:p>
      <w:pPr>
        <w:spacing w:line="360" w:lineRule="auto"/>
        <w:ind w:firstLine="480" w:firstLineChars="200"/>
        <w:rPr>
          <w:rFonts w:ascii="宋体" w:hAnsi="宋体"/>
          <w:sz w:val="24"/>
          <w:szCs w:val="28"/>
        </w:rPr>
      </w:pPr>
      <w:r>
        <w:rPr>
          <w:rFonts w:hint="eastAsia" w:ascii="宋体" w:hAnsi="宋体"/>
          <w:sz w:val="24"/>
          <w:szCs w:val="28"/>
        </w:rPr>
        <w:t>合肥泓瑞金陵大酒店有431间客房，现就酒店及外管项目客房使用的大瓶四液公开招标,择优选定合作商。</w:t>
      </w:r>
    </w:p>
    <w:p>
      <w:pPr>
        <w:spacing w:line="360" w:lineRule="auto"/>
        <w:ind w:firstLine="482" w:firstLineChars="200"/>
        <w:rPr>
          <w:rFonts w:ascii="宋体" w:hAnsi="宋体"/>
          <w:b/>
          <w:sz w:val="24"/>
          <w:szCs w:val="28"/>
        </w:rPr>
      </w:pPr>
      <w:r>
        <w:rPr>
          <w:rFonts w:hint="eastAsia" w:ascii="宋体" w:hAnsi="宋体"/>
          <w:b/>
          <w:color w:val="000000"/>
          <w:kern w:val="0"/>
          <w:sz w:val="24"/>
          <w:szCs w:val="24"/>
          <w:highlight w:val="yellow"/>
        </w:rPr>
        <w:t>二、</w:t>
      </w:r>
      <w:r>
        <w:rPr>
          <w:rFonts w:hint="eastAsia" w:ascii="宋体" w:hAnsi="宋体"/>
          <w:b/>
          <w:sz w:val="24"/>
          <w:szCs w:val="28"/>
        </w:rPr>
        <w:t>招标需求：</w:t>
      </w:r>
    </w:p>
    <w:tbl>
      <w:tblPr>
        <w:tblStyle w:val="19"/>
        <w:tblW w:w="10060" w:type="dxa"/>
        <w:tblInd w:w="0" w:type="dxa"/>
        <w:tblLayout w:type="fixed"/>
        <w:tblCellMar>
          <w:top w:w="0" w:type="dxa"/>
          <w:left w:w="0" w:type="dxa"/>
          <w:bottom w:w="0" w:type="dxa"/>
          <w:right w:w="0" w:type="dxa"/>
        </w:tblCellMar>
      </w:tblPr>
      <w:tblGrid>
        <w:gridCol w:w="850"/>
        <w:gridCol w:w="1531"/>
        <w:gridCol w:w="2211"/>
        <w:gridCol w:w="963"/>
        <w:gridCol w:w="668"/>
        <w:gridCol w:w="2154"/>
        <w:gridCol w:w="1683"/>
      </w:tblGrid>
      <w:tr>
        <w:tblPrEx>
          <w:tblLayout w:type="fixed"/>
          <w:tblCellMar>
            <w:top w:w="0" w:type="dxa"/>
            <w:left w:w="0" w:type="dxa"/>
            <w:bottom w:w="0" w:type="dxa"/>
            <w:right w:w="0" w:type="dxa"/>
          </w:tblCellMar>
        </w:tblPrEx>
        <w:trPr>
          <w:trHeight w:val="40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名称</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规格</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数量</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 xml:space="preserve"> 备注1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 xml:space="preserve"> 备注2</w:t>
            </w:r>
          </w:p>
        </w:tc>
      </w:tr>
      <w:tr>
        <w:tblPrEx>
          <w:tblLayout w:type="fixed"/>
          <w:tblCellMar>
            <w:top w:w="0" w:type="dxa"/>
            <w:left w:w="0" w:type="dxa"/>
            <w:bottom w:w="0" w:type="dxa"/>
            <w:right w:w="0" w:type="dxa"/>
          </w:tblCellMar>
        </w:tblPrEx>
        <w:trPr>
          <w:trHeight w:val="69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桶装洗手液</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4.5-5KG/桶</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液体，泡沫型，咖啡色系瓶体，按压式;多种香型（如马鞭草香型）。</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酒店使用，品质符合五星级酒店标准</w:t>
            </w:r>
          </w:p>
        </w:tc>
      </w:tr>
      <w:tr>
        <w:tblPrEx>
          <w:tblLayout w:type="fixed"/>
          <w:tblCellMar>
            <w:top w:w="0" w:type="dxa"/>
            <w:left w:w="0" w:type="dxa"/>
            <w:bottom w:w="0" w:type="dxa"/>
            <w:right w:w="0" w:type="dxa"/>
          </w:tblCellMar>
        </w:tblPrEx>
        <w:trPr>
          <w:trHeight w:val="6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泡泡洗手液</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约500ML/瓶</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0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洗发液</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2,100</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按压式、瓶身深色系</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沐浴液</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1,900</w:t>
            </w: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8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护发素</w:t>
            </w:r>
          </w:p>
        </w:tc>
        <w:tc>
          <w:tcPr>
            <w:tcW w:w="2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0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洗发液</w:t>
            </w:r>
          </w:p>
        </w:tc>
        <w:tc>
          <w:tcPr>
            <w:tcW w:w="22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500-650ML液体</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基地使用，品质符合三星级左右</w:t>
            </w:r>
            <w:r>
              <w:rPr>
                <w:rFonts w:hint="eastAsia" w:ascii="宋体" w:hAnsi="宋体" w:cs="宋体"/>
                <w:color w:val="000000"/>
                <w:kern w:val="0"/>
                <w:sz w:val="18"/>
                <w:szCs w:val="18"/>
              </w:rPr>
              <w:t>酒店标准</w:t>
            </w:r>
          </w:p>
        </w:tc>
      </w:tr>
      <w:tr>
        <w:tblPrEx>
          <w:tblLayout w:type="fixed"/>
          <w:tblCellMar>
            <w:top w:w="0" w:type="dxa"/>
            <w:left w:w="0" w:type="dxa"/>
            <w:bottom w:w="0" w:type="dxa"/>
            <w:right w:w="0" w:type="dxa"/>
          </w:tblCellMar>
        </w:tblPrEx>
        <w:trPr>
          <w:trHeight w:val="40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沐浴液</w:t>
            </w:r>
          </w:p>
        </w:tc>
        <w:tc>
          <w:tcPr>
            <w:tcW w:w="22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500-650ML液体</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500</w:t>
            </w: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3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桶装液体</w:t>
            </w:r>
          </w:p>
        </w:tc>
        <w:tc>
          <w:tcPr>
            <w:tcW w:w="22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5公斤液体（洗发液/沐浴液）</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w:t>
            </w:r>
          </w:p>
        </w:tc>
        <w:tc>
          <w:tcPr>
            <w:tcW w:w="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cs="宋体"/>
                <w:color w:val="000000"/>
                <w:sz w:val="20"/>
                <w:szCs w:val="20"/>
              </w:rPr>
            </w:pPr>
          </w:p>
        </w:tc>
      </w:tr>
    </w:tbl>
    <w:p>
      <w:pPr>
        <w:rPr>
          <w:rFonts w:ascii="宋体" w:hAnsi="宋体"/>
          <w:b/>
          <w:sz w:val="28"/>
        </w:rPr>
      </w:pPr>
    </w:p>
    <w:p>
      <w:pPr>
        <w:pStyle w:val="31"/>
      </w:pPr>
    </w:p>
    <w:p>
      <w:pPr>
        <w:spacing w:line="360" w:lineRule="auto"/>
        <w:ind w:firstLine="480" w:firstLineChars="200"/>
        <w:rPr>
          <w:rFonts w:ascii="宋体" w:hAnsi="宋体"/>
          <w:sz w:val="24"/>
          <w:szCs w:val="28"/>
        </w:rPr>
      </w:pPr>
      <w:r>
        <w:rPr>
          <w:rFonts w:hint="eastAsia" w:ascii="宋体" w:hAnsi="宋体"/>
          <w:sz w:val="24"/>
          <w:szCs w:val="28"/>
        </w:rPr>
        <w:t>备注：</w:t>
      </w:r>
    </w:p>
    <w:p>
      <w:pPr>
        <w:spacing w:line="360" w:lineRule="auto"/>
        <w:ind w:firstLine="480" w:firstLineChars="200"/>
        <w:rPr>
          <w:rFonts w:ascii="宋体" w:hAnsi="宋体"/>
          <w:sz w:val="24"/>
          <w:szCs w:val="28"/>
        </w:rPr>
      </w:pPr>
      <w:r>
        <w:rPr>
          <w:rFonts w:hint="eastAsia" w:ascii="宋体" w:hAnsi="宋体"/>
          <w:sz w:val="24"/>
          <w:szCs w:val="28"/>
        </w:rPr>
        <w:t>1.免费提供并安装固定在墙面的支架+钥匙（大约410个）；</w:t>
      </w:r>
    </w:p>
    <w:p>
      <w:pPr>
        <w:spacing w:line="360" w:lineRule="auto"/>
        <w:ind w:firstLine="480" w:firstLineChars="200"/>
        <w:rPr>
          <w:rFonts w:ascii="宋体" w:hAnsi="宋体"/>
          <w:sz w:val="24"/>
          <w:szCs w:val="28"/>
        </w:rPr>
      </w:pPr>
      <w:r>
        <w:rPr>
          <w:rFonts w:hint="eastAsia" w:ascii="宋体" w:hAnsi="宋体"/>
          <w:sz w:val="24"/>
          <w:szCs w:val="28"/>
        </w:rPr>
        <w:t>2.产品质量问题免费提供更换，且每批货需提供产品检测报告；</w:t>
      </w:r>
    </w:p>
    <w:p>
      <w:pPr>
        <w:spacing w:line="360" w:lineRule="auto"/>
        <w:ind w:firstLine="480" w:firstLineChars="200"/>
        <w:rPr>
          <w:rFonts w:ascii="宋体" w:hAnsi="宋体"/>
          <w:sz w:val="24"/>
          <w:szCs w:val="28"/>
        </w:rPr>
      </w:pPr>
      <w:r>
        <w:rPr>
          <w:rFonts w:hint="eastAsia" w:ascii="宋体" w:hAnsi="宋体"/>
          <w:sz w:val="24"/>
          <w:szCs w:val="28"/>
        </w:rPr>
        <w:t>3.清单中产品需要提供投标样品，随招标文件一同邮寄或递送至合肥泓瑞金陵大酒店采购部。</w:t>
      </w:r>
    </w:p>
    <w:p>
      <w:pPr>
        <w:spacing w:line="360" w:lineRule="auto"/>
        <w:ind w:firstLine="482" w:firstLineChars="200"/>
        <w:rPr>
          <w:rFonts w:ascii="宋体" w:hAnsi="宋体"/>
          <w:b/>
          <w:sz w:val="24"/>
          <w:szCs w:val="28"/>
        </w:rPr>
      </w:pPr>
      <w:r>
        <w:rPr>
          <w:rFonts w:hint="eastAsia" w:ascii="宋体" w:hAnsi="宋体"/>
          <w:b/>
          <w:sz w:val="24"/>
          <w:szCs w:val="28"/>
          <w:lang w:eastAsia="zh-CN"/>
        </w:rPr>
        <w:t>三</w:t>
      </w:r>
      <w:r>
        <w:rPr>
          <w:rFonts w:hint="eastAsia" w:ascii="宋体" w:hAnsi="宋体"/>
          <w:b/>
          <w:sz w:val="24"/>
          <w:szCs w:val="28"/>
        </w:rPr>
        <w:t>、报价要求</w:t>
      </w:r>
    </w:p>
    <w:p>
      <w:pPr>
        <w:spacing w:line="360" w:lineRule="auto"/>
        <w:ind w:firstLine="480" w:firstLineChars="200"/>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1.投标人须按此数量报投标总价并在投标分项报价表中列明每种货物的综合单价，投标总价作为定标的依据。投标报价总价不得高于预算总价。成交后，最终数量按实结算，单价不变。</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4"/>
        <w:spacing w:before="0" w:beforeAutospacing="0" w:after="0" w:afterAutospacing="0" w:line="360" w:lineRule="auto"/>
        <w:ind w:firstLine="480" w:firstLineChars="200"/>
        <w:rPr>
          <w:szCs w:val="28"/>
        </w:rPr>
      </w:pPr>
      <w:r>
        <w:rPr>
          <w:rFonts w:hint="eastAsia"/>
          <w:szCs w:val="28"/>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lang w:eastAsia="zh-CN"/>
        </w:rPr>
        <w:t>四</w:t>
      </w:r>
      <w:r>
        <w:rPr>
          <w:rFonts w:hint="eastAsia" w:ascii="宋体" w:hAnsi="宋体"/>
          <w:b/>
          <w:sz w:val="24"/>
          <w:szCs w:val="28"/>
        </w:rPr>
        <w:t>.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2"/>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2"/>
        <w:ind w:firstLine="0" w:firstLineChars="0"/>
        <w:rPr>
          <w:rFonts w:ascii="宋体" w:hAnsi="宋体" w:eastAsia="宋体"/>
          <w:color w:val="000000"/>
        </w:rPr>
      </w:pPr>
    </w:p>
    <w:p>
      <w:pPr>
        <w:pStyle w:val="2"/>
        <w:ind w:firstLine="640"/>
        <w:rPr>
          <w:rFonts w:ascii="宋体" w:hAnsi="宋体" w:eastAsia="宋体"/>
          <w:color w:val="000000"/>
        </w:rPr>
      </w:pPr>
    </w:p>
    <w:bookmarkEnd w:id="109"/>
    <w:p>
      <w:pPr>
        <w:pStyle w:val="6"/>
        <w:spacing w:line="360" w:lineRule="auto"/>
        <w:rPr>
          <w:rFonts w:ascii="宋体" w:hAnsi="宋体" w:eastAsia="宋体"/>
          <w:color w:val="000000"/>
        </w:rPr>
      </w:pPr>
      <w:bookmarkStart w:id="114" w:name="_Toc520280131"/>
      <w:bookmarkStart w:id="115" w:name="_Toc508363595"/>
      <w:bookmarkStart w:id="116" w:name="_Toc27746"/>
      <w:bookmarkStart w:id="117" w:name="_Toc11137"/>
      <w:bookmarkStart w:id="118" w:name="_Toc7773"/>
      <w:bookmarkStart w:id="119" w:name="_Toc7253"/>
      <w:r>
        <w:rPr>
          <w:rFonts w:hint="eastAsia" w:ascii="宋体" w:hAnsi="宋体" w:eastAsia="宋体"/>
          <w:color w:val="000000"/>
        </w:rPr>
        <w:t>第五章 评标办法</w:t>
      </w:r>
      <w:bookmarkEnd w:id="114"/>
      <w:bookmarkEnd w:id="115"/>
      <w:bookmarkEnd w:id="116"/>
      <w:bookmarkEnd w:id="117"/>
      <w:bookmarkEnd w:id="118"/>
      <w:bookmarkEnd w:id="119"/>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1.为了做好合肥泓瑞金陵大酒店大瓶四液类采购项目（项目编号：2023HRJL1227（5））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2. 本次项目评标采用</w:t>
      </w:r>
      <w:r>
        <w:rPr>
          <w:rFonts w:hint="eastAsia" w:ascii="宋体" w:hAnsi="宋体" w:cs="宋体-18030"/>
          <w:color w:val="000000"/>
          <w:sz w:val="24"/>
          <w:u w:val="single"/>
        </w:rPr>
        <w:t>综合评分法</w:t>
      </w:r>
      <w:r>
        <w:rPr>
          <w:rFonts w:hint="eastAsia" w:ascii="宋体" w:hAnsi="宋体" w:cs="宋体-18030"/>
          <w:color w:val="000000"/>
          <w:sz w:val="24"/>
        </w:rPr>
        <w:t>作为对投标人标书的比较方法。</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3.本项目将依法组建不少于5人的评标委员会，负责本项目的评标工作。</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4.评标委员会按照“客观公正，实事求是”的原则，评价参加本次招标的投标人所提供的产品或服务价格、性能、质量、服务及对招标文件的符合性及响应性。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5.有效投标应符合以下原则：</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5.1满足招标文件的实质性要求；</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5.2无重大偏离、保留或招标人不能接受的附加条件；</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5.3通过初审；</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5.4评标委员会依据招标文件认定的其他原则。</w:t>
      </w:r>
    </w:p>
    <w:p>
      <w:pPr>
        <w:adjustRightInd w:val="0"/>
        <w:snapToGrid w:val="0"/>
        <w:spacing w:line="360" w:lineRule="auto"/>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000000"/>
          <w:sz w:val="24"/>
          <w:szCs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8.</w:t>
      </w:r>
      <w:r>
        <w:rPr>
          <w:rFonts w:hint="eastAsia" w:ascii="宋体" w:hAnsi="宋体"/>
          <w:bCs/>
          <w:color w:val="000000"/>
          <w:sz w:val="24"/>
        </w:rPr>
        <w:t>评审程序</w:t>
      </w:r>
    </w:p>
    <w:p>
      <w:pPr>
        <w:spacing w:line="360" w:lineRule="auto"/>
        <w:ind w:firstLine="549"/>
        <w:rPr>
          <w:rFonts w:ascii="宋体" w:hAnsi="宋体"/>
          <w:bCs/>
          <w:color w:val="000000"/>
          <w:sz w:val="24"/>
        </w:rPr>
      </w:pPr>
      <w:r>
        <w:rPr>
          <w:rFonts w:hint="eastAsia" w:ascii="宋体" w:hAnsi="宋体"/>
          <w:bCs/>
          <w:color w:val="000000"/>
          <w:sz w:val="24"/>
          <w:szCs w:val="24"/>
        </w:rPr>
        <w:t>本项目采用</w:t>
      </w:r>
      <w:r>
        <w:rPr>
          <w:rFonts w:hint="eastAsia" w:ascii="宋体" w:hAnsi="宋体"/>
          <w:bCs/>
          <w:color w:val="000000"/>
          <w:sz w:val="24"/>
        </w:rPr>
        <w:t>综合评分法</w:t>
      </w:r>
      <w:r>
        <w:rPr>
          <w:rFonts w:hint="eastAsia" w:ascii="宋体" w:hAnsi="宋体"/>
          <w:bCs/>
          <w:color w:val="000000"/>
          <w:sz w:val="24"/>
          <w:szCs w:val="24"/>
        </w:rPr>
        <w:t>进行评审，</w:t>
      </w:r>
      <w:r>
        <w:rPr>
          <w:rFonts w:hint="eastAsia" w:ascii="宋体" w:hAnsi="宋体"/>
          <w:bCs/>
          <w:color w:val="000000"/>
          <w:sz w:val="24"/>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color w:val="000000"/>
          <w:sz w:val="24"/>
          <w:szCs w:val="24"/>
        </w:rPr>
      </w:pPr>
      <w:r>
        <w:rPr>
          <w:rFonts w:hint="eastAsia" w:ascii="宋体" w:hAnsi="宋体"/>
          <w:bCs/>
          <w:color w:val="000000"/>
          <w:sz w:val="24"/>
          <w:szCs w:val="24"/>
        </w:rPr>
        <w:t>评标委员会遵循规定评标原则，对投标人进行初审、详细评审、商务部分得分计算和确定中标候选人。</w:t>
      </w:r>
    </w:p>
    <w:p>
      <w:pPr>
        <w:spacing w:line="360" w:lineRule="auto"/>
        <w:ind w:firstLine="549"/>
        <w:rPr>
          <w:rFonts w:ascii="宋体" w:hAnsi="宋体"/>
          <w:b/>
          <w:color w:val="000000"/>
          <w:sz w:val="24"/>
          <w:szCs w:val="24"/>
        </w:rPr>
      </w:pPr>
      <w:r>
        <w:rPr>
          <w:rFonts w:hint="eastAsia" w:ascii="宋体" w:hAnsi="宋体"/>
          <w:b/>
          <w:color w:val="000000"/>
          <w:sz w:val="24"/>
          <w:szCs w:val="24"/>
        </w:rPr>
        <w:t>8.1初审</w:t>
      </w:r>
    </w:p>
    <w:p>
      <w:pPr>
        <w:adjustRightInd w:val="0"/>
        <w:snapToGrid w:val="0"/>
        <w:spacing w:line="360" w:lineRule="auto"/>
        <w:ind w:right="-10" w:firstLine="420" w:firstLineChars="175"/>
        <w:rPr>
          <w:rFonts w:ascii="宋体" w:hAnsi="宋体"/>
          <w:bCs/>
          <w:color w:val="000000"/>
          <w:sz w:val="24"/>
          <w:szCs w:val="24"/>
        </w:rPr>
      </w:pPr>
      <w:r>
        <w:rPr>
          <w:rFonts w:hint="eastAsia" w:ascii="宋体" w:hAnsi="宋体"/>
          <w:bCs/>
          <w:color w:val="000000"/>
          <w:sz w:val="24"/>
          <w:szCs w:val="24"/>
        </w:rPr>
        <w:t>评标委员会按下表内容对所有投标人进行初审：</w:t>
      </w:r>
    </w:p>
    <w:tbl>
      <w:tblPr>
        <w:tblStyle w:val="19"/>
        <w:tblW w:w="9161"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55"/>
        <w:gridCol w:w="2859"/>
        <w:gridCol w:w="827"/>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b/>
                <w:color w:val="000000"/>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序号</w:t>
            </w:r>
          </w:p>
        </w:tc>
        <w:tc>
          <w:tcPr>
            <w:tcW w:w="1755" w:type="dxa"/>
            <w:tcBorders>
              <w:bottom w:val="single" w:color="auto" w:sz="4" w:space="0"/>
            </w:tcBorders>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color w:val="000000"/>
                <w:kern w:val="2"/>
                <w:szCs w:val="24"/>
              </w:rPr>
              <w:t>指标名称</w:t>
            </w:r>
          </w:p>
        </w:tc>
        <w:tc>
          <w:tcPr>
            <w:tcW w:w="2859"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指标要求</w:t>
            </w:r>
          </w:p>
        </w:tc>
        <w:tc>
          <w:tcPr>
            <w:tcW w:w="827"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是否通过</w:t>
            </w:r>
          </w:p>
        </w:tc>
        <w:tc>
          <w:tcPr>
            <w:tcW w:w="300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w:t>
            </w:r>
          </w:p>
        </w:tc>
        <w:tc>
          <w:tcPr>
            <w:tcW w:w="1755" w:type="dxa"/>
            <w:tcBorders>
              <w:bottom w:val="single" w:color="auto" w:sz="4" w:space="0"/>
            </w:tcBorders>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color w:val="000000"/>
                <w:kern w:val="2"/>
                <w:szCs w:val="24"/>
              </w:rPr>
              <w:t>投标人名称</w:t>
            </w:r>
          </w:p>
        </w:tc>
        <w:tc>
          <w:tcPr>
            <w:tcW w:w="2859"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投标人名称与营业执照单位名称一致</w:t>
            </w:r>
          </w:p>
        </w:tc>
        <w:tc>
          <w:tcPr>
            <w:tcW w:w="827"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p>
        </w:tc>
        <w:tc>
          <w:tcPr>
            <w:tcW w:w="300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szCs w:val="24"/>
              </w:rPr>
            </w:pPr>
            <w:r>
              <w:rPr>
                <w:rFonts w:hint="eastAsia" w:ascii="宋体" w:hAnsi="宋体"/>
                <w:color w:val="000000"/>
                <w:sz w:val="24"/>
                <w:szCs w:val="24"/>
              </w:rPr>
              <w:t>2</w:t>
            </w:r>
          </w:p>
        </w:tc>
        <w:tc>
          <w:tcPr>
            <w:tcW w:w="1755" w:type="dxa"/>
            <w:tcBorders>
              <w:bottom w:val="single" w:color="auto" w:sz="4" w:space="0"/>
            </w:tcBorders>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营业执照或事业单位法人证书</w:t>
            </w:r>
          </w:p>
        </w:tc>
        <w:tc>
          <w:tcPr>
            <w:tcW w:w="2859" w:type="dxa"/>
            <w:tcBorders>
              <w:bottom w:val="single" w:color="auto" w:sz="4" w:space="0"/>
            </w:tcBorders>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合法有效</w:t>
            </w:r>
          </w:p>
        </w:tc>
        <w:tc>
          <w:tcPr>
            <w:tcW w:w="827" w:type="dxa"/>
            <w:tcBorders>
              <w:bottom w:val="single" w:color="auto" w:sz="4" w:space="0"/>
            </w:tcBorders>
            <w:vAlign w:val="center"/>
          </w:tcPr>
          <w:p>
            <w:pPr>
              <w:adjustRightInd w:val="0"/>
              <w:snapToGrid w:val="0"/>
              <w:spacing w:line="420" w:lineRule="exact"/>
              <w:ind w:right="-11"/>
              <w:jc w:val="center"/>
              <w:rPr>
                <w:rFonts w:ascii="宋体" w:hAnsi="宋体"/>
                <w:color w:val="000000"/>
                <w:sz w:val="24"/>
                <w:szCs w:val="24"/>
              </w:rPr>
            </w:pPr>
          </w:p>
        </w:tc>
        <w:tc>
          <w:tcPr>
            <w:tcW w:w="3000" w:type="dxa"/>
            <w:tcBorders>
              <w:bottom w:val="single" w:color="auto" w:sz="4" w:space="0"/>
            </w:tcBorders>
            <w:vAlign w:val="center"/>
          </w:tcPr>
          <w:p>
            <w:pPr>
              <w:adjustRightInd w:val="0"/>
              <w:snapToGrid w:val="0"/>
              <w:spacing w:line="420" w:lineRule="exact"/>
              <w:ind w:right="-11"/>
              <w:jc w:val="center"/>
              <w:rPr>
                <w:rFonts w:ascii="宋体" w:hAnsi="宋体"/>
                <w:color w:val="000000"/>
                <w:sz w:val="24"/>
                <w:szCs w:val="24"/>
              </w:rPr>
            </w:pPr>
            <w:r>
              <w:rPr>
                <w:rFonts w:hint="eastAsia" w:ascii="宋体" w:hAnsi="宋体"/>
                <w:color w:val="000000"/>
                <w:sz w:val="24"/>
                <w:szCs w:val="24"/>
              </w:rPr>
              <w:t>提供有效的营业执照（或事业单位法人证书）的扫描件</w:t>
            </w:r>
            <w:r>
              <w:rPr>
                <w:rFonts w:hint="eastAsia" w:ascii="宋体" w:hAnsi="宋体"/>
                <w:b/>
                <w:bCs/>
                <w:color w:val="000000"/>
                <w:sz w:val="24"/>
                <w:szCs w:val="24"/>
              </w:rPr>
              <w:t>，应完整的体现出营业执照</w:t>
            </w:r>
            <w:r>
              <w:rPr>
                <w:rFonts w:hint="eastAsia" w:ascii="宋体" w:hAnsi="宋体"/>
                <w:b/>
                <w:color w:val="000000"/>
                <w:sz w:val="24"/>
                <w:szCs w:val="24"/>
              </w:rPr>
              <w:t>（或事业单位法人证书）</w:t>
            </w:r>
            <w:r>
              <w:rPr>
                <w:rFonts w:hint="eastAsia" w:ascii="宋体" w:hAnsi="宋体"/>
                <w:b/>
                <w:bCs/>
                <w:color w:val="000000"/>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3</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投标函</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4</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投标授权书</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5</w:t>
            </w:r>
          </w:p>
        </w:tc>
        <w:tc>
          <w:tcPr>
            <w:tcW w:w="1755" w:type="dxa"/>
            <w:vAlign w:val="center"/>
          </w:tcPr>
          <w:p>
            <w:pPr>
              <w:widowControl/>
              <w:jc w:val="left"/>
              <w:textAlignment w:val="center"/>
              <w:rPr>
                <w:rFonts w:ascii="宋体" w:hAnsi="宋体" w:cs="宋体"/>
                <w:color w:val="000000"/>
                <w:sz w:val="22"/>
              </w:rPr>
            </w:pPr>
            <w:r>
              <w:rPr>
                <w:rFonts w:hint="eastAsia" w:ascii="宋体" w:hAnsi="宋体"/>
                <w:color w:val="000000"/>
                <w:sz w:val="24"/>
                <w:szCs w:val="28"/>
              </w:rPr>
              <w:t>投标人信用承诺</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提供信用记录证明材料扫描件，具体详见</w:t>
            </w:r>
            <w:r>
              <w:rPr>
                <w:rFonts w:hint="eastAsia" w:ascii="宋体" w:hAnsi="宋体"/>
                <w:color w:val="000000"/>
                <w:sz w:val="24"/>
                <w:szCs w:val="24"/>
              </w:rPr>
              <w:t>第七章响应文件格式</w:t>
            </w:r>
            <w:r>
              <w:rPr>
                <w:rFonts w:hint="eastAsia" w:ascii="宋体" w:hAnsi="宋体"/>
                <w:color w:val="000000"/>
                <w:sz w:val="24"/>
              </w:rPr>
              <w:t>“</w:t>
            </w:r>
            <w:r>
              <w:rPr>
                <w:rFonts w:hint="eastAsia" w:ascii="宋体" w:hAnsi="宋体"/>
                <w:color w:val="000000"/>
                <w:sz w:val="24"/>
                <w:szCs w:val="24"/>
              </w:rPr>
              <w:t>投标人信用承诺</w:t>
            </w:r>
            <w:r>
              <w:rPr>
                <w:rFonts w:hint="eastAsia" w:ascii="宋体" w:hAnsi="宋体"/>
                <w:color w:val="000000"/>
                <w:sz w:val="24"/>
              </w:rPr>
              <w:t>”</w:t>
            </w:r>
            <w:r>
              <w:rPr>
                <w:rFonts w:hint="eastAsia" w:ascii="宋体" w:hAnsi="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6</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投标报价</w:t>
            </w:r>
          </w:p>
        </w:tc>
        <w:tc>
          <w:tcPr>
            <w:tcW w:w="2859" w:type="dxa"/>
            <w:vAlign w:val="center"/>
          </w:tcPr>
          <w:p>
            <w:pPr>
              <w:spacing w:after="50" w:line="360" w:lineRule="auto"/>
              <w:ind w:right="-10"/>
              <w:jc w:val="center"/>
              <w:rPr>
                <w:rFonts w:ascii="宋体" w:hAnsi="宋体"/>
                <w:bCs/>
                <w:color w:val="000000"/>
                <w:sz w:val="24"/>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第七章投标文件格式一致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7</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投标人资格</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符合招标公告要求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bCs/>
                <w:color w:val="000000"/>
                <w:sz w:val="24"/>
                <w:szCs w:val="24"/>
              </w:rPr>
            </w:pPr>
            <w:r>
              <w:rPr>
                <w:rFonts w:hint="eastAsia" w:ascii="宋体" w:hAnsi="宋体"/>
                <w:color w:val="000000"/>
                <w:sz w:val="24"/>
                <w:szCs w:val="24"/>
              </w:rPr>
              <w:t>1.详见第一章投标邀请</w:t>
            </w:r>
            <w:r>
              <w:rPr>
                <w:rFonts w:hint="eastAsia" w:ascii="宋体" w:hAnsi="宋体"/>
                <w:color w:val="000000"/>
                <w:sz w:val="24"/>
              </w:rPr>
              <w:t>“</w:t>
            </w:r>
            <w:r>
              <w:rPr>
                <w:rFonts w:hint="eastAsia" w:ascii="宋体" w:hAnsi="宋体"/>
                <w:color w:val="000000"/>
                <w:sz w:val="24"/>
                <w:szCs w:val="24"/>
              </w:rPr>
              <w:t>投标人资格</w:t>
            </w:r>
            <w:r>
              <w:rPr>
                <w:rFonts w:hint="eastAsia" w:ascii="宋体" w:hAnsi="宋体"/>
                <w:color w:val="000000"/>
                <w:sz w:val="24"/>
              </w:rPr>
              <w:t>”</w:t>
            </w:r>
            <w:r>
              <w:rPr>
                <w:rFonts w:hint="eastAsia" w:ascii="宋体" w:hAnsi="宋体"/>
                <w:bCs/>
                <w:color w:val="000000"/>
                <w:sz w:val="24"/>
                <w:szCs w:val="24"/>
              </w:rPr>
              <w:t>；</w:t>
            </w:r>
          </w:p>
          <w:p>
            <w:pPr>
              <w:adjustRightInd w:val="0"/>
              <w:snapToGrid w:val="0"/>
              <w:spacing w:line="360" w:lineRule="auto"/>
              <w:ind w:right="-10"/>
              <w:jc w:val="center"/>
              <w:rPr>
                <w:rFonts w:ascii="宋体" w:hAnsi="宋体"/>
                <w:color w:val="000000"/>
                <w:sz w:val="24"/>
                <w:szCs w:val="24"/>
              </w:rPr>
            </w:pPr>
            <w:r>
              <w:rPr>
                <w:rFonts w:hint="eastAsia" w:ascii="宋体" w:hAnsi="宋体"/>
                <w:color w:val="000000"/>
                <w:sz w:val="24"/>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8</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标书响应情况</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付款响应、服务期限响应等</w:t>
            </w:r>
          </w:p>
        </w:tc>
        <w:tc>
          <w:tcPr>
            <w:tcW w:w="827" w:type="dxa"/>
            <w:vAlign w:val="center"/>
          </w:tcPr>
          <w:p>
            <w:pPr>
              <w:adjustRightInd w:val="0"/>
              <w:snapToGrid w:val="0"/>
              <w:spacing w:line="360" w:lineRule="auto"/>
              <w:ind w:right="-10"/>
              <w:jc w:val="center"/>
              <w:rPr>
                <w:rFonts w:ascii="宋体" w:hAnsi="宋体"/>
                <w:color w:val="000000"/>
                <w:sz w:val="24"/>
                <w:szCs w:val="28"/>
              </w:rPr>
            </w:pPr>
          </w:p>
        </w:tc>
        <w:tc>
          <w:tcPr>
            <w:tcW w:w="3000" w:type="dxa"/>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9</w:t>
            </w:r>
          </w:p>
        </w:tc>
        <w:tc>
          <w:tcPr>
            <w:tcW w:w="1755" w:type="dxa"/>
            <w:vAlign w:val="center"/>
          </w:tcPr>
          <w:p>
            <w:pPr>
              <w:spacing w:after="50" w:line="360" w:lineRule="auto"/>
              <w:ind w:right="-10"/>
              <w:jc w:val="center"/>
              <w:rPr>
                <w:rFonts w:ascii="宋体" w:hAnsi="宋体"/>
                <w:color w:val="000000"/>
                <w:sz w:val="24"/>
              </w:rPr>
            </w:pPr>
            <w:r>
              <w:rPr>
                <w:rFonts w:hint="eastAsia" w:ascii="宋体" w:hAnsi="宋体"/>
                <w:color w:val="000000"/>
                <w:sz w:val="24"/>
              </w:rPr>
              <w:t>样品</w:t>
            </w:r>
          </w:p>
        </w:tc>
        <w:tc>
          <w:tcPr>
            <w:tcW w:w="2859" w:type="dxa"/>
            <w:vAlign w:val="center"/>
          </w:tcPr>
          <w:p>
            <w:pPr>
              <w:pStyle w:val="24"/>
              <w:pBdr>
                <w:bottom w:val="none" w:color="auto" w:sz="0" w:space="0"/>
              </w:pBdr>
              <w:tabs>
                <w:tab w:val="clear" w:pos="4153"/>
                <w:tab w:val="clear" w:pos="8306"/>
              </w:tabs>
              <w:adjustRightInd/>
              <w:spacing w:after="50" w:line="360" w:lineRule="auto"/>
              <w:ind w:right="-10"/>
              <w:textAlignment w:val="auto"/>
              <w:rPr>
                <w:rFonts w:ascii="宋体" w:hAnsi="宋体"/>
                <w:color w:val="000000"/>
              </w:rPr>
            </w:pPr>
            <w:r>
              <w:rPr>
                <w:rFonts w:hint="eastAsia" w:ascii="宋体" w:hAnsi="宋体"/>
                <w:color w:val="000000"/>
                <w:szCs w:val="28"/>
              </w:rPr>
              <w:t>符合招标公告要求</w:t>
            </w:r>
          </w:p>
        </w:tc>
        <w:tc>
          <w:tcPr>
            <w:tcW w:w="827" w:type="dxa"/>
            <w:vAlign w:val="center"/>
          </w:tcPr>
          <w:p>
            <w:pPr>
              <w:adjustRightInd w:val="0"/>
              <w:snapToGrid w:val="0"/>
              <w:spacing w:line="360" w:lineRule="auto"/>
              <w:ind w:right="-10"/>
              <w:jc w:val="center"/>
              <w:rPr>
                <w:rFonts w:ascii="宋体" w:hAnsi="宋体"/>
                <w:color w:val="000000"/>
                <w:sz w:val="24"/>
                <w:szCs w:val="28"/>
              </w:rPr>
            </w:pPr>
          </w:p>
        </w:tc>
        <w:tc>
          <w:tcPr>
            <w:tcW w:w="3000" w:type="dxa"/>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10</w:t>
            </w:r>
          </w:p>
        </w:tc>
        <w:tc>
          <w:tcPr>
            <w:tcW w:w="1755" w:type="dxa"/>
            <w:vAlign w:val="center"/>
          </w:tcPr>
          <w:p>
            <w:pPr>
              <w:spacing w:after="50" w:line="360" w:lineRule="auto"/>
              <w:ind w:right="-10"/>
              <w:jc w:val="center"/>
              <w:rPr>
                <w:rFonts w:ascii="宋体" w:hAnsi="宋体"/>
                <w:color w:val="000000"/>
                <w:sz w:val="24"/>
              </w:rPr>
            </w:pPr>
            <w:r>
              <w:rPr>
                <w:rFonts w:hint="eastAsia" w:ascii="宋体" w:hAnsi="宋体"/>
                <w:color w:val="000000"/>
                <w:sz w:val="24"/>
              </w:rPr>
              <w:t>标书规范性</w:t>
            </w:r>
          </w:p>
        </w:tc>
        <w:tc>
          <w:tcPr>
            <w:tcW w:w="2859" w:type="dxa"/>
            <w:vAlign w:val="center"/>
          </w:tcPr>
          <w:p>
            <w:pPr>
              <w:pStyle w:val="24"/>
              <w:pBdr>
                <w:bottom w:val="none" w:color="auto" w:sz="0" w:space="0"/>
              </w:pBdr>
              <w:tabs>
                <w:tab w:val="clear" w:pos="4153"/>
                <w:tab w:val="clear" w:pos="8306"/>
              </w:tabs>
              <w:adjustRightInd/>
              <w:spacing w:after="50" w:line="360" w:lineRule="auto"/>
              <w:ind w:right="-10"/>
              <w:textAlignment w:val="auto"/>
              <w:rPr>
                <w:rFonts w:ascii="宋体" w:hAnsi="宋体"/>
                <w:color w:val="000000"/>
                <w:kern w:val="2"/>
              </w:rPr>
            </w:pPr>
            <w:r>
              <w:rPr>
                <w:rFonts w:hint="eastAsia" w:ascii="宋体" w:hAnsi="宋体"/>
                <w:color w:val="000000"/>
              </w:rPr>
              <w:t>无严重的编排混乱、内容不全或字迹模糊辨认不清、前后矛盾情况，对评标无实质性影响的</w:t>
            </w:r>
          </w:p>
        </w:tc>
        <w:tc>
          <w:tcPr>
            <w:tcW w:w="827" w:type="dxa"/>
            <w:vAlign w:val="center"/>
          </w:tcPr>
          <w:p>
            <w:pPr>
              <w:adjustRightInd w:val="0"/>
              <w:snapToGrid w:val="0"/>
              <w:spacing w:line="360" w:lineRule="auto"/>
              <w:ind w:right="-10"/>
              <w:jc w:val="center"/>
              <w:rPr>
                <w:rFonts w:ascii="宋体" w:hAnsi="宋体"/>
                <w:color w:val="000000"/>
                <w:sz w:val="24"/>
                <w:szCs w:val="28"/>
              </w:rPr>
            </w:pPr>
          </w:p>
        </w:tc>
        <w:tc>
          <w:tcPr>
            <w:tcW w:w="3000" w:type="dxa"/>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11</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其他要求</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上述指标中未列出，但国家相关法律法规或招标文件有明确规定的</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before="139" w:line="360" w:lineRule="auto"/>
              <w:jc w:val="left"/>
              <w:rPr>
                <w:rFonts w:ascii="宋体" w:hAnsi="宋体"/>
                <w:color w:val="000000"/>
                <w:sz w:val="24"/>
                <w:szCs w:val="24"/>
              </w:rPr>
            </w:pPr>
            <w:r>
              <w:rPr>
                <w:rFonts w:hint="eastAsia" w:ascii="宋体" w:hAnsi="宋体"/>
                <w:color w:val="000000"/>
                <w:sz w:val="24"/>
                <w:szCs w:val="24"/>
              </w:rPr>
              <w:t>（1）资格审查采用定性方法，符合性评审，所有评审选项必须全部通过方为合格。</w:t>
            </w:r>
          </w:p>
          <w:p>
            <w:pPr>
              <w:adjustRightInd w:val="0"/>
              <w:snapToGrid w:val="0"/>
              <w:spacing w:line="360" w:lineRule="auto"/>
              <w:ind w:right="-10"/>
              <w:jc w:val="left"/>
              <w:rPr>
                <w:rFonts w:ascii="宋体" w:hAnsi="宋体"/>
                <w:color w:val="000000"/>
                <w:sz w:val="24"/>
                <w:szCs w:val="24"/>
              </w:rPr>
            </w:pPr>
            <w:r>
              <w:rPr>
                <w:rFonts w:hint="eastAsia" w:ascii="宋体" w:hAnsi="宋体"/>
                <w:color w:val="000000"/>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jc w:val="left"/>
              <w:rPr>
                <w:rFonts w:ascii="宋体" w:hAnsi="宋体"/>
                <w:color w:val="000000"/>
                <w:sz w:val="24"/>
              </w:rPr>
            </w:pPr>
            <w:r>
              <w:rPr>
                <w:rFonts w:hint="eastAsia" w:ascii="宋体" w:hAnsi="宋体"/>
                <w:color w:val="000000"/>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360" w:lineRule="auto"/>
        <w:ind w:left="143" w:leftChars="68" w:firstLine="480" w:firstLineChars="200"/>
        <w:rPr>
          <w:rFonts w:ascii="宋体" w:hAnsi="宋体"/>
          <w:bCs/>
          <w:color w:val="000000"/>
          <w:sz w:val="24"/>
        </w:rPr>
      </w:pPr>
    </w:p>
    <w:p>
      <w:pPr>
        <w:adjustRightInd w:val="0"/>
        <w:snapToGrid w:val="0"/>
        <w:spacing w:line="360" w:lineRule="auto"/>
        <w:ind w:right="-10" w:firstLine="420" w:firstLineChars="175"/>
        <w:rPr>
          <w:rFonts w:ascii="宋体" w:hAnsi="宋体"/>
          <w:bCs/>
          <w:color w:val="000000"/>
          <w:sz w:val="24"/>
        </w:rPr>
      </w:pPr>
      <w:bookmarkStart w:id="120" w:name="_Hlk514734618"/>
      <w:r>
        <w:rPr>
          <w:rFonts w:hint="eastAsia" w:ascii="宋体" w:hAnsi="宋体"/>
          <w:bCs/>
          <w:color w:val="000000"/>
          <w:sz w:val="24"/>
        </w:rPr>
        <w:t>8</w:t>
      </w:r>
      <w:r>
        <w:rPr>
          <w:rFonts w:ascii="宋体" w:hAnsi="宋体"/>
          <w:bCs/>
          <w:color w:val="000000"/>
          <w:sz w:val="24"/>
        </w:rPr>
        <w:t>.2</w:t>
      </w:r>
      <w:r>
        <w:rPr>
          <w:rFonts w:hint="eastAsia" w:ascii="宋体" w:hAnsi="宋体"/>
          <w:bCs/>
          <w:color w:val="000000"/>
          <w:sz w:val="24"/>
        </w:rPr>
        <w:t>详细评审</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.2.1</w:t>
      </w:r>
      <w:r>
        <w:rPr>
          <w:rFonts w:hint="eastAsia" w:ascii="宋体" w:hAnsi="宋体"/>
          <w:bCs/>
          <w:color w:val="000000"/>
          <w:sz w:val="24"/>
        </w:rPr>
        <w:t>评标委员会将对所有通过初审的投标文件进行详细评审，具体如下：</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将投标人每个分值项得分进行汇总并计算出平均值，得到该投标人该分值项的得分。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szCs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8.2.2</w:t>
      </w:r>
      <w:r>
        <w:rPr>
          <w:rFonts w:hint="eastAsia" w:ascii="宋体" w:hAnsi="宋体"/>
          <w:color w:val="000000"/>
          <w:sz w:val="24"/>
          <w:szCs w:val="24"/>
        </w:rPr>
        <w:t>技术部分详细评审</w:t>
      </w:r>
      <w:r>
        <w:rPr>
          <w:rFonts w:hint="eastAsia" w:ascii="宋体" w:hAnsi="宋体"/>
          <w:bCs/>
          <w:color w:val="000000"/>
          <w:sz w:val="24"/>
        </w:rPr>
        <w:t>指标如下：</w:t>
      </w:r>
      <w:bookmarkEnd w:id="120"/>
    </w:p>
    <w:tbl>
      <w:tblPr>
        <w:tblStyle w:val="19"/>
        <w:tblW w:w="8299"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19"/>
        <w:gridCol w:w="575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299" w:type="dxa"/>
            <w:gridSpan w:val="4"/>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序号</w:t>
            </w:r>
          </w:p>
        </w:tc>
        <w:tc>
          <w:tcPr>
            <w:tcW w:w="1119" w:type="dxa"/>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指标</w:t>
            </w:r>
          </w:p>
        </w:tc>
        <w:tc>
          <w:tcPr>
            <w:tcW w:w="5753" w:type="dxa"/>
            <w:vAlign w:val="center"/>
          </w:tcPr>
          <w:p>
            <w:pPr>
              <w:adjustRightInd w:val="0"/>
              <w:snapToGrid w:val="0"/>
              <w:spacing w:line="0" w:lineRule="atLeast"/>
              <w:ind w:firstLine="482" w:firstLineChars="200"/>
              <w:jc w:val="center"/>
              <w:rPr>
                <w:rFonts w:ascii="宋体" w:hAnsi="宋体"/>
                <w:b/>
                <w:sz w:val="24"/>
                <w:szCs w:val="24"/>
              </w:rPr>
            </w:pPr>
            <w:r>
              <w:rPr>
                <w:rFonts w:hint="eastAsia" w:ascii="宋体" w:hAnsi="宋体"/>
                <w:b/>
                <w:sz w:val="24"/>
                <w:szCs w:val="24"/>
              </w:rPr>
              <w:t>指标描述</w:t>
            </w:r>
          </w:p>
        </w:tc>
        <w:tc>
          <w:tcPr>
            <w:tcW w:w="827" w:type="dxa"/>
            <w:vAlign w:val="center"/>
          </w:tcPr>
          <w:p>
            <w:pPr>
              <w:adjustRightInd w:val="0"/>
              <w:snapToGrid w:val="0"/>
              <w:spacing w:line="0" w:lineRule="atLeast"/>
              <w:jc w:val="center"/>
              <w:rPr>
                <w:rFonts w:ascii="宋体" w:hAnsi="宋体"/>
                <w:b/>
                <w:sz w:val="24"/>
                <w:szCs w:val="24"/>
              </w:rPr>
            </w:pPr>
            <w:r>
              <w:rPr>
                <w:rFonts w:hint="eastAsia" w:ascii="宋体" w:hAnsi="宋体"/>
                <w:b/>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600" w:type="dxa"/>
            <w:vAlign w:val="center"/>
          </w:tcPr>
          <w:p>
            <w:pPr>
              <w:spacing w:line="0" w:lineRule="atLeast"/>
              <w:jc w:val="center"/>
              <w:rPr>
                <w:rFonts w:ascii="宋体" w:hAnsi="宋体" w:cs="宋体"/>
                <w:bCs/>
                <w:szCs w:val="21"/>
              </w:rPr>
            </w:pPr>
            <w:r>
              <w:rPr>
                <w:rFonts w:hint="eastAsia" w:ascii="宋体" w:hAnsi="宋体" w:cs="宋体"/>
                <w:bCs/>
                <w:szCs w:val="21"/>
              </w:rPr>
              <w:t>1</w:t>
            </w:r>
          </w:p>
        </w:tc>
        <w:tc>
          <w:tcPr>
            <w:tcW w:w="1119" w:type="dxa"/>
            <w:vAlign w:val="center"/>
          </w:tcPr>
          <w:p>
            <w:pPr>
              <w:spacing w:line="360" w:lineRule="auto"/>
              <w:jc w:val="center"/>
              <w:rPr>
                <w:rFonts w:ascii="宋体" w:hAnsi="宋体" w:cs="宋体"/>
                <w:szCs w:val="21"/>
              </w:rPr>
            </w:pPr>
            <w:r>
              <w:rPr>
                <w:rFonts w:hint="eastAsia" w:ascii="宋体" w:hAnsi="宋体" w:cs="@仿宋_GB2312"/>
                <w:sz w:val="24"/>
              </w:rPr>
              <w:t>交货保障措施方案</w:t>
            </w:r>
          </w:p>
        </w:tc>
        <w:tc>
          <w:tcPr>
            <w:tcW w:w="5753" w:type="dxa"/>
            <w:vAlign w:val="center"/>
          </w:tcPr>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投标人从响应时间、交货地点、物流运输方式、紧急情况处理措施等方面提供科学合理，成熟完善的实施方案及保障措施，评标委员会进行打分：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1.方案深入详细，科学合理的，11≥F＞7分；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2.方案具有一定实用性，符合项目要求的，7≥F＞4分；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3.方案一般的,4≥F≥1分；</w:t>
            </w:r>
          </w:p>
          <w:p>
            <w:pPr>
              <w:widowControl/>
              <w:spacing w:line="360" w:lineRule="auto"/>
              <w:jc w:val="left"/>
              <w:rPr>
                <w:rFonts w:ascii="宋体" w:hAnsi="宋体" w:cs="宋体"/>
                <w:szCs w:val="21"/>
              </w:rPr>
            </w:pPr>
            <w:r>
              <w:rPr>
                <w:rFonts w:hint="eastAsia" w:ascii="宋体" w:hAnsi="宋体" w:cs="宋体"/>
                <w:bCs/>
                <w:kern w:val="0"/>
                <w:sz w:val="24"/>
                <w:szCs w:val="24"/>
              </w:rPr>
              <w:t>4.较差或未提供的不得分。</w:t>
            </w:r>
          </w:p>
          <w:p>
            <w:pPr>
              <w:spacing w:line="360" w:lineRule="auto"/>
              <w:jc w:val="left"/>
              <w:rPr>
                <w:rFonts w:ascii="宋体" w:hAnsi="宋体" w:cs="宋体"/>
                <w:kern w:val="0"/>
                <w:szCs w:val="21"/>
              </w:rPr>
            </w:pPr>
            <w:r>
              <w:rPr>
                <w:rFonts w:hint="eastAsia" w:ascii="宋体" w:hAnsi="宋体" w:cs="宋体"/>
                <w:b/>
                <w:bCs/>
                <w:kern w:val="0"/>
                <w:sz w:val="24"/>
                <w:szCs w:val="24"/>
              </w:rPr>
              <w:t>注：F为本项得分。</w:t>
            </w:r>
          </w:p>
        </w:tc>
        <w:tc>
          <w:tcPr>
            <w:tcW w:w="827" w:type="dxa"/>
            <w:vAlign w:val="center"/>
          </w:tcPr>
          <w:p>
            <w:pPr>
              <w:spacing w:line="360" w:lineRule="auto"/>
              <w:jc w:val="center"/>
              <w:rPr>
                <w:rFonts w:ascii="宋体" w:hAnsi="宋体" w:cs="宋体"/>
                <w:szCs w:val="21"/>
              </w:rPr>
            </w:pPr>
            <w:r>
              <w:rPr>
                <w:rFonts w:hint="eastAsia" w:ascii="宋体" w:hAnsi="宋体" w:cs="@仿宋_GB2312"/>
                <w:sz w:val="24"/>
                <w:szCs w:val="24"/>
              </w:rPr>
              <w:t>0-</w:t>
            </w:r>
            <w:r>
              <w:rPr>
                <w:rFonts w:hint="eastAsia" w:ascii="宋体" w:hAnsi="宋体" w:cs="宋体"/>
                <w:sz w:val="24"/>
                <w:szCs w:val="24"/>
              </w:rPr>
              <w:t>11</w:t>
            </w:r>
            <w:r>
              <w:rPr>
                <w:rFonts w:hint="eastAsia" w:ascii="宋体" w:hAnsi="宋体"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00" w:type="dxa"/>
            <w:vAlign w:val="center"/>
          </w:tcPr>
          <w:p>
            <w:pPr>
              <w:spacing w:line="0" w:lineRule="atLeast"/>
              <w:jc w:val="center"/>
              <w:rPr>
                <w:rFonts w:ascii="宋体" w:hAnsi="宋体" w:cs="宋体"/>
                <w:bCs/>
                <w:szCs w:val="21"/>
              </w:rPr>
            </w:pPr>
            <w:r>
              <w:rPr>
                <w:rFonts w:hint="eastAsia" w:ascii="宋体" w:hAnsi="宋体" w:cs="宋体"/>
                <w:bCs/>
                <w:szCs w:val="21"/>
              </w:rPr>
              <w:t>2</w:t>
            </w:r>
          </w:p>
        </w:tc>
        <w:tc>
          <w:tcPr>
            <w:tcW w:w="1119" w:type="dxa"/>
            <w:vAlign w:val="center"/>
          </w:tcPr>
          <w:p>
            <w:pPr>
              <w:spacing w:line="360" w:lineRule="auto"/>
              <w:jc w:val="center"/>
              <w:rPr>
                <w:rFonts w:ascii="宋体" w:hAnsi="宋体" w:cs="宋体"/>
                <w:szCs w:val="21"/>
              </w:rPr>
            </w:pPr>
            <w:r>
              <w:rPr>
                <w:rFonts w:hint="eastAsia" w:ascii="宋体" w:hAnsi="宋体" w:cs="@仿宋_GB2312"/>
                <w:sz w:val="24"/>
              </w:rPr>
              <w:t>售后服务方案</w:t>
            </w:r>
          </w:p>
        </w:tc>
        <w:tc>
          <w:tcPr>
            <w:tcW w:w="5753" w:type="dxa"/>
            <w:vAlign w:val="center"/>
          </w:tcPr>
          <w:p>
            <w:pPr>
              <w:spacing w:line="360" w:lineRule="auto"/>
              <w:jc w:val="left"/>
              <w:rPr>
                <w:rFonts w:ascii="宋体" w:hAnsi="宋体" w:cs="@仿宋_GB2312"/>
                <w:sz w:val="24"/>
              </w:rPr>
            </w:pPr>
            <w:r>
              <w:rPr>
                <w:rFonts w:hint="eastAsia" w:ascii="宋体" w:hAnsi="宋体" w:cs="@仿宋_GB2312"/>
                <w:sz w:val="24"/>
              </w:rPr>
              <w:t>根据投标人售后服务体系（体系完备、制度健全、有持续的备品备件供应）、售后服务承诺及优惠条件情况，提供售后服务地址、联系方式等，评标委员会进行打分：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1.方案深入详细，科学合理的，10≥F＞7分；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2.方案具有一定实用性，符合项目要求的，7≥F＞4分；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3.方案一般的,4≥F≥1分；</w:t>
            </w:r>
          </w:p>
          <w:p>
            <w:pPr>
              <w:widowControl/>
              <w:spacing w:line="360" w:lineRule="auto"/>
              <w:jc w:val="left"/>
              <w:rPr>
                <w:rFonts w:ascii="宋体" w:hAnsi="宋体" w:cs="宋体"/>
                <w:szCs w:val="21"/>
              </w:rPr>
            </w:pPr>
            <w:r>
              <w:rPr>
                <w:rFonts w:hint="eastAsia" w:ascii="宋体" w:hAnsi="宋体" w:cs="宋体"/>
                <w:bCs/>
                <w:kern w:val="0"/>
                <w:sz w:val="24"/>
                <w:szCs w:val="24"/>
              </w:rPr>
              <w:t>4.较差或未提供的不得分。</w:t>
            </w:r>
          </w:p>
          <w:p>
            <w:pPr>
              <w:spacing w:line="360" w:lineRule="auto"/>
              <w:jc w:val="left"/>
              <w:rPr>
                <w:rFonts w:ascii="宋体" w:hAnsi="宋体" w:cs="宋体"/>
                <w:kern w:val="0"/>
                <w:szCs w:val="21"/>
              </w:rPr>
            </w:pPr>
            <w:r>
              <w:rPr>
                <w:rFonts w:hint="eastAsia" w:ascii="宋体" w:hAnsi="宋体" w:cs="宋体"/>
                <w:b/>
                <w:bCs/>
                <w:kern w:val="0"/>
                <w:sz w:val="24"/>
                <w:szCs w:val="24"/>
              </w:rPr>
              <w:t>注：F为本项得分。</w:t>
            </w:r>
          </w:p>
        </w:tc>
        <w:tc>
          <w:tcPr>
            <w:tcW w:w="827" w:type="dxa"/>
            <w:vAlign w:val="center"/>
          </w:tcPr>
          <w:p>
            <w:pPr>
              <w:spacing w:line="360" w:lineRule="auto"/>
              <w:jc w:val="center"/>
              <w:rPr>
                <w:rFonts w:ascii="宋体" w:hAnsi="宋体" w:cs="宋体"/>
                <w:szCs w:val="21"/>
              </w:rPr>
            </w:pPr>
            <w:r>
              <w:rPr>
                <w:rFonts w:hint="eastAsia" w:ascii="宋体" w:hAnsi="宋体" w:cs="@仿宋_GB2312"/>
                <w:sz w:val="24"/>
                <w:szCs w:val="24"/>
              </w:rPr>
              <w:t>0-</w:t>
            </w:r>
            <w:r>
              <w:rPr>
                <w:rFonts w:hint="eastAsia" w:ascii="宋体" w:hAnsi="宋体" w:cs="宋体"/>
                <w:sz w:val="24"/>
                <w:szCs w:val="24"/>
              </w:rPr>
              <w:t>10</w:t>
            </w:r>
            <w:r>
              <w:rPr>
                <w:rFonts w:hint="eastAsia" w:ascii="宋体" w:hAnsi="宋体"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600" w:type="dxa"/>
            <w:vAlign w:val="center"/>
          </w:tcPr>
          <w:p>
            <w:pPr>
              <w:spacing w:line="0" w:lineRule="atLeast"/>
              <w:jc w:val="center"/>
              <w:rPr>
                <w:rFonts w:ascii="宋体" w:hAnsi="宋体" w:cs="宋体"/>
                <w:bCs/>
                <w:szCs w:val="21"/>
              </w:rPr>
            </w:pPr>
            <w:r>
              <w:rPr>
                <w:rFonts w:hint="eastAsia" w:ascii="宋体" w:hAnsi="宋体" w:cs="宋体"/>
                <w:bCs/>
                <w:szCs w:val="21"/>
              </w:rPr>
              <w:t>3</w:t>
            </w:r>
          </w:p>
        </w:tc>
        <w:tc>
          <w:tcPr>
            <w:tcW w:w="1119" w:type="dxa"/>
            <w:vAlign w:val="center"/>
          </w:tcPr>
          <w:p>
            <w:pPr>
              <w:spacing w:line="360" w:lineRule="auto"/>
              <w:jc w:val="center"/>
              <w:rPr>
                <w:rFonts w:ascii="宋体" w:hAnsi="宋体" w:cs="宋体"/>
                <w:szCs w:val="21"/>
              </w:rPr>
            </w:pPr>
            <w:r>
              <w:rPr>
                <w:rFonts w:hint="eastAsia" w:ascii="宋体" w:hAnsi="宋体" w:cs="@仿宋_GB2312"/>
                <w:sz w:val="24"/>
              </w:rPr>
              <w:t>投标人业绩</w:t>
            </w:r>
          </w:p>
        </w:tc>
        <w:tc>
          <w:tcPr>
            <w:tcW w:w="5753" w:type="dxa"/>
            <w:vAlign w:val="center"/>
          </w:tcPr>
          <w:p>
            <w:pPr>
              <w:spacing w:line="360" w:lineRule="auto"/>
              <w:jc w:val="left"/>
              <w:rPr>
                <w:rFonts w:ascii="宋体" w:hAnsi="宋体" w:cs="@仿宋_GB2312"/>
                <w:sz w:val="24"/>
              </w:rPr>
            </w:pPr>
            <w:r>
              <w:rPr>
                <w:rFonts w:hint="eastAsia" w:ascii="宋体" w:hAnsi="宋体" w:cs="@仿宋_GB2312"/>
                <w:sz w:val="24"/>
              </w:rPr>
              <w:t>2020年1月1日（以合同签订时间为准）以来，投标人具有单个合同总金额不少于</w:t>
            </w:r>
            <w:r>
              <w:rPr>
                <w:rFonts w:hint="eastAsia" w:ascii="宋体" w:hAnsi="宋体" w:cs="@仿宋_GB2312"/>
                <w:sz w:val="24"/>
                <w:lang w:val="en-US" w:eastAsia="zh-CN"/>
              </w:rPr>
              <w:t>6</w:t>
            </w:r>
            <w:r>
              <w:rPr>
                <w:rFonts w:hint="eastAsia" w:ascii="宋体" w:hAnsi="宋体" w:cs="@仿宋_GB2312"/>
                <w:sz w:val="24"/>
              </w:rPr>
              <w:t>万元的大瓶四液类供货业绩，每个得5分，满分15分。</w:t>
            </w:r>
          </w:p>
          <w:p>
            <w:pPr>
              <w:spacing w:line="360" w:lineRule="auto"/>
              <w:jc w:val="left"/>
              <w:rPr>
                <w:rFonts w:ascii="宋体" w:hAnsi="宋体" w:cs="@仿宋_GB2312"/>
                <w:b/>
                <w:bCs/>
                <w:sz w:val="24"/>
              </w:rPr>
            </w:pPr>
            <w:r>
              <w:rPr>
                <w:rFonts w:hint="eastAsia" w:ascii="宋体" w:hAnsi="宋体" w:cs="@仿宋_GB2312"/>
                <w:b/>
                <w:bCs/>
                <w:sz w:val="24"/>
              </w:rPr>
              <w:t>注：1.业绩要求中“不少于</w:t>
            </w:r>
            <w:r>
              <w:rPr>
                <w:rFonts w:hint="eastAsia" w:ascii="宋体" w:hAnsi="宋体" w:cs="@仿宋_GB2312"/>
                <w:b/>
                <w:bCs/>
                <w:sz w:val="24"/>
                <w:lang w:val="en-US" w:eastAsia="zh-CN"/>
              </w:rPr>
              <w:t>6</w:t>
            </w:r>
            <w:r>
              <w:rPr>
                <w:rFonts w:hint="eastAsia" w:ascii="宋体" w:hAnsi="宋体" w:cs="@仿宋_GB2312"/>
                <w:b/>
                <w:bCs/>
                <w:sz w:val="24"/>
              </w:rPr>
              <w:t>万元”指合同中大瓶四液类供货金额，大瓶四液类系指客房所用四液（洗发水、沐浴露、护发素、泡泡洗手液）；</w:t>
            </w:r>
          </w:p>
          <w:p>
            <w:pPr>
              <w:spacing w:line="360" w:lineRule="auto"/>
              <w:jc w:val="left"/>
              <w:rPr>
                <w:rFonts w:ascii="宋体" w:hAnsi="宋体" w:cs="@仿宋_GB2312"/>
                <w:b/>
                <w:bCs/>
                <w:sz w:val="24"/>
              </w:rPr>
            </w:pPr>
            <w:r>
              <w:rPr>
                <w:rFonts w:hint="eastAsia" w:ascii="宋体" w:hAnsi="宋体" w:cs="@仿宋_GB2312"/>
                <w:b/>
                <w:bCs/>
                <w:sz w:val="24"/>
              </w:rPr>
              <w:t>2.投标人提供业绩证明资料：合同扫描件；</w:t>
            </w:r>
          </w:p>
          <w:p>
            <w:pPr>
              <w:spacing w:line="360" w:lineRule="auto"/>
              <w:jc w:val="left"/>
              <w:rPr>
                <w:rFonts w:ascii="宋体" w:hAnsi="宋体" w:cs="@仿宋_GB2312"/>
                <w:b/>
                <w:bCs/>
                <w:sz w:val="24"/>
              </w:rPr>
            </w:pPr>
            <w:r>
              <w:rPr>
                <w:rFonts w:hint="eastAsia" w:ascii="宋体" w:hAnsi="宋体" w:cs="@仿宋_GB2312"/>
                <w:b/>
                <w:bCs/>
                <w:sz w:val="24"/>
              </w:rPr>
              <w:t xml:space="preserve">3.业绩合同可提供包含甲乙方、项目名称、大瓶四液类供货合同金额、合同签订时间、合同供货范围、合同签字盖章页等关键内容的关键页的扫描件； </w:t>
            </w:r>
          </w:p>
          <w:p>
            <w:pPr>
              <w:spacing w:line="360" w:lineRule="auto"/>
              <w:jc w:val="left"/>
              <w:rPr>
                <w:rFonts w:hint="eastAsia" w:ascii="宋体" w:hAnsi="宋体" w:cs="@仿宋_GB2312"/>
                <w:b/>
                <w:bCs/>
                <w:sz w:val="24"/>
              </w:rPr>
            </w:pPr>
            <w:r>
              <w:rPr>
                <w:rFonts w:hint="eastAsia" w:ascii="宋体" w:hAnsi="宋体" w:cs="@仿宋_GB2312"/>
                <w:b/>
                <w:bCs/>
                <w:sz w:val="24"/>
              </w:rPr>
              <w:t>4.以上涉及到的材料扫描件信息应完整反映评审因素（如合同签订时间、供货金额。如未能明确反映，应另附买方（或合同甲方）出具的证明资料或者合同对应期间的往来发票复印件予以明确说明和证明业绩情况。</w:t>
            </w:r>
          </w:p>
          <w:p>
            <w:pPr>
              <w:widowControl/>
              <w:spacing w:line="360" w:lineRule="auto"/>
              <w:jc w:val="left"/>
              <w:rPr>
                <w:color w:val="FF0000"/>
              </w:rPr>
            </w:pPr>
            <w:r>
              <w:rPr>
                <w:rFonts w:hint="eastAsia" w:ascii="宋体" w:hAnsi="宋体" w:cs="宋体"/>
                <w:color w:val="FF0000"/>
                <w:kern w:val="0"/>
                <w:sz w:val="24"/>
                <w:szCs w:val="24"/>
              </w:rPr>
              <w:t>备注:初审业绩不得分。</w:t>
            </w:r>
          </w:p>
        </w:tc>
        <w:tc>
          <w:tcPr>
            <w:tcW w:w="827" w:type="dxa"/>
            <w:vAlign w:val="center"/>
          </w:tcPr>
          <w:p>
            <w:pPr>
              <w:spacing w:line="360" w:lineRule="auto"/>
              <w:jc w:val="center"/>
              <w:rPr>
                <w:rFonts w:ascii="宋体" w:hAnsi="宋体" w:cs="宋体"/>
                <w:szCs w:val="21"/>
              </w:rPr>
            </w:pPr>
            <w:r>
              <w:rPr>
                <w:rFonts w:hint="eastAsia" w:ascii="宋体" w:hAnsi="宋体" w:cs="@仿宋_GB2312"/>
                <w:sz w:val="24"/>
                <w:szCs w:val="24"/>
              </w:rPr>
              <w:t>0-</w:t>
            </w:r>
            <w:r>
              <w:rPr>
                <w:rFonts w:ascii="宋体" w:hAnsi="宋体" w:cs="宋体"/>
                <w:sz w:val="24"/>
                <w:szCs w:val="24"/>
              </w:rPr>
              <w:t>15</w:t>
            </w:r>
            <w:r>
              <w:rPr>
                <w:rFonts w:hint="eastAsia" w:ascii="宋体" w:hAnsi="宋体"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00" w:type="dxa"/>
            <w:vAlign w:val="center"/>
          </w:tcPr>
          <w:p>
            <w:pPr>
              <w:spacing w:line="0" w:lineRule="atLeast"/>
              <w:jc w:val="center"/>
              <w:rPr>
                <w:rFonts w:ascii="宋体" w:hAnsi="宋体" w:cs="宋体"/>
                <w:bCs/>
                <w:szCs w:val="21"/>
              </w:rPr>
            </w:pPr>
            <w:r>
              <w:rPr>
                <w:rFonts w:hint="eastAsia" w:ascii="宋体" w:hAnsi="宋体" w:cs="宋体"/>
                <w:bCs/>
                <w:szCs w:val="21"/>
              </w:rPr>
              <w:t>4</w:t>
            </w:r>
          </w:p>
        </w:tc>
        <w:tc>
          <w:tcPr>
            <w:tcW w:w="1119" w:type="dxa"/>
            <w:vAlign w:val="center"/>
          </w:tcPr>
          <w:p>
            <w:pPr>
              <w:spacing w:line="360" w:lineRule="auto"/>
              <w:jc w:val="center"/>
              <w:rPr>
                <w:rFonts w:ascii="宋体" w:hAnsi="宋体" w:cs="宋体"/>
                <w:szCs w:val="21"/>
              </w:rPr>
            </w:pPr>
            <w:r>
              <w:rPr>
                <w:rFonts w:hint="eastAsia" w:ascii="宋体" w:hAnsi="宋体" w:cs="宋体"/>
                <w:sz w:val="24"/>
                <w:szCs w:val="24"/>
              </w:rPr>
              <w:t>投标人管理体系认证</w:t>
            </w:r>
          </w:p>
        </w:tc>
        <w:tc>
          <w:tcPr>
            <w:tcW w:w="5753" w:type="dxa"/>
            <w:vAlign w:val="center"/>
          </w:tcPr>
          <w:p>
            <w:pPr>
              <w:widowControl/>
              <w:spacing w:line="360" w:lineRule="auto"/>
              <w:jc w:val="left"/>
              <w:rPr>
                <w:rFonts w:ascii="宋体" w:hAnsi="宋体" w:cs="宋体"/>
                <w:sz w:val="24"/>
                <w:szCs w:val="24"/>
              </w:rPr>
            </w:pPr>
            <w:r>
              <w:rPr>
                <w:rFonts w:hint="eastAsia" w:ascii="宋体" w:hAnsi="宋体"/>
                <w:sz w:val="24"/>
                <w:szCs w:val="24"/>
              </w:rPr>
              <w:t>投标人具有经国家认证认可</w:t>
            </w:r>
            <w:r>
              <w:rPr>
                <w:rFonts w:hint="eastAsia" w:ascii="宋体" w:hAnsi="宋体"/>
                <w:sz w:val="24"/>
                <w:szCs w:val="24"/>
                <w:lang w:eastAsia="zh-CN"/>
              </w:rPr>
              <w:t>、</w:t>
            </w:r>
            <w:r>
              <w:rPr>
                <w:rFonts w:hint="eastAsia" w:ascii="宋体" w:hAnsi="宋体"/>
                <w:sz w:val="24"/>
                <w:szCs w:val="24"/>
              </w:rPr>
              <w:t>监督管理委员会认可</w:t>
            </w:r>
            <w:r>
              <w:rPr>
                <w:rFonts w:hint="eastAsia" w:ascii="宋体" w:hAnsi="宋体"/>
                <w:sz w:val="24"/>
                <w:szCs w:val="24"/>
                <w:lang w:eastAsia="zh-CN"/>
              </w:rPr>
              <w:t>、</w:t>
            </w:r>
            <w:r>
              <w:rPr>
                <w:rFonts w:hint="eastAsia" w:ascii="宋体" w:hAnsi="宋体"/>
                <w:sz w:val="24"/>
                <w:szCs w:val="24"/>
              </w:rPr>
              <w:t>认证机构颁发的且在有效期内的</w:t>
            </w:r>
            <w:r>
              <w:rPr>
                <w:rFonts w:hint="eastAsia" w:ascii="宋体" w:hAnsi="宋体"/>
                <w:sz w:val="24"/>
                <w:szCs w:val="24"/>
                <w:lang w:eastAsia="zh-CN"/>
              </w:rPr>
              <w:t>证书</w:t>
            </w:r>
            <w:r>
              <w:rPr>
                <w:rFonts w:hint="eastAsia" w:ascii="宋体" w:hAnsi="宋体"/>
                <w:sz w:val="24"/>
                <w:szCs w:val="24"/>
              </w:rPr>
              <w:t>：</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1.环境管理体系认证证书，得3分；</w:t>
            </w:r>
          </w:p>
          <w:p>
            <w:pPr>
              <w:widowControl/>
              <w:spacing w:line="360" w:lineRule="auto"/>
              <w:jc w:val="left"/>
              <w:rPr>
                <w:rFonts w:ascii="宋体" w:hAnsi="宋体" w:cs="宋体"/>
                <w:sz w:val="24"/>
                <w:szCs w:val="24"/>
              </w:rPr>
            </w:pPr>
            <w:r>
              <w:rPr>
                <w:rFonts w:hint="eastAsia" w:ascii="宋体" w:hAnsi="宋体" w:cs="宋体"/>
                <w:kern w:val="0"/>
                <w:sz w:val="24"/>
                <w:szCs w:val="24"/>
              </w:rPr>
              <w:t>2.质量管理体系认证证书，得3分。</w:t>
            </w:r>
          </w:p>
          <w:p>
            <w:pPr>
              <w:widowControl/>
              <w:spacing w:line="360" w:lineRule="auto"/>
              <w:jc w:val="left"/>
              <w:rPr>
                <w:rFonts w:ascii="宋体" w:hAnsi="宋体" w:cs="宋体"/>
                <w:kern w:val="0"/>
                <w:szCs w:val="21"/>
              </w:rPr>
            </w:pPr>
            <w:r>
              <w:rPr>
                <w:rFonts w:hint="eastAsia" w:ascii="宋体" w:hAnsi="宋体" w:cs="宋体"/>
                <w:b/>
                <w:bCs/>
                <w:kern w:val="0"/>
                <w:sz w:val="24"/>
                <w:szCs w:val="24"/>
              </w:rPr>
              <w:t>注：本项满分</w:t>
            </w:r>
            <w:r>
              <w:rPr>
                <w:rFonts w:hint="eastAsia" w:ascii="宋体" w:hAnsi="宋体" w:cs="宋体"/>
                <w:b/>
                <w:bCs/>
                <w:kern w:val="0"/>
                <w:sz w:val="24"/>
                <w:szCs w:val="24"/>
                <w:lang w:val="en-US" w:eastAsia="zh-CN"/>
              </w:rPr>
              <w:t>6</w:t>
            </w:r>
            <w:r>
              <w:rPr>
                <w:rFonts w:hint="eastAsia" w:ascii="宋体" w:hAnsi="宋体" w:cs="宋体"/>
                <w:b/>
                <w:bCs/>
                <w:kern w:val="0"/>
                <w:sz w:val="24"/>
                <w:szCs w:val="24"/>
              </w:rPr>
              <w:t>分。投标文件中提供上述认证证书扫描件及全国认证认可信息公共服务平台网站中证书信息查询截图。</w:t>
            </w:r>
          </w:p>
        </w:tc>
        <w:tc>
          <w:tcPr>
            <w:tcW w:w="827" w:type="dxa"/>
            <w:vAlign w:val="center"/>
          </w:tcPr>
          <w:p>
            <w:pPr>
              <w:spacing w:line="360" w:lineRule="auto"/>
              <w:jc w:val="center"/>
              <w:rPr>
                <w:rFonts w:ascii="宋体" w:hAnsi="宋体" w:cs="宋体"/>
                <w:szCs w:val="21"/>
              </w:rPr>
            </w:pPr>
            <w:r>
              <w:rPr>
                <w:rFonts w:hint="eastAsia" w:ascii="宋体" w:hAnsi="宋体" w:cs="@仿宋_GB2312"/>
                <w:sz w:val="24"/>
                <w:szCs w:val="24"/>
              </w:rPr>
              <w:t>0-</w:t>
            </w:r>
            <w:r>
              <w:rPr>
                <w:rFonts w:hint="eastAsia" w:ascii="宋体" w:hAnsi="宋体" w:cs="宋体"/>
                <w:sz w:val="24"/>
                <w:szCs w:val="24"/>
                <w:lang w:val="en-US" w:eastAsia="zh-CN"/>
              </w:rPr>
              <w:t>6</w:t>
            </w:r>
            <w:r>
              <w:rPr>
                <w:rFonts w:hint="eastAsia" w:ascii="宋体" w:hAnsi="宋体"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00" w:type="dxa"/>
            <w:vAlign w:val="center"/>
          </w:tcPr>
          <w:p>
            <w:pPr>
              <w:spacing w:line="0" w:lineRule="atLeast"/>
              <w:jc w:val="center"/>
              <w:rPr>
                <w:rFonts w:ascii="宋体" w:hAnsi="宋体" w:cs="宋体"/>
                <w:bCs/>
                <w:szCs w:val="21"/>
              </w:rPr>
            </w:pPr>
            <w:r>
              <w:rPr>
                <w:rFonts w:hint="eastAsia" w:ascii="宋体" w:hAnsi="宋体" w:cs="宋体"/>
                <w:bCs/>
                <w:szCs w:val="21"/>
              </w:rPr>
              <w:t>5</w:t>
            </w:r>
          </w:p>
        </w:tc>
        <w:tc>
          <w:tcPr>
            <w:tcW w:w="1119" w:type="dxa"/>
            <w:vAlign w:val="center"/>
          </w:tcPr>
          <w:p>
            <w:pPr>
              <w:spacing w:line="360" w:lineRule="auto"/>
              <w:jc w:val="center"/>
              <w:rPr>
                <w:rFonts w:ascii="宋体" w:hAnsi="宋体" w:cs="宋体"/>
                <w:sz w:val="24"/>
                <w:szCs w:val="24"/>
              </w:rPr>
            </w:pPr>
            <w:r>
              <w:rPr>
                <w:rFonts w:hint="eastAsia" w:ascii="宋体" w:hAnsi="宋体" w:cs="宋体"/>
                <w:sz w:val="24"/>
                <w:szCs w:val="24"/>
              </w:rPr>
              <w:t>样品评价</w:t>
            </w:r>
          </w:p>
        </w:tc>
        <w:tc>
          <w:tcPr>
            <w:tcW w:w="5753" w:type="dxa"/>
            <w:vAlign w:val="center"/>
          </w:tcPr>
          <w:p>
            <w:pPr>
              <w:widowControl/>
              <w:spacing w:line="360" w:lineRule="auto"/>
              <w:jc w:val="left"/>
              <w:rPr>
                <w:rFonts w:ascii="宋体" w:hAnsi="宋体"/>
                <w:sz w:val="24"/>
                <w:szCs w:val="24"/>
              </w:rPr>
            </w:pPr>
            <w:r>
              <w:rPr>
                <w:rFonts w:hint="eastAsia" w:ascii="宋体" w:hAnsi="宋体"/>
                <w:sz w:val="24"/>
                <w:szCs w:val="24"/>
              </w:rPr>
              <w:t>投标人提供符合招标人要求的样品。评委根据样品</w:t>
            </w:r>
            <w:r>
              <w:rPr>
                <w:rFonts w:hint="eastAsia" w:ascii="宋体" w:hAnsi="宋体"/>
                <w:sz w:val="24"/>
                <w:szCs w:val="24"/>
                <w:lang w:eastAsia="zh-CN"/>
              </w:rPr>
              <w:t>使用效果</w:t>
            </w:r>
            <w:r>
              <w:rPr>
                <w:rFonts w:hint="eastAsia" w:ascii="宋体" w:hAnsi="宋体"/>
                <w:sz w:val="24"/>
                <w:szCs w:val="24"/>
              </w:rPr>
              <w:t>、</w:t>
            </w:r>
            <w:r>
              <w:rPr>
                <w:rFonts w:hint="eastAsia" w:ascii="宋体" w:hAnsi="宋体"/>
                <w:sz w:val="24"/>
                <w:szCs w:val="24"/>
                <w:lang w:eastAsia="zh-CN"/>
              </w:rPr>
              <w:t>液体香型香味</w:t>
            </w:r>
            <w:r>
              <w:rPr>
                <w:rFonts w:hint="eastAsia" w:ascii="宋体" w:hAnsi="宋体"/>
                <w:sz w:val="24"/>
                <w:szCs w:val="24"/>
              </w:rPr>
              <w:t>、</w:t>
            </w:r>
            <w:r>
              <w:rPr>
                <w:rFonts w:hint="eastAsia" w:ascii="宋体" w:hAnsi="宋体"/>
                <w:sz w:val="24"/>
                <w:szCs w:val="24"/>
                <w:lang w:eastAsia="zh-CN"/>
              </w:rPr>
              <w:t>包装</w:t>
            </w:r>
            <w:r>
              <w:rPr>
                <w:rFonts w:hint="eastAsia" w:ascii="宋体" w:hAnsi="宋体"/>
                <w:sz w:val="24"/>
                <w:szCs w:val="24"/>
              </w:rPr>
              <w:t>设计款式进行综合打分，本项满分15分。</w:t>
            </w:r>
          </w:p>
          <w:p>
            <w:pPr>
              <w:widowControl/>
              <w:spacing w:line="360" w:lineRule="auto"/>
              <w:jc w:val="left"/>
              <w:rPr>
                <w:rFonts w:ascii="宋体" w:hAnsi="宋体"/>
                <w:b/>
                <w:bCs/>
                <w:sz w:val="24"/>
                <w:szCs w:val="24"/>
              </w:rPr>
            </w:pPr>
            <w:r>
              <w:rPr>
                <w:rFonts w:hint="eastAsia" w:ascii="宋体" w:hAnsi="宋体"/>
                <w:b/>
                <w:bCs/>
                <w:sz w:val="24"/>
                <w:szCs w:val="24"/>
                <w:lang w:eastAsia="zh-CN"/>
              </w:rPr>
              <w:t>使用效果</w:t>
            </w:r>
            <w:r>
              <w:rPr>
                <w:rFonts w:hint="eastAsia" w:ascii="宋体" w:hAnsi="宋体"/>
                <w:b/>
                <w:bCs/>
                <w:sz w:val="24"/>
                <w:szCs w:val="24"/>
              </w:rPr>
              <w:t>：</w:t>
            </w:r>
          </w:p>
          <w:p>
            <w:pPr>
              <w:widowControl/>
              <w:spacing w:line="360" w:lineRule="auto"/>
              <w:jc w:val="left"/>
              <w:rPr>
                <w:rFonts w:ascii="宋体" w:hAnsi="宋体"/>
                <w:sz w:val="24"/>
                <w:szCs w:val="24"/>
              </w:rPr>
            </w:pPr>
            <w:r>
              <w:rPr>
                <w:rFonts w:hint="eastAsia" w:ascii="宋体" w:hAnsi="宋体"/>
                <w:sz w:val="24"/>
                <w:szCs w:val="24"/>
              </w:rPr>
              <w:t>1.完全满足或优于招标人需求的：</w:t>
            </w:r>
            <w:r>
              <w:rPr>
                <w:rFonts w:hint="eastAsia" w:ascii="宋体" w:hAnsi="宋体"/>
                <w:sz w:val="24"/>
                <w:szCs w:val="24"/>
                <w:lang w:val="en-US" w:eastAsia="zh-CN"/>
              </w:rPr>
              <w:t>4</w:t>
            </w:r>
            <w:r>
              <w:rPr>
                <w:rFonts w:hint="eastAsia" w:ascii="宋体" w:hAnsi="宋体"/>
                <w:sz w:val="24"/>
                <w:szCs w:val="24"/>
              </w:rPr>
              <w:t>＜F≤</w:t>
            </w:r>
            <w:r>
              <w:rPr>
                <w:rFonts w:hint="eastAsia" w:ascii="宋体" w:hAnsi="宋体"/>
                <w:sz w:val="24"/>
                <w:szCs w:val="24"/>
                <w:lang w:val="en-US" w:eastAsia="zh-CN"/>
              </w:rPr>
              <w:t>6</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2.基本满足的：2＜F≤</w:t>
            </w:r>
            <w:r>
              <w:rPr>
                <w:rFonts w:hint="eastAsia" w:ascii="宋体" w:hAnsi="宋体"/>
                <w:sz w:val="24"/>
                <w:szCs w:val="24"/>
                <w:lang w:val="en-US" w:eastAsia="zh-CN"/>
              </w:rPr>
              <w:t>4</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3.一般的：0＜F≤2分。</w:t>
            </w:r>
          </w:p>
          <w:p>
            <w:pPr>
              <w:widowControl/>
              <w:spacing w:line="360" w:lineRule="auto"/>
              <w:jc w:val="left"/>
              <w:rPr>
                <w:rFonts w:ascii="宋体" w:hAnsi="宋体"/>
                <w:b/>
                <w:bCs/>
                <w:sz w:val="24"/>
                <w:szCs w:val="24"/>
              </w:rPr>
            </w:pPr>
            <w:r>
              <w:rPr>
                <w:rFonts w:hint="eastAsia" w:ascii="宋体" w:hAnsi="宋体"/>
                <w:b/>
                <w:bCs/>
                <w:sz w:val="24"/>
                <w:szCs w:val="24"/>
                <w:lang w:eastAsia="zh-CN"/>
              </w:rPr>
              <w:t>液体香型香味</w:t>
            </w:r>
            <w:r>
              <w:rPr>
                <w:rFonts w:hint="eastAsia" w:ascii="宋体" w:hAnsi="宋体"/>
                <w:b/>
                <w:bCs/>
                <w:sz w:val="24"/>
                <w:szCs w:val="24"/>
              </w:rPr>
              <w:t>：</w:t>
            </w:r>
          </w:p>
          <w:p>
            <w:pPr>
              <w:widowControl/>
              <w:spacing w:line="360" w:lineRule="auto"/>
              <w:jc w:val="left"/>
              <w:rPr>
                <w:rFonts w:ascii="宋体" w:hAnsi="宋体"/>
                <w:sz w:val="24"/>
                <w:szCs w:val="24"/>
              </w:rPr>
            </w:pPr>
            <w:r>
              <w:rPr>
                <w:rFonts w:hint="eastAsia" w:ascii="宋体" w:hAnsi="宋体"/>
                <w:sz w:val="24"/>
                <w:szCs w:val="24"/>
              </w:rPr>
              <w:t>1.完全满足或优于招标人需求的：</w:t>
            </w:r>
            <w:r>
              <w:rPr>
                <w:rFonts w:hint="eastAsia" w:ascii="宋体" w:hAnsi="宋体"/>
                <w:sz w:val="24"/>
                <w:szCs w:val="24"/>
                <w:lang w:val="en-US" w:eastAsia="zh-CN"/>
              </w:rPr>
              <w:t>4</w:t>
            </w:r>
            <w:r>
              <w:rPr>
                <w:rFonts w:hint="eastAsia" w:ascii="宋体" w:hAnsi="宋体"/>
                <w:sz w:val="24"/>
                <w:szCs w:val="24"/>
              </w:rPr>
              <w:t>＜F≤</w:t>
            </w:r>
            <w:r>
              <w:rPr>
                <w:rFonts w:hint="eastAsia" w:ascii="宋体" w:hAnsi="宋体"/>
                <w:sz w:val="24"/>
                <w:szCs w:val="24"/>
                <w:lang w:val="en-US" w:eastAsia="zh-CN"/>
              </w:rPr>
              <w:t>6</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2.基本满足的：2＜F≤</w:t>
            </w:r>
            <w:r>
              <w:rPr>
                <w:rFonts w:hint="eastAsia" w:ascii="宋体" w:hAnsi="宋体"/>
                <w:sz w:val="24"/>
                <w:szCs w:val="24"/>
                <w:lang w:val="en-US" w:eastAsia="zh-CN"/>
              </w:rPr>
              <w:t>4</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3.一般的：0＜F≤2分。</w:t>
            </w:r>
          </w:p>
          <w:p>
            <w:pPr>
              <w:widowControl/>
              <w:spacing w:line="360" w:lineRule="auto"/>
              <w:jc w:val="left"/>
              <w:rPr>
                <w:rFonts w:ascii="宋体" w:hAnsi="宋体"/>
                <w:b/>
                <w:bCs/>
                <w:sz w:val="24"/>
                <w:szCs w:val="24"/>
              </w:rPr>
            </w:pPr>
            <w:r>
              <w:rPr>
                <w:rFonts w:hint="eastAsia" w:ascii="宋体" w:hAnsi="宋体"/>
                <w:b/>
                <w:bCs/>
                <w:sz w:val="24"/>
                <w:szCs w:val="24"/>
                <w:lang w:eastAsia="zh-CN"/>
              </w:rPr>
              <w:t>包装</w:t>
            </w:r>
            <w:r>
              <w:rPr>
                <w:rFonts w:hint="eastAsia" w:ascii="宋体" w:hAnsi="宋体"/>
                <w:b/>
                <w:bCs/>
                <w:sz w:val="24"/>
                <w:szCs w:val="24"/>
              </w:rPr>
              <w:t>设计款式：</w:t>
            </w:r>
          </w:p>
          <w:p>
            <w:pPr>
              <w:widowControl/>
              <w:spacing w:line="360" w:lineRule="auto"/>
              <w:jc w:val="left"/>
              <w:rPr>
                <w:rFonts w:ascii="宋体" w:hAnsi="宋体"/>
                <w:sz w:val="24"/>
                <w:szCs w:val="24"/>
              </w:rPr>
            </w:pPr>
            <w:r>
              <w:rPr>
                <w:rFonts w:hint="eastAsia" w:ascii="宋体" w:hAnsi="宋体"/>
                <w:sz w:val="24"/>
                <w:szCs w:val="24"/>
              </w:rPr>
              <w:t>1.完全满足或优于招标人需求的：</w:t>
            </w:r>
            <w:r>
              <w:rPr>
                <w:rFonts w:hint="eastAsia" w:ascii="宋体" w:hAnsi="宋体"/>
                <w:sz w:val="24"/>
                <w:szCs w:val="24"/>
                <w:lang w:val="en-US" w:eastAsia="zh-CN"/>
              </w:rPr>
              <w:t>4</w:t>
            </w:r>
            <w:r>
              <w:rPr>
                <w:rFonts w:hint="eastAsia" w:ascii="宋体" w:hAnsi="宋体"/>
                <w:sz w:val="24"/>
                <w:szCs w:val="24"/>
              </w:rPr>
              <w:t>＜F≤</w:t>
            </w:r>
            <w:r>
              <w:rPr>
                <w:rFonts w:hint="eastAsia" w:ascii="宋体" w:hAnsi="宋体"/>
                <w:sz w:val="24"/>
                <w:szCs w:val="24"/>
                <w:lang w:val="en-US" w:eastAsia="zh-CN"/>
              </w:rPr>
              <w:t>6</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2.基本满足的：2＜F≤</w:t>
            </w:r>
            <w:r>
              <w:rPr>
                <w:rFonts w:hint="eastAsia" w:ascii="宋体" w:hAnsi="宋体"/>
                <w:sz w:val="24"/>
                <w:szCs w:val="24"/>
                <w:lang w:val="en-US" w:eastAsia="zh-CN"/>
              </w:rPr>
              <w:t>4</w:t>
            </w:r>
            <w:r>
              <w:rPr>
                <w:rFonts w:hint="eastAsia" w:ascii="宋体" w:hAnsi="宋体"/>
                <w:sz w:val="24"/>
                <w:szCs w:val="24"/>
              </w:rPr>
              <w:t>分；</w:t>
            </w:r>
          </w:p>
          <w:p>
            <w:pPr>
              <w:widowControl/>
              <w:spacing w:line="360" w:lineRule="auto"/>
              <w:jc w:val="left"/>
              <w:rPr>
                <w:rFonts w:ascii="宋体" w:hAnsi="宋体"/>
                <w:sz w:val="24"/>
                <w:szCs w:val="24"/>
              </w:rPr>
            </w:pPr>
            <w:r>
              <w:rPr>
                <w:rFonts w:hint="eastAsia" w:ascii="宋体" w:hAnsi="宋体"/>
                <w:sz w:val="24"/>
                <w:szCs w:val="24"/>
              </w:rPr>
              <w:t>3.一般的：0＜F≤2分。</w:t>
            </w:r>
          </w:p>
          <w:p>
            <w:pPr>
              <w:widowControl/>
              <w:spacing w:line="360" w:lineRule="auto"/>
              <w:jc w:val="left"/>
              <w:rPr>
                <w:rFonts w:ascii="宋体" w:hAnsi="宋体" w:cs="宋体"/>
                <w:kern w:val="0"/>
                <w:szCs w:val="21"/>
              </w:rPr>
            </w:pPr>
            <w:r>
              <w:rPr>
                <w:rFonts w:hint="eastAsia" w:ascii="宋体" w:hAnsi="宋体"/>
                <w:b/>
                <w:bCs/>
                <w:sz w:val="24"/>
                <w:szCs w:val="24"/>
              </w:rPr>
              <w:t>注：未提供样品的不得分，F为本项得分，检测报告不作为本项评分内容。</w:t>
            </w:r>
          </w:p>
        </w:tc>
        <w:tc>
          <w:tcPr>
            <w:tcW w:w="827" w:type="dxa"/>
            <w:vAlign w:val="center"/>
          </w:tcPr>
          <w:p>
            <w:pPr>
              <w:widowControl/>
              <w:spacing w:line="360" w:lineRule="auto"/>
              <w:jc w:val="left"/>
              <w:rPr>
                <w:rFonts w:ascii="宋体" w:hAnsi="宋体" w:cs="宋体"/>
                <w:szCs w:val="21"/>
              </w:rPr>
            </w:pPr>
            <w:r>
              <w:rPr>
                <w:rFonts w:hint="eastAsia" w:ascii="宋体" w:hAnsi="宋体"/>
                <w:sz w:val="24"/>
                <w:szCs w:val="24"/>
              </w:rPr>
              <w:t>0-</w:t>
            </w:r>
            <w:r>
              <w:rPr>
                <w:rFonts w:hint="eastAsia" w:ascii="宋体" w:hAnsi="宋体"/>
                <w:sz w:val="24"/>
                <w:szCs w:val="24"/>
                <w:lang w:val="en-US" w:eastAsia="zh-CN"/>
              </w:rPr>
              <w:t>18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00" w:type="dxa"/>
            <w:vAlign w:val="center"/>
          </w:tcPr>
          <w:p>
            <w:pPr>
              <w:spacing w:line="0" w:lineRule="atLeast"/>
              <w:jc w:val="center"/>
              <w:rPr>
                <w:rFonts w:ascii="宋体" w:hAnsi="宋体" w:cs="宋体"/>
                <w:bCs/>
                <w:szCs w:val="21"/>
              </w:rPr>
            </w:pPr>
          </w:p>
        </w:tc>
        <w:tc>
          <w:tcPr>
            <w:tcW w:w="1119" w:type="dxa"/>
            <w:vAlign w:val="center"/>
          </w:tcPr>
          <w:p>
            <w:pPr>
              <w:spacing w:line="0" w:lineRule="atLeast"/>
              <w:rPr>
                <w:rFonts w:ascii="宋体" w:hAnsi="宋体" w:cs="宋体"/>
                <w:szCs w:val="21"/>
              </w:rPr>
            </w:pPr>
            <w:r>
              <w:rPr>
                <w:rFonts w:hint="eastAsia" w:ascii="宋体" w:hAnsi="宋体" w:cs="宋体"/>
                <w:szCs w:val="21"/>
              </w:rPr>
              <w:t>合计</w:t>
            </w:r>
          </w:p>
        </w:tc>
        <w:tc>
          <w:tcPr>
            <w:tcW w:w="5753" w:type="dxa"/>
            <w:vAlign w:val="center"/>
          </w:tcPr>
          <w:p>
            <w:pPr>
              <w:spacing w:line="0" w:lineRule="atLeast"/>
              <w:rPr>
                <w:rFonts w:ascii="宋体" w:hAnsi="宋体" w:cs="宋体"/>
                <w:kern w:val="0"/>
                <w:szCs w:val="21"/>
              </w:rPr>
            </w:pPr>
          </w:p>
        </w:tc>
        <w:tc>
          <w:tcPr>
            <w:tcW w:w="827" w:type="dxa"/>
            <w:vAlign w:val="center"/>
          </w:tcPr>
          <w:p>
            <w:pPr>
              <w:spacing w:line="0" w:lineRule="atLeast"/>
              <w:jc w:val="center"/>
              <w:rPr>
                <w:rFonts w:ascii="宋体" w:hAnsi="宋体" w:cs="宋体"/>
                <w:szCs w:val="21"/>
              </w:rPr>
            </w:pPr>
            <w:r>
              <w:rPr>
                <w:rFonts w:hint="eastAsia" w:ascii="宋体" w:hAnsi="宋体" w:cs="宋体"/>
                <w:szCs w:val="21"/>
              </w:rPr>
              <w:t>60分</w:t>
            </w:r>
          </w:p>
        </w:tc>
      </w:tr>
    </w:tbl>
    <w:p>
      <w:pPr>
        <w:pStyle w:val="2"/>
        <w:ind w:firstLine="640"/>
      </w:pPr>
    </w:p>
    <w:p>
      <w:pPr>
        <w:spacing w:line="360" w:lineRule="auto"/>
        <w:rPr>
          <w:rFonts w:ascii="宋体" w:hAnsi="宋体"/>
          <w:b/>
          <w:color w:val="000000"/>
          <w:sz w:val="24"/>
          <w:szCs w:val="28"/>
        </w:rPr>
      </w:pPr>
      <w:r>
        <w:rPr>
          <w:rFonts w:hint="eastAsia" w:ascii="宋体" w:hAnsi="宋体"/>
          <w:b/>
          <w:color w:val="000000"/>
          <w:sz w:val="24"/>
          <w:szCs w:val="28"/>
        </w:rPr>
        <w:t>8.3商务部分得分计算</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依据通过初审的有效投标人名单，其投标人的商务部分得分按照以下方式计算：</w:t>
      </w:r>
    </w:p>
    <w:tbl>
      <w:tblPr>
        <w:tblStyle w:val="19"/>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054"/>
        <w:gridCol w:w="651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31" w:type="dxa"/>
            <w:vAlign w:val="center"/>
          </w:tcPr>
          <w:p>
            <w:pPr>
              <w:spacing w:line="360" w:lineRule="auto"/>
              <w:rPr>
                <w:rFonts w:ascii="宋体" w:hAnsi="宋体" w:cs="宋体"/>
                <w:sz w:val="24"/>
                <w:szCs w:val="24"/>
              </w:rPr>
            </w:pPr>
            <w:r>
              <w:rPr>
                <w:rFonts w:hint="eastAsia" w:ascii="宋体" w:hAnsi="宋体" w:cs="宋体"/>
                <w:sz w:val="24"/>
                <w:szCs w:val="24"/>
              </w:rPr>
              <w:t>商务部分</w:t>
            </w:r>
          </w:p>
        </w:tc>
        <w:tc>
          <w:tcPr>
            <w:tcW w:w="1054" w:type="dxa"/>
            <w:vAlign w:val="center"/>
          </w:tcPr>
          <w:p>
            <w:pPr>
              <w:spacing w:line="360" w:lineRule="auto"/>
              <w:jc w:val="left"/>
              <w:rPr>
                <w:rFonts w:ascii="宋体" w:hAnsi="宋体" w:cs="宋体"/>
                <w:sz w:val="24"/>
                <w:szCs w:val="24"/>
              </w:rPr>
            </w:pPr>
            <w:r>
              <w:rPr>
                <w:rFonts w:hint="eastAsia" w:ascii="宋体" w:hAnsi="宋体" w:cs="宋体"/>
                <w:sz w:val="24"/>
                <w:szCs w:val="24"/>
              </w:rPr>
              <w:t>最终投标报价</w:t>
            </w:r>
          </w:p>
        </w:tc>
        <w:tc>
          <w:tcPr>
            <w:tcW w:w="6511" w:type="dxa"/>
            <w:vAlign w:val="center"/>
          </w:tcPr>
          <w:p>
            <w:pPr>
              <w:spacing w:line="360" w:lineRule="auto"/>
              <w:rPr>
                <w:rFonts w:ascii="宋体" w:hAnsi="宋体" w:cs="宋体"/>
                <w:sz w:val="24"/>
                <w:szCs w:val="24"/>
              </w:rPr>
            </w:pPr>
            <w:r>
              <w:rPr>
                <w:rFonts w:hint="eastAsia" w:ascii="宋体" w:hAnsi="宋体" w:cs="宋体"/>
                <w:sz w:val="24"/>
                <w:szCs w:val="24"/>
              </w:rPr>
              <w:t>价格分统一采用有效最低价法，即满足招标文件要求且投标价格最低的投标报价为评标基准价，其价格分为满分。其他投标人的价格分统一按照下列公式计算：投标报价得分＝（评标基准价/投标报价）×40％×100</w:t>
            </w:r>
          </w:p>
        </w:tc>
        <w:tc>
          <w:tcPr>
            <w:tcW w:w="1079" w:type="dxa"/>
            <w:vAlign w:val="center"/>
          </w:tcPr>
          <w:p>
            <w:pPr>
              <w:widowControl/>
              <w:spacing w:line="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0-</w:t>
            </w:r>
            <w:r>
              <w:rPr>
                <w:rFonts w:hint="eastAsia" w:ascii="宋体" w:hAnsi="宋体" w:cs="宋体"/>
                <w:bCs/>
                <w:color w:val="000000"/>
                <w:kern w:val="0"/>
                <w:sz w:val="24"/>
                <w:szCs w:val="24"/>
                <w:u w:val="single"/>
              </w:rPr>
              <w:t>40</w:t>
            </w:r>
            <w:r>
              <w:rPr>
                <w:rFonts w:hint="eastAsia" w:ascii="宋体" w:hAnsi="宋体" w:cs="宋体"/>
                <w:bCs/>
                <w:color w:val="000000"/>
                <w:kern w:val="0"/>
                <w:sz w:val="24"/>
                <w:szCs w:val="24"/>
              </w:rPr>
              <w:t>分</w:t>
            </w:r>
          </w:p>
        </w:tc>
      </w:tr>
    </w:tbl>
    <w:p>
      <w:pPr>
        <w:pStyle w:val="2"/>
        <w:ind w:firstLine="640"/>
      </w:pP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szCs w:val="24"/>
        </w:rPr>
        <w:t>8.4确定中标候选人</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.4.1</w:t>
      </w:r>
      <w:r>
        <w:rPr>
          <w:rFonts w:hint="eastAsia" w:ascii="宋体" w:hAnsi="宋体"/>
          <w:bCs/>
          <w:color w:val="000000"/>
          <w:sz w:val="24"/>
        </w:rPr>
        <w:t>计算最终得分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将每个有效投标人的技术部分得分加商务部分得分，得出该投标人的最终得分。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.4.2</w:t>
      </w:r>
      <w:r>
        <w:rPr>
          <w:rFonts w:hint="eastAsia" w:ascii="宋体" w:hAnsi="宋体"/>
          <w:bCs/>
          <w:color w:val="000000"/>
          <w:sz w:val="24"/>
        </w:rPr>
        <w:t>按照有效投标人最终得分由高到低排出中标候选人。</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最终得分相同的，按技术部分得分由高到低顺序排序。技术部分得分及最终得分均相同的，则采取评标委员会抽签方式确定其前后次序。</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各投标人的得分一经得出，并核对无误后，任何人不得更改。</w:t>
      </w:r>
    </w:p>
    <w:p>
      <w:pPr>
        <w:pStyle w:val="3"/>
        <w:spacing w:line="360" w:lineRule="auto"/>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color w:val="000000"/>
          <w:sz w:val="24"/>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w:t>
      </w:r>
      <w:r>
        <w:rPr>
          <w:rFonts w:hint="eastAsia" w:ascii="宋体" w:hAnsi="宋体"/>
          <w:sz w:val="24"/>
          <w:szCs w:val="28"/>
        </w:rPr>
        <w:t>人有关的</w:t>
      </w:r>
      <w:r>
        <w:rPr>
          <w:rFonts w:hint="eastAsia" w:ascii="宋体" w:hAnsi="宋体"/>
          <w:bCs/>
          <w:color w:val="000000"/>
          <w:sz w:val="24"/>
        </w:rPr>
        <w:t>单位和个人。</w:t>
      </w:r>
    </w:p>
    <w:p>
      <w:pPr>
        <w:rPr>
          <w:color w:val="000000"/>
        </w:rPr>
      </w:pPr>
      <w:bookmarkStart w:id="121" w:name="_Toc220232391"/>
    </w:p>
    <w:p>
      <w:pPr>
        <w:pStyle w:val="6"/>
        <w:spacing w:line="500" w:lineRule="exact"/>
        <w:rPr>
          <w:rFonts w:ascii="宋体" w:hAnsi="宋体" w:eastAsia="宋体"/>
          <w:color w:val="000000"/>
        </w:rPr>
      </w:pPr>
      <w:bookmarkStart w:id="122" w:name="_Toc3205"/>
      <w:bookmarkStart w:id="123" w:name="_Toc19242"/>
      <w:bookmarkStart w:id="124" w:name="_Toc5630"/>
      <w:bookmarkStart w:id="125" w:name="_Toc9905"/>
      <w:bookmarkStart w:id="126" w:name="_Toc520280132"/>
      <w:r>
        <w:rPr>
          <w:rFonts w:hint="eastAsia" w:ascii="宋体" w:hAnsi="宋体" w:eastAsia="宋体"/>
          <w:color w:val="000000"/>
        </w:rPr>
        <w:t xml:space="preserve">第六章 </w:t>
      </w:r>
      <w:r>
        <w:rPr>
          <w:rFonts w:ascii="宋体" w:hAnsi="宋体" w:eastAsia="宋体"/>
          <w:color w:val="000000"/>
        </w:rPr>
        <w:t>合同格式及主要条款</w:t>
      </w:r>
      <w:bookmarkEnd w:id="122"/>
      <w:bookmarkEnd w:id="123"/>
      <w:bookmarkEnd w:id="124"/>
      <w:bookmarkEnd w:id="125"/>
    </w:p>
    <w:bookmarkEnd w:id="121"/>
    <w:bookmarkEnd w:id="126"/>
    <w:p>
      <w:pPr>
        <w:adjustRightInd w:val="0"/>
        <w:snapToGrid w:val="0"/>
        <w:spacing w:line="520" w:lineRule="exact"/>
        <w:ind w:firstLine="482" w:firstLineChars="200"/>
        <w:rPr>
          <w:rFonts w:ascii="仿宋_GB2312" w:hAnsi="宋体" w:eastAsia="仿宋_GB2312"/>
          <w:b/>
          <w:bCs/>
          <w:color w:val="000000"/>
          <w:sz w:val="24"/>
        </w:rPr>
      </w:pPr>
      <w:bookmarkStart w:id="127" w:name="_Hlk47980575"/>
      <w:bookmarkStart w:id="128" w:name="_Toc7262"/>
      <w:bookmarkStart w:id="129" w:name="_Toc520280133"/>
      <w:r>
        <w:rPr>
          <w:rFonts w:hint="eastAsia" w:ascii="仿宋_GB2312" w:hAnsi="宋体" w:eastAsia="仿宋_GB2312"/>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rPr>
          <w:rFonts w:ascii="仿宋_GB2312" w:hAnsi="宋体" w:eastAsia="仿宋_GB2312"/>
          <w:b/>
          <w:bCs/>
          <w:color w:val="000000"/>
          <w:sz w:val="13"/>
          <w:szCs w:val="13"/>
        </w:rPr>
      </w:pPr>
    </w:p>
    <w:bookmarkEnd w:id="127"/>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eastAsia="仿宋_GB2312" w:hAnsiTheme="minorEastAsia" w:cstheme="minorEastAsia"/>
          <w:color w:val="000000" w:themeColor="text1"/>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》及其他有关法律、行政法规，遵循平等、自愿、公平和诚实信用的原则，双方经协商，就【酒店大瓶四液类】供货事项协商一致，订立本合同。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1.1本合同生效后，乙方即为甲方选定合格供应商。但双方确认，本合同的签订，并不意味着本采购项目所需的产品全部由乙方供应，甲方有权根据实际情况另行向其他供应方采购。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但应当提前通知乙方。乙方按甲方要求于约定时间内送货至指定地点，以满足甲方的经营需要。</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1.3乙方不得因市场调价或自身经营原因或断货理由调换或拒绝送交甲方要求的货物，乙方以上述理由迟延或者未向甲方交付货物的，仍视为乙方违约，乙方应当按照本合同第六条的约定向甲方承担违约责任。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本合同附件载明的数量仅为预计采购量，实际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ascii="仿宋_GB2312" w:hAnsi="宋体" w:eastAsia="仿宋_GB2312"/>
          <w:b/>
          <w:bCs/>
          <w:color w:val="000000"/>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第三条 商品的价格和结算方式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3.1商品的单价以甲乙方双方共同确定的价格为准（详见本合同附件</w:t>
      </w:r>
      <w:r>
        <w:rPr>
          <w:rFonts w:hint="eastAsia" w:ascii="仿宋_GB2312" w:hAnsi="宋体" w:eastAsia="仿宋_GB2312"/>
          <w:b/>
          <w:bCs/>
          <w:color w:val="000000"/>
          <w:sz w:val="24"/>
          <w:szCs w:val="24"/>
        </w:rPr>
        <w:t>《采购清单》</w:t>
      </w:r>
      <w:r>
        <w:rPr>
          <w:rFonts w:hint="eastAsia" w:ascii="仿宋_GB2312" w:hAnsi="宋体" w:eastAsia="仿宋_GB2312"/>
          <w:color w:val="000000"/>
          <w:sz w:val="24"/>
          <w:szCs w:val="24"/>
        </w:rPr>
        <w:t>），该价格作为最终的结算价。合同单价包括但不限于材料费、人工费、运输费、保险费、包装费、利润、</w:t>
      </w:r>
      <w:r>
        <w:rPr>
          <w:rFonts w:hint="eastAsia" w:ascii="仿宋" w:hAnsi="仿宋" w:eastAsia="仿宋" w:cs="仿宋"/>
          <w:color w:val="0000FF"/>
          <w:sz w:val="24"/>
        </w:rPr>
        <w:t>安装/调试费（如有）、</w:t>
      </w:r>
      <w:r>
        <w:rPr>
          <w:rFonts w:hint="eastAsia" w:ascii="仿宋_GB2312" w:hAnsi="宋体" w:eastAsia="仿宋_GB2312"/>
          <w:color w:val="000000"/>
          <w:sz w:val="24"/>
          <w:szCs w:val="24"/>
        </w:rPr>
        <w:t>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olor w:val="000000"/>
          <w:sz w:val="24"/>
          <w:szCs w:val="24"/>
          <w:u w:val="single"/>
        </w:rPr>
      </w:pPr>
      <w:r>
        <w:rPr>
          <w:rFonts w:hint="eastAsia" w:ascii="仿宋_GB2312" w:hAnsi="宋体" w:eastAsia="仿宋_GB2312"/>
          <w:color w:val="000000"/>
          <w:sz w:val="24"/>
          <w:szCs w:val="24"/>
        </w:rPr>
        <w:t>3.2本合同暂定总价款为：</w:t>
      </w:r>
      <w:r>
        <w:rPr>
          <w:rFonts w:hint="eastAsia" w:ascii="仿宋_GB2312" w:hAnsi="宋体" w:eastAsia="仿宋_GB2312"/>
          <w:color w:val="000000"/>
          <w:sz w:val="24"/>
          <w:szCs w:val="24"/>
          <w:u w:val="single"/>
        </w:rPr>
        <w:t xml:space="preserve">         元/年。</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结算方式：据实结算，先货后款。每月15日之前，甲乙双方对上个月的供货清单、供货数量及货款金额进行核对，经甲方在供货清单的对账表上盖章确认后乙方提供等额合法有效的发票，甲方收到发票后，采取隔月付款的方式向乙方支付货款额，即甲方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乙方开具的发票应直接交到甲方财务部，不得将发票随货交给甲方其他人员。若乙方未提供有效发票，则甲方有权拒绝付款，且不承担违约责任。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3.3乙方指定收款账户的名称须是乙方单位，开具的发票单位也须是乙方单位。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3.4特别约定：因本项目招标概算为【  】万/年，且本合同暂定总价款为【   】元，故在本合同履行期间，如乙方供货金额达到【   】元，甲方有权单方面解除本合同，且无须承担违约责任。</w:t>
      </w:r>
    </w:p>
    <w:p>
      <w:pPr>
        <w:adjustRightInd w:val="0"/>
        <w:snapToGrid w:val="0"/>
        <w:spacing w:line="520" w:lineRule="exact"/>
        <w:ind w:firstLine="482" w:firstLineChars="200"/>
        <w:rPr>
          <w:rFonts w:ascii="仿宋_GB2312" w:hAnsi="宋体" w:eastAsia="仿宋_GB2312"/>
          <w:b/>
          <w:bCs/>
          <w:color w:val="000000"/>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第四条 商品包装及运输</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保质期及保质条件等之规定，否则甲方有权拒收。</w:t>
      </w:r>
    </w:p>
    <w:p>
      <w:pPr>
        <w:adjustRightInd w:val="0"/>
        <w:snapToGrid w:val="0"/>
        <w:spacing w:line="520" w:lineRule="exact"/>
        <w:ind w:firstLine="480" w:firstLineChars="200"/>
        <w:rPr>
          <w:rFonts w:ascii="仿宋_GB2312" w:hAnsi="宋体" w:eastAsia="仿宋_GB2312"/>
          <w:b/>
          <w:bCs/>
          <w:color w:val="000000"/>
          <w:sz w:val="24"/>
          <w:szCs w:val="24"/>
        </w:rPr>
      </w:pPr>
      <w:r>
        <w:rPr>
          <w:rFonts w:hint="eastAsia" w:ascii="仿宋_GB2312" w:hAnsi="宋体" w:eastAsia="仿宋_GB2312" w:cs="宋体"/>
          <w:color w:val="000000"/>
          <w:sz w:val="24"/>
        </w:rPr>
        <w:t>4.2</w:t>
      </w:r>
      <w:r>
        <w:rPr>
          <w:rFonts w:hint="eastAsia" w:ascii="仿宋" w:hAnsi="仿宋" w:eastAsia="仿宋" w:cs="仿宋"/>
          <w:sz w:val="24"/>
        </w:rPr>
        <w:t>乙方负责装货、运输，将货物安全运抵交货目的地并卸载。乙方负责自付费用办理全部货物从工厂发运至交货目的地全过程的保险（如需）及保护事宜，运途期间所有责任由乙方自行负责。货到甲方现场并经甲方验收合格之前，货物损坏、灭失的风险由乙方承担。</w:t>
      </w:r>
    </w:p>
    <w:p>
      <w:pPr>
        <w:adjustRightInd w:val="0"/>
        <w:snapToGrid w:val="0"/>
        <w:spacing w:line="520" w:lineRule="exact"/>
        <w:ind w:left="479" w:leftChars="228"/>
        <w:rPr>
          <w:rFonts w:ascii="仿宋_GB2312" w:hAnsi="宋体" w:eastAsia="仿宋_GB2312"/>
          <w:b/>
          <w:bCs/>
          <w:color w:val="000000"/>
          <w:sz w:val="24"/>
          <w:szCs w:val="24"/>
        </w:rPr>
      </w:pPr>
      <w:r>
        <w:rPr>
          <w:rFonts w:hint="eastAsia" w:ascii="仿宋_GB2312" w:hAnsi="宋体" w:eastAsia="仿宋_GB2312"/>
          <w:b/>
          <w:bCs/>
          <w:color w:val="000000"/>
          <w:sz w:val="24"/>
          <w:szCs w:val="24"/>
        </w:rPr>
        <w:br w:type="textWrapping"/>
      </w:r>
      <w:r>
        <w:rPr>
          <w:rFonts w:hint="eastAsia" w:ascii="仿宋_GB2312" w:hAnsi="宋体" w:eastAsia="仿宋_GB2312"/>
          <w:b/>
          <w:bCs/>
          <w:color w:val="000000"/>
          <w:sz w:val="24"/>
          <w:szCs w:val="24"/>
        </w:rPr>
        <w:t>第五条 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5.1乙方按甲方备货单要求交货前，应提供能确认该批次商品质量合格的检验报告，并将下列证件及其他一切必要的文件随之一并交付甲方：</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如甲方发现交付的商品缺乏上述证明文件或证明文件与商品不符或商品质量不合格的，甲方有权拒收、要求退货、换货。</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5.2质保期：乙方所供产品生产日期需在供货之日前3个月内，经甲方初步验收合格之日剩余质保期至少为壹年，法律法规或生产厂家等对质保期的规定长于壹年的，以较长期限为准。</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5.3乙方应保证其供应的商品符合中华人民共和国法律、法规、部门规章、地方性法规、行政命令、各行业规范的规定、国家标准和行业标准及甲方要求，以上标准不一致的，以较高者为准。</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5.4货到甲方指定地点后，乙方应</w:t>
      </w:r>
      <w:r>
        <w:rPr>
          <w:rFonts w:hint="eastAsia" w:ascii="仿宋" w:hAnsi="仿宋" w:eastAsia="仿宋" w:cs="仿宋"/>
          <w:sz w:val="24"/>
        </w:rPr>
        <w:t>派人到现场配合甲方在合理期限内完成</w:t>
      </w:r>
      <w:r>
        <w:rPr>
          <w:rFonts w:hint="eastAsia" w:ascii="仿宋_GB2312" w:hAnsi="宋体" w:eastAsia="仿宋_GB2312"/>
          <w:color w:val="000000"/>
          <w:sz w:val="24"/>
          <w:szCs w:val="24"/>
        </w:rPr>
        <w:t>对商品的数量、种类的</w:t>
      </w:r>
      <w:r>
        <w:rPr>
          <w:rFonts w:hint="eastAsia" w:ascii="仿宋" w:hAnsi="仿宋" w:eastAsia="仿宋" w:cs="仿宋"/>
          <w:sz w:val="24"/>
        </w:rPr>
        <w:t>初步检验，</w:t>
      </w:r>
      <w:r>
        <w:rPr>
          <w:rFonts w:hint="eastAsia" w:ascii="仿宋_GB2312" w:hAnsi="宋体" w:eastAsia="仿宋_GB2312"/>
          <w:color w:val="000000"/>
          <w:sz w:val="24"/>
          <w:szCs w:val="24"/>
        </w:rPr>
        <w:t>初步验收合格后，由双方在订单上签字确认，最终确认的订单为每月</w:t>
      </w:r>
      <w:r>
        <w:rPr>
          <w:rFonts w:hint="eastAsia" w:ascii="仿宋_GB2312" w:hAnsi="宋体" w:eastAsia="仿宋_GB2312"/>
          <w:b/>
          <w:bCs/>
          <w:color w:val="000000"/>
          <w:sz w:val="24"/>
          <w:szCs w:val="24"/>
        </w:rPr>
        <w:t>《供货清单》</w:t>
      </w:r>
      <w:r>
        <w:rPr>
          <w:rFonts w:hint="eastAsia" w:ascii="仿宋_GB2312" w:hAnsi="宋体" w:eastAsia="仿宋_GB2312"/>
          <w:color w:val="000000"/>
          <w:sz w:val="24"/>
          <w:szCs w:val="24"/>
        </w:rPr>
        <w:t>的有效组成部分。</w:t>
      </w:r>
      <w:r>
        <w:rPr>
          <w:rFonts w:hint="eastAsia" w:ascii="仿宋" w:hAnsi="仿宋" w:eastAsia="仿宋" w:cs="仿宋"/>
          <w:sz w:val="24"/>
        </w:rPr>
        <w:t>如乙方不能按时到达现场，应当向甲方出具授权书，授权甲方自行开箱检验。若乙方不能按时到达现场，又无授权通知时，甲方有权自行开箱检验，并对缺件、质量损坏等情况做出记录。</w:t>
      </w:r>
    </w:p>
    <w:p>
      <w:pPr>
        <w:adjustRightInd w:val="0"/>
        <w:snapToGrid w:val="0"/>
        <w:spacing w:line="520" w:lineRule="exact"/>
        <w:ind w:firstLine="480" w:firstLineChars="200"/>
      </w:pPr>
      <w:r>
        <w:rPr>
          <w:rFonts w:hint="eastAsia" w:ascii="仿宋_GB2312" w:hAnsi="宋体" w:eastAsia="仿宋_GB2312"/>
          <w:color w:val="000000"/>
          <w:sz w:val="24"/>
          <w:szCs w:val="24"/>
        </w:rPr>
        <w:t>5.5乙方应承担的商品质量瑕疵担保责任。货到甲方后，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5.6乙方必须对甲方承担商品售后服务责任。</w:t>
      </w:r>
    </w:p>
    <w:p>
      <w:pPr>
        <w:adjustRightInd w:val="0"/>
        <w:snapToGrid w:val="0"/>
        <w:spacing w:line="520" w:lineRule="exact"/>
        <w:ind w:firstLine="480" w:firstLineChars="200"/>
        <w:rPr>
          <w:rFonts w:ascii="仿宋" w:hAnsi="仿宋" w:eastAsia="仿宋" w:cs="仿宋"/>
          <w:color w:val="0000FF"/>
          <w:sz w:val="24"/>
        </w:rPr>
      </w:pPr>
      <w:r>
        <w:rPr>
          <w:rFonts w:hint="eastAsia" w:ascii="仿宋_GB2312" w:hAnsi="宋体" w:eastAsia="仿宋_GB2312"/>
          <w:color w:val="0000FF"/>
          <w:sz w:val="24"/>
          <w:szCs w:val="24"/>
        </w:rPr>
        <w:t>5.7</w:t>
      </w:r>
      <w:r>
        <w:rPr>
          <w:rFonts w:hint="eastAsia" w:ascii="仿宋" w:hAnsi="仿宋" w:eastAsia="仿宋" w:cs="仿宋"/>
          <w:color w:val="0000FF"/>
          <w:sz w:val="24"/>
        </w:rPr>
        <w:t>若乙方提供样品的，乙方实际供应的设备（包括零部件）还应不低于经甲方确认的样品品质。</w:t>
      </w:r>
    </w:p>
    <w:p>
      <w:pPr>
        <w:adjustRightInd w:val="0"/>
        <w:snapToGrid w:val="0"/>
        <w:spacing w:line="520" w:lineRule="exact"/>
        <w:ind w:firstLine="480" w:firstLineChars="200"/>
        <w:rPr>
          <w:rFonts w:ascii="仿宋" w:hAnsi="仿宋" w:eastAsia="仿宋" w:cs="仿宋"/>
          <w:color w:val="0000FF"/>
          <w:sz w:val="24"/>
        </w:rPr>
      </w:pPr>
      <w:r>
        <w:rPr>
          <w:rFonts w:hint="eastAsia" w:ascii="仿宋" w:hAnsi="仿宋" w:eastAsia="仿宋" w:cs="仿宋"/>
          <w:color w:val="0000FF"/>
          <w:sz w:val="24"/>
        </w:rPr>
        <w:t>5.8乙方对其向甲方提供的全部货物保证如下：</w:t>
      </w:r>
    </w:p>
    <w:p>
      <w:pPr>
        <w:adjustRightInd w:val="0"/>
        <w:snapToGrid w:val="0"/>
        <w:spacing w:line="520" w:lineRule="exact"/>
        <w:ind w:firstLine="480" w:firstLineChars="200"/>
        <w:rPr>
          <w:rFonts w:ascii="仿宋" w:hAnsi="仿宋" w:eastAsia="仿宋" w:cs="仿宋"/>
          <w:color w:val="0000FF"/>
          <w:sz w:val="24"/>
        </w:rPr>
      </w:pPr>
      <w:r>
        <w:rPr>
          <w:rFonts w:hint="eastAsia" w:ascii="仿宋" w:hAnsi="仿宋" w:eastAsia="仿宋" w:cs="仿宋"/>
          <w:color w:val="0000FF"/>
          <w:sz w:val="24"/>
        </w:rPr>
        <w:t>（1）货物是采用优质材料及先进工艺所制造的原厂出品的新品。</w:t>
      </w:r>
    </w:p>
    <w:p>
      <w:pPr>
        <w:adjustRightInd w:val="0"/>
        <w:snapToGrid w:val="0"/>
        <w:spacing w:line="520" w:lineRule="exact"/>
        <w:ind w:firstLine="480" w:firstLineChars="200"/>
        <w:rPr>
          <w:rFonts w:ascii="仿宋" w:hAnsi="仿宋" w:eastAsia="仿宋" w:cs="仿宋"/>
          <w:color w:val="0000FF"/>
          <w:sz w:val="24"/>
        </w:rPr>
      </w:pPr>
      <w:r>
        <w:rPr>
          <w:rFonts w:hint="eastAsia" w:ascii="仿宋" w:hAnsi="仿宋" w:eastAsia="仿宋" w:cs="仿宋"/>
          <w:color w:val="0000FF"/>
          <w:sz w:val="24"/>
        </w:rPr>
        <w:t>（2）货物在原产地、质量、规格及性能等方面符合本合同有关规定的要求。</w:t>
      </w:r>
    </w:p>
    <w:p>
      <w:pPr>
        <w:pStyle w:val="2"/>
        <w:ind w:firstLine="640"/>
      </w:pPr>
    </w:p>
    <w:p>
      <w:pPr>
        <w:adjustRightInd w:val="0"/>
        <w:snapToGrid w:val="0"/>
        <w:spacing w:line="520" w:lineRule="exact"/>
        <w:rPr>
          <w:rFonts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第六条 违约责任</w:t>
      </w:r>
    </w:p>
    <w:p>
      <w:pPr>
        <w:numPr>
          <w:ilvl w:val="255"/>
          <w:numId w:val="0"/>
        </w:num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逾期交付违约责任：乙方未按约定时间按时供货，每延期一天，向甲方支付该批迟延交付货物价款的千分之一的违约金。若因乙方原因造成退货、换货，乙方亦应当在甲方订单中指定的交货时间之前向甲方交付合格产品，否则应按本条约定承担逾期交付违约责任。</w:t>
      </w:r>
    </w:p>
    <w:p>
      <w:pPr>
        <w:numPr>
          <w:ilvl w:val="255"/>
          <w:numId w:val="0"/>
        </w:num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6.2出现下列情形之一的，甲方有权解除合同，</w:t>
      </w:r>
      <w:r>
        <w:rPr>
          <w:rFonts w:hint="eastAsia" w:ascii="仿宋_GB2312" w:hAnsi="宋体" w:eastAsia="仿宋_GB2312" w:cs="宋体"/>
          <w:color w:val="000000"/>
          <w:sz w:val="24"/>
        </w:rPr>
        <w:t>乙方应当按合同暂定总价款的5％支付违约金，违约金不足以弥补甲方损失的需继续予以补足</w:t>
      </w:r>
      <w:r>
        <w:rPr>
          <w:rFonts w:hint="eastAsia" w:ascii="仿宋_GB2312" w:hAnsi="宋体" w:eastAsia="仿宋_GB2312"/>
          <w:color w:val="000000"/>
          <w:sz w:val="24"/>
          <w:szCs w:val="24"/>
        </w:rPr>
        <w:t>：</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乙方所提供的产品存在质量问题或者不符合合同约定或国家现行质量标准或行业标准的；</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乙方提供的货物不符合本合同或甲方订单的要求；</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乙方提供假冒伪劣商品或已临近失效期（或保鲜期）及超过保质期、保鲜期的商品给甲方，或者以假充真，以次充好；</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乙方提供的产品存在侵权行为；</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olor w:val="000000"/>
          <w:sz w:val="24"/>
          <w:szCs w:val="24"/>
        </w:rPr>
        <w:t>逾期交货超20天或者出现3次及以上逾期交货情形的；</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乙方违反本合同其他约定，经甲方催告后10日内仍未整改的；</w:t>
      </w:r>
    </w:p>
    <w:p>
      <w:pPr>
        <w:adjustRightInd w:val="0"/>
        <w:snapToGrid w:val="0"/>
        <w:spacing w:line="520" w:lineRule="exact"/>
        <w:ind w:firstLine="480" w:firstLineChars="200"/>
        <w:rPr>
          <w:rFonts w:ascii="仿宋" w:hAnsi="仿宋" w:eastAsia="仿宋" w:cs="仿宋"/>
          <w:color w:val="000000"/>
          <w:sz w:val="24"/>
          <w:szCs w:val="24"/>
        </w:rPr>
      </w:pPr>
      <w:r>
        <w:rPr>
          <w:rFonts w:hint="eastAsia" w:ascii="仿宋_GB2312" w:hAnsi="宋体" w:eastAsia="仿宋_GB2312" w:cs="宋体"/>
          <w:color w:val="000000"/>
          <w:sz w:val="24"/>
        </w:rPr>
        <w:t>若出现上述（1）（2）（3）（4）情形之一，</w:t>
      </w:r>
      <w:r>
        <w:rPr>
          <w:rFonts w:hint="eastAsia" w:ascii="仿宋_GB2312" w:hAnsi="宋体" w:eastAsia="仿宋_GB2312"/>
          <w:color w:val="000000"/>
          <w:sz w:val="24"/>
          <w:szCs w:val="24"/>
        </w:rPr>
        <w:t>甲方有权拒收、要求乙方退货/换货</w:t>
      </w:r>
      <w:r>
        <w:rPr>
          <w:rFonts w:hint="eastAsia" w:ascii="仿宋_GB2312" w:hAnsi="宋体" w:eastAsia="仿宋_GB2312" w:cs="宋体"/>
          <w:color w:val="000000"/>
          <w:sz w:val="24"/>
        </w:rPr>
        <w:t>。</w:t>
      </w:r>
      <w:r>
        <w:rPr>
          <w:rFonts w:hint="eastAsia" w:ascii="仿宋" w:hAnsi="仿宋" w:eastAsia="仿宋" w:cs="仿宋"/>
          <w:color w:val="000000"/>
          <w:sz w:val="24"/>
          <w:szCs w:val="24"/>
        </w:rPr>
        <w:t>如因前述问题导致甲方被第三方投诉、索赔或提起诉讼，由此导致应由甲方承担包括诉讼费、律师费、鉴定费、保全费在内的一切经济损失、商誉损失及其它任何损失，甲方享有向乙方全额追偿的权利。</w:t>
      </w:r>
    </w:p>
    <w:p>
      <w:pPr>
        <w:numPr>
          <w:ilvl w:val="255"/>
          <w:numId w:val="0"/>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若甲方要求换货，乙方应自收到甲方通知之日起的【  】日内予以更换；如更换后仍不能达到甲方有关规定的要求，乙方应退还甲方相应货款。</w:t>
      </w:r>
    </w:p>
    <w:p>
      <w:pPr>
        <w:numPr>
          <w:ilvl w:val="255"/>
          <w:numId w:val="0"/>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若甲方要求退货，乙方应自收到甲方通知之日起的【  】日内将相关产品撤离。对该批货物，若甲方已付款，则乙方应当在【  】日内将对应价款退还甲方。若乙方未按时退还，甲方有权在应付乙方的货款中扣除相应费用。</w:t>
      </w:r>
    </w:p>
    <w:p>
      <w:pPr>
        <w:numPr>
          <w:ilvl w:val="255"/>
          <w:numId w:val="0"/>
        </w:num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6.3因乙方违约造成甲方损失的，乙方应赔偿甲方为维护自身合法权益而支出的包括但不限于仲裁费/诉讼费、律师费、鉴定费、保全费、担保费、差旅费、文印费、诉讼保全保险费等一切支出。</w:t>
      </w:r>
    </w:p>
    <w:p>
      <w:pPr>
        <w:adjustRightInd w:val="0"/>
        <w:snapToGrid w:val="0"/>
        <w:spacing w:line="520" w:lineRule="exact"/>
        <w:rPr>
          <w:rFonts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第七条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暂定总价款20%向甲方进行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暂定总价款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7.4乙方应采取必要措施保证其员工无论是在职中还是离职后均承担同样的保密义务。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7.5本协议变更、解除和终止后保密条款对双方仍有约束力。</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第八条 合同期限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rPr>
        <w:t>4】年【】月【】日止。合同期限届满后，如乙方需续约，应在合同期限届满前提前30日向甲方提出书面申请，双方可协商一致续签下一年度合同，最多可续签两次。</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第九条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甲方确认的通讯送达地址：合肥市蜀山区祁门路1799号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收件人：胡素云      联系电话：18856989056</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130"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130"/>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olor w:val="000000"/>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第十一条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0" w:firstLineChars="200"/>
        <w:rPr>
          <w:rFonts w:ascii="仿宋_GB2312" w:hAnsi="宋体" w:eastAsia="仿宋_GB2312"/>
          <w:color w:val="000000"/>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第十二条 履约保证金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.1履约保证金为合同含税</w:t>
      </w:r>
      <w:r>
        <w:rPr>
          <w:rFonts w:hint="eastAsia" w:ascii="仿宋_GB2312" w:eastAsia="仿宋_GB2312" w:hAnsiTheme="minorEastAsia" w:cstheme="minorEastAsia"/>
          <w:b/>
          <w:bCs/>
          <w:color w:val="000000" w:themeColor="text1"/>
          <w:sz w:val="24"/>
          <w:szCs w:val="24"/>
        </w:rPr>
        <w:t>暂定</w:t>
      </w:r>
      <w:r>
        <w:rPr>
          <w:rFonts w:ascii="仿宋_GB2312" w:eastAsia="仿宋_GB2312" w:hAnsiTheme="minorEastAsia" w:cstheme="minorEastAsia"/>
          <w:b/>
          <w:bCs/>
          <w:color w:val="000000" w:themeColor="text1"/>
          <w:sz w:val="24"/>
          <w:szCs w:val="24"/>
        </w:rPr>
        <w:t>总价的</w:t>
      </w:r>
      <w:r>
        <w:rPr>
          <w:rFonts w:hint="eastAsia" w:ascii="仿宋_GB2312" w:eastAsia="仿宋_GB2312" w:hAnsiTheme="minorEastAsia" w:cstheme="minorEastAsia"/>
          <w:b/>
          <w:bCs/>
          <w:color w:val="000000" w:themeColor="text1"/>
          <w:sz w:val="24"/>
          <w:szCs w:val="24"/>
        </w:rPr>
        <w:t>【/】</w:t>
      </w:r>
      <w:r>
        <w:rPr>
          <w:rFonts w:ascii="仿宋_GB2312" w:eastAsia="仿宋_GB2312" w:hAnsiTheme="minorEastAsia" w:cstheme="minorEastAsia"/>
          <w:b/>
          <w:bCs/>
          <w:color w:val="000000" w:themeColor="text1"/>
          <w:sz w:val="24"/>
          <w:szCs w:val="24"/>
        </w:rPr>
        <w:t>%，</w:t>
      </w:r>
      <w:r>
        <w:rPr>
          <w:rFonts w:hint="eastAsia" w:ascii="仿宋_GB2312" w:eastAsia="仿宋_GB2312" w:hAnsiTheme="minorEastAsia" w:cstheme="minorEastAsia"/>
          <w:b/>
          <w:bCs/>
          <w:color w:val="000000" w:themeColor="text1"/>
          <w:sz w:val="24"/>
          <w:szCs w:val="24"/>
        </w:rPr>
        <w:t>乙方</w:t>
      </w:r>
      <w:r>
        <w:rPr>
          <w:rFonts w:ascii="仿宋_GB2312" w:eastAsia="仿宋_GB2312" w:hAnsiTheme="minorEastAsia" w:cstheme="minorEastAsia"/>
          <w:b/>
          <w:bCs/>
          <w:color w:val="000000" w:themeColor="text1"/>
          <w:sz w:val="24"/>
          <w:szCs w:val="24"/>
        </w:rPr>
        <w:t>应在本合同签订后【</w:t>
      </w:r>
      <w:r>
        <w:rPr>
          <w:rFonts w:hint="eastAsia" w:ascii="仿宋_GB2312" w:eastAsia="仿宋_GB2312" w:hAnsiTheme="minorEastAsia" w:cstheme="minorEastAsia"/>
          <w:b/>
          <w:bCs/>
          <w:color w:val="000000" w:themeColor="text1"/>
          <w:sz w:val="24"/>
          <w:szCs w:val="24"/>
        </w:rPr>
        <w:t>/</w:t>
      </w:r>
      <w:r>
        <w:rPr>
          <w:rFonts w:ascii="仿宋_GB2312" w:eastAsia="仿宋_GB2312" w:hAnsiTheme="minorEastAsia" w:cstheme="minorEastAsia"/>
          <w:b/>
          <w:bCs/>
          <w:color w:val="000000" w:themeColor="text1"/>
          <w:sz w:val="24"/>
          <w:szCs w:val="24"/>
        </w:rPr>
        <w:t>】内向</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支付履约保证金。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.2如果</w:t>
      </w:r>
      <w:r>
        <w:rPr>
          <w:rFonts w:hint="eastAsia" w:ascii="仿宋_GB2312" w:eastAsia="仿宋_GB2312" w:hAnsiTheme="minorEastAsia" w:cstheme="minorEastAsia"/>
          <w:b/>
          <w:bCs/>
          <w:color w:val="000000" w:themeColor="text1"/>
          <w:sz w:val="24"/>
          <w:szCs w:val="24"/>
        </w:rPr>
        <w:t>乙方</w:t>
      </w:r>
      <w:r>
        <w:rPr>
          <w:rFonts w:ascii="仿宋_GB2312" w:eastAsia="仿宋_GB2312" w:hAnsiTheme="minorEastAsia" w:cstheme="minorEastAsia"/>
          <w:b/>
          <w:bCs/>
          <w:color w:val="000000" w:themeColor="text1"/>
          <w:sz w:val="24"/>
          <w:szCs w:val="24"/>
        </w:rPr>
        <w:t>未能如约履行合同，按本合同的约定应当承担违约金或者给</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造成损失的，</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有权从履约保证金中扣除相应违约金、损失赔偿金。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.3履约保证金在</w:t>
      </w:r>
      <w:r>
        <w:rPr>
          <w:rFonts w:hint="eastAsia" w:ascii="仿宋_GB2312" w:eastAsia="仿宋_GB2312" w:hAnsiTheme="minorEastAsia" w:cstheme="minorEastAsia"/>
          <w:b/>
          <w:bCs/>
          <w:color w:val="000000" w:themeColor="text1"/>
          <w:sz w:val="24"/>
          <w:szCs w:val="24"/>
        </w:rPr>
        <w:t>本合同履行</w:t>
      </w:r>
      <w:r>
        <w:rPr>
          <w:rFonts w:ascii="仿宋_GB2312" w:eastAsia="仿宋_GB2312" w:hAnsiTheme="minorEastAsia" w:cstheme="minorEastAsia"/>
          <w:b/>
          <w:bCs/>
          <w:color w:val="000000" w:themeColor="text1"/>
          <w:sz w:val="24"/>
          <w:szCs w:val="24"/>
        </w:rPr>
        <w:t>期满</w:t>
      </w:r>
      <w:r>
        <w:rPr>
          <w:rFonts w:hint="eastAsia" w:ascii="仿宋_GB2312" w:eastAsia="仿宋_GB2312" w:hAnsiTheme="minorEastAsia" w:cstheme="minorEastAsia"/>
          <w:b/>
          <w:bCs/>
          <w:color w:val="000000" w:themeColor="text1"/>
          <w:sz w:val="24"/>
          <w:szCs w:val="24"/>
        </w:rPr>
        <w:t>且不续约</w:t>
      </w:r>
      <w:r>
        <w:rPr>
          <w:rFonts w:ascii="仿宋_GB2312" w:eastAsia="仿宋_GB2312" w:hAnsiTheme="minorEastAsia" w:cstheme="minorEastAsia"/>
          <w:b/>
          <w:bCs/>
          <w:color w:val="000000" w:themeColor="text1"/>
          <w:sz w:val="24"/>
          <w:szCs w:val="24"/>
        </w:rPr>
        <w:t>后【30】日内，无息退还。</w:t>
      </w:r>
    </w:p>
    <w:p>
      <w:pPr>
        <w:pStyle w:val="8"/>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 xml:space="preserve">第十三条 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13.1.3甲方要求提供的其它资料；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13.2乙方承诺每年供货款总额的2%用于购买甲方产品（如甲方端午礼包、新年礼包、中秋月饼等）。</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13.3.乙方免费提供并安装固定在墙面的支架+钥匙（大约410个，具体以实际安装需求为准）。</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14.1本合同经甲、乙双方法定代表人或授权代表签名（加注合同签订日期）、盖章后生效。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14.2本合同正本一式【4】份，甲方执【3】份，乙方执【1】份，均具有同等法律效力。</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14.3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（1）本合同及其补充合同、变更协议；</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（2）成交（中标）通知书；</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（3）经甲方确认的乙方承诺书；</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（4）招标文件/竞争性磋商文件（含澄清或者修改文件）；</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（5）投标文件；</w:t>
      </w:r>
    </w:p>
    <w:p>
      <w:pPr>
        <w:pStyle w:val="31"/>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（6）其他相关采购文件。</w:t>
      </w:r>
    </w:p>
    <w:p/>
    <w:p>
      <w:pPr>
        <w:pStyle w:val="31"/>
        <w:rPr>
          <w:lang w:val="en-US"/>
        </w:rPr>
      </w:pPr>
    </w:p>
    <w:p>
      <w:pPr>
        <w:pStyle w:val="31"/>
        <w:rPr>
          <w:lang w:val="en-US"/>
        </w:rPr>
      </w:pPr>
      <w:r>
        <w:rPr>
          <w:rFonts w:hint="eastAsia"/>
          <w:lang w:val="en-US"/>
        </w:rPr>
        <w:t>附件：采购清单（以中标结果为准）</w:t>
      </w:r>
    </w:p>
    <w:tbl>
      <w:tblPr>
        <w:tblStyle w:val="1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序号</w:t>
            </w:r>
          </w:p>
        </w:tc>
        <w:tc>
          <w:tcPr>
            <w:tcW w:w="1138"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产品名称</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品牌</w:t>
            </w:r>
          </w:p>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商标</w:t>
            </w:r>
          </w:p>
        </w:tc>
        <w:tc>
          <w:tcPr>
            <w:tcW w:w="85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规格型号</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产地</w:t>
            </w:r>
          </w:p>
        </w:tc>
        <w:tc>
          <w:tcPr>
            <w:tcW w:w="85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生产厂家</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计量</w:t>
            </w:r>
          </w:p>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单位</w:t>
            </w:r>
          </w:p>
        </w:tc>
        <w:tc>
          <w:tcPr>
            <w:tcW w:w="1446"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数量（暂定）</w:t>
            </w:r>
          </w:p>
        </w:tc>
        <w:tc>
          <w:tcPr>
            <w:tcW w:w="964"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单价（元）</w:t>
            </w:r>
          </w:p>
        </w:tc>
        <w:tc>
          <w:tcPr>
            <w:tcW w:w="1345"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暂定金额（元）</w:t>
            </w:r>
          </w:p>
        </w:tc>
        <w:tc>
          <w:tcPr>
            <w:tcW w:w="72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ascii="仿宋" w:hAnsi="仿宋" w:eastAsia="仿宋" w:cs="仿宋"/>
                <w:bCs/>
                <w:spacing w:val="4"/>
                <w:szCs w:val="21"/>
              </w:rPr>
            </w:pPr>
            <w:r>
              <w:rPr>
                <w:rFonts w:hint="eastAsia" w:ascii="仿宋" w:hAnsi="仿宋" w:eastAsia="仿宋" w:cs="仿宋"/>
                <w:bCs/>
                <w:spacing w:val="4"/>
                <w:szCs w:val="21"/>
              </w:rPr>
              <w:t xml:space="preserve">暂定合计人民币金额（大写）：                 （小写）： </w:t>
            </w:r>
          </w:p>
        </w:tc>
      </w:tr>
    </w:tbl>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Pr>
        <w:pStyle w:val="2"/>
        <w:rPr>
          <w:rFonts w:ascii="Arial" w:hAnsi="Arial" w:cs="Calibri"/>
          <w:b/>
          <w:bCs/>
          <w:sz w:val="32"/>
          <w:szCs w:val="32"/>
        </w:rPr>
      </w:pPr>
    </w:p>
    <w:p/>
    <w:p>
      <w:pPr>
        <w:pStyle w:val="6"/>
        <w:numPr>
          <w:ilvl w:val="0"/>
          <w:numId w:val="4"/>
        </w:numPr>
        <w:spacing w:line="500" w:lineRule="exact"/>
        <w:rPr>
          <w:rFonts w:ascii="宋体" w:hAnsi="宋体" w:eastAsia="宋体"/>
          <w:color w:val="000000"/>
        </w:rPr>
      </w:pPr>
      <w:bookmarkStart w:id="131" w:name="_Toc16928"/>
      <w:bookmarkStart w:id="132" w:name="_Toc12216"/>
      <w:bookmarkStart w:id="133" w:name="_Toc31594"/>
      <w:r>
        <w:rPr>
          <w:rFonts w:hint="eastAsia" w:ascii="宋体" w:hAnsi="宋体" w:eastAsia="宋体"/>
          <w:color w:val="000000"/>
        </w:rPr>
        <w:t>投标文件格式</w:t>
      </w:r>
      <w:bookmarkEnd w:id="128"/>
      <w:bookmarkEnd w:id="129"/>
      <w:bookmarkEnd w:id="131"/>
      <w:bookmarkEnd w:id="132"/>
      <w:bookmarkEnd w:id="133"/>
    </w:p>
    <w:p/>
    <w:p>
      <w:pPr>
        <w:keepNext/>
        <w:keepLines/>
        <w:spacing w:before="120" w:after="120" w:line="400" w:lineRule="exact"/>
        <w:jc w:val="center"/>
        <w:outlineLvl w:val="1"/>
        <w:rPr>
          <w:rFonts w:ascii="Arial" w:hAnsi="Arial" w:cs="Calibri"/>
          <w:b/>
          <w:bCs/>
          <w:color w:val="000000"/>
          <w:sz w:val="32"/>
          <w:szCs w:val="32"/>
        </w:rPr>
      </w:pPr>
      <w:bookmarkStart w:id="134" w:name="_Toc100995630"/>
      <w:r>
        <w:rPr>
          <w:rFonts w:hint="eastAsia" w:ascii="Arial" w:hAnsi="Arial" w:cs="Calibri"/>
          <w:b/>
          <w:bCs/>
          <w:color w:val="000000"/>
          <w:sz w:val="32"/>
          <w:szCs w:val="32"/>
        </w:rPr>
        <w:t>评审因素索引表</w:t>
      </w:r>
      <w:bookmarkEnd w:id="134"/>
    </w:p>
    <w:p>
      <w:pPr>
        <w:jc w:val="center"/>
        <w:rPr>
          <w:rFonts w:ascii="Calibri" w:hAnsi="Calibri"/>
          <w:color w:val="000000"/>
          <w:sz w:val="24"/>
        </w:rPr>
      </w:pPr>
    </w:p>
    <w:tbl>
      <w:tblPr>
        <w:tblStyle w:val="19"/>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color w:val="000000"/>
                <w:sz w:val="24"/>
              </w:rPr>
            </w:pPr>
            <w:bookmarkStart w:id="135" w:name="_Toc256691567"/>
            <w:bookmarkStart w:id="136" w:name="_Toc256695443"/>
            <w:r>
              <w:rPr>
                <w:rFonts w:hint="eastAsia" w:ascii="Calibri" w:hAnsi="Calibri"/>
                <w:b/>
                <w:color w:val="000000"/>
                <w:sz w:val="24"/>
              </w:rPr>
              <w:t>序号</w:t>
            </w:r>
            <w:bookmarkEnd w:id="135"/>
            <w:bookmarkEnd w:id="136"/>
          </w:p>
        </w:tc>
        <w:tc>
          <w:tcPr>
            <w:tcW w:w="4820" w:type="dxa"/>
            <w:vAlign w:val="center"/>
          </w:tcPr>
          <w:p>
            <w:pPr>
              <w:jc w:val="center"/>
              <w:rPr>
                <w:rFonts w:ascii="Calibri" w:hAnsi="Calibri"/>
                <w:b/>
                <w:color w:val="000000"/>
                <w:sz w:val="24"/>
              </w:rPr>
            </w:pPr>
            <w:bookmarkStart w:id="137" w:name="_Toc256691568"/>
            <w:bookmarkStart w:id="138" w:name="_Toc256695444"/>
            <w:r>
              <w:rPr>
                <w:rFonts w:hint="eastAsia" w:ascii="Calibri" w:hAnsi="Calibri"/>
                <w:b/>
                <w:color w:val="000000"/>
                <w:sz w:val="24"/>
              </w:rPr>
              <w:t>评审因素</w:t>
            </w:r>
            <w:bookmarkEnd w:id="137"/>
            <w:bookmarkEnd w:id="138"/>
          </w:p>
        </w:tc>
        <w:tc>
          <w:tcPr>
            <w:tcW w:w="3649" w:type="dxa"/>
            <w:vAlign w:val="center"/>
          </w:tcPr>
          <w:p>
            <w:pPr>
              <w:jc w:val="center"/>
              <w:rPr>
                <w:rFonts w:ascii="Calibri" w:hAnsi="Calibri"/>
                <w:b/>
                <w:color w:val="000000"/>
                <w:sz w:val="24"/>
              </w:rPr>
            </w:pPr>
            <w:bookmarkStart w:id="139" w:name="_Toc256691569"/>
            <w:bookmarkStart w:id="140" w:name="_Toc256695445"/>
            <w:r>
              <w:rPr>
                <w:rFonts w:hint="eastAsia" w:ascii="Calibri" w:hAnsi="Calibri"/>
                <w:b/>
                <w:color w:val="000000"/>
                <w:sz w:val="24"/>
              </w:rPr>
              <w:t>投标文件页码范围</w:t>
            </w:r>
            <w:bookmarkEnd w:id="139"/>
            <w:bookmarkEnd w:id="1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4"/>
              </w:rPr>
            </w:pPr>
          </w:p>
        </w:tc>
        <w:tc>
          <w:tcPr>
            <w:tcW w:w="4820" w:type="dxa"/>
            <w:vAlign w:val="center"/>
          </w:tcPr>
          <w:p>
            <w:pPr>
              <w:jc w:val="center"/>
              <w:rPr>
                <w:rFonts w:ascii="Calibri" w:hAnsi="Calibri"/>
                <w:color w:val="000000"/>
                <w:sz w:val="24"/>
              </w:rPr>
            </w:pPr>
          </w:p>
        </w:tc>
        <w:tc>
          <w:tcPr>
            <w:tcW w:w="3649" w:type="dxa"/>
            <w:vAlign w:val="center"/>
          </w:tcPr>
          <w:p>
            <w:pPr>
              <w:jc w:val="center"/>
              <w:rPr>
                <w:rFonts w:ascii="Calibri" w:hAnsi="Calibri"/>
                <w:color w:val="000000"/>
                <w:sz w:val="24"/>
              </w:rPr>
            </w:pPr>
            <w:bookmarkStart w:id="141" w:name="_Toc256695446"/>
            <w:bookmarkStart w:id="142" w:name="_Toc256691570"/>
            <w:r>
              <w:rPr>
                <w:rFonts w:hint="eastAsia" w:ascii="Calibri" w:hAnsi="Calibri"/>
                <w:color w:val="000000"/>
                <w:sz w:val="24"/>
              </w:rPr>
              <w:t>P---  P</w:t>
            </w:r>
            <w:bookmarkEnd w:id="141"/>
            <w:bookmarkEnd w:id="1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43" w:name="_Toc256695447"/>
            <w:bookmarkStart w:id="144" w:name="_Toc256691571"/>
            <w:r>
              <w:rPr>
                <w:rFonts w:hint="eastAsia" w:ascii="Calibri" w:hAnsi="Calibri"/>
                <w:color w:val="000000"/>
                <w:sz w:val="24"/>
              </w:rPr>
              <w:t>P---  P</w:t>
            </w:r>
            <w:bookmarkEnd w:id="143"/>
            <w:bookmarkEnd w:id="1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45" w:name="_Toc256691572"/>
            <w:bookmarkStart w:id="146" w:name="_Toc256695448"/>
            <w:r>
              <w:rPr>
                <w:rFonts w:hint="eastAsia" w:ascii="Calibri" w:hAnsi="Calibri"/>
                <w:color w:val="000000"/>
                <w:sz w:val="24"/>
              </w:rPr>
              <w:t>P---  P</w:t>
            </w:r>
            <w:bookmarkEnd w:id="145"/>
            <w:bookmarkEnd w:id="1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47" w:name="_Toc256691573"/>
            <w:bookmarkStart w:id="148" w:name="_Toc256695449"/>
            <w:r>
              <w:rPr>
                <w:rFonts w:hint="eastAsia" w:ascii="Calibri" w:hAnsi="Calibri"/>
                <w:color w:val="000000"/>
                <w:sz w:val="24"/>
              </w:rPr>
              <w:t>P---  P</w:t>
            </w:r>
            <w:bookmarkEnd w:id="147"/>
            <w:bookmarkEnd w:id="1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49" w:name="_Toc256695457"/>
            <w:bookmarkStart w:id="150" w:name="_Toc256691581"/>
            <w:r>
              <w:rPr>
                <w:rFonts w:hint="eastAsia" w:ascii="Calibri" w:hAnsi="Calibri"/>
                <w:color w:val="000000"/>
                <w:sz w:val="24"/>
              </w:rPr>
              <w:t>P---  P</w:t>
            </w:r>
            <w:bookmarkEnd w:id="149"/>
            <w:bookmarkEnd w:id="1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8"/>
                <w:szCs w:val="28"/>
              </w:rPr>
            </w:pPr>
            <w:bookmarkStart w:id="151" w:name="_Toc256691582"/>
            <w:bookmarkStart w:id="152" w:name="_Toc256695458"/>
            <w:r>
              <w:rPr>
                <w:rFonts w:hint="eastAsia" w:ascii="Calibri" w:hAnsi="Calibri"/>
                <w:color w:val="000000"/>
                <w:sz w:val="24"/>
              </w:rPr>
              <w:t>P---  P</w:t>
            </w:r>
            <w:bookmarkEnd w:id="151"/>
            <w:bookmarkEnd w:id="1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bookmarkStart w:id="153" w:name="_Toc256695459"/>
            <w:bookmarkStart w:id="154" w:name="_Toc256691583"/>
            <w:r>
              <w:rPr>
                <w:rFonts w:hint="eastAsia" w:ascii="Calibri" w:hAnsi="Calibri"/>
                <w:color w:val="000000"/>
                <w:sz w:val="28"/>
                <w:szCs w:val="28"/>
              </w:rPr>
              <w:t>……</w:t>
            </w:r>
            <w:bookmarkEnd w:id="153"/>
            <w:bookmarkEnd w:id="154"/>
          </w:p>
        </w:tc>
        <w:tc>
          <w:tcPr>
            <w:tcW w:w="3649" w:type="dxa"/>
            <w:vAlign w:val="center"/>
          </w:tcPr>
          <w:p>
            <w:pPr>
              <w:jc w:val="center"/>
              <w:rPr>
                <w:rFonts w:ascii="Calibri" w:hAnsi="Calibri"/>
                <w:color w:val="000000"/>
                <w:sz w:val="24"/>
              </w:rPr>
            </w:pPr>
            <w:bookmarkStart w:id="155" w:name="_Toc256691584"/>
            <w:bookmarkStart w:id="156" w:name="_Toc256695460"/>
            <w:r>
              <w:rPr>
                <w:rFonts w:hint="eastAsia" w:ascii="Calibri" w:hAnsi="Calibri"/>
                <w:color w:val="000000"/>
                <w:sz w:val="28"/>
                <w:szCs w:val="28"/>
              </w:rPr>
              <w:t>……</w:t>
            </w:r>
            <w:bookmarkEnd w:id="155"/>
            <w:bookmarkEnd w:id="1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8"/>
                <w:szCs w:val="28"/>
              </w:rPr>
            </w:pPr>
          </w:p>
        </w:tc>
      </w:tr>
    </w:tbl>
    <w:p>
      <w:pPr>
        <w:pStyle w:val="2"/>
        <w:ind w:left="0" w:leftChars="0" w:firstLine="0" w:firstLineChars="0"/>
        <w:rPr>
          <w:rFonts w:ascii="宋体" w:hAnsi="宋体"/>
          <w:b/>
          <w:color w:val="000000"/>
          <w:sz w:val="24"/>
          <w:szCs w:val="24"/>
        </w:rPr>
      </w:pPr>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9"/>
        <w:tblpPr w:leftFromText="180" w:rightFromText="180" w:vertAnchor="text" w:tblpY="1"/>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3222"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3222"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3222"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3222"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pStyle w:val="28"/>
              <w:rPr>
                <w:rFonts w:ascii="宋体" w:hAnsi="宋体" w:cs="宋体"/>
                <w:bCs/>
                <w:szCs w:val="24"/>
              </w:rPr>
            </w:pPr>
            <w:r>
              <w:rPr>
                <w:rFonts w:hint="eastAsia" w:ascii="宋体" w:hAnsi="宋体" w:cs="宋体"/>
                <w:bCs/>
                <w:szCs w:val="24"/>
              </w:rPr>
              <w:t>投标货物及报价表</w:t>
            </w:r>
          </w:p>
        </w:tc>
        <w:tc>
          <w:tcPr>
            <w:tcW w:w="3222"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Cs w:val="24"/>
              </w:rPr>
            </w:pPr>
            <w:r>
              <w:rPr>
                <w:rFonts w:hint="eastAsia" w:ascii="宋体" w:hAnsi="宋体" w:cs="宋体"/>
                <w:sz w:val="24"/>
                <w:szCs w:val="24"/>
              </w:rPr>
              <w:t>投标授权书</w:t>
            </w:r>
          </w:p>
        </w:tc>
        <w:tc>
          <w:tcPr>
            <w:tcW w:w="3222"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8"/>
              <w:rPr>
                <w:rFonts w:ascii="宋体" w:hAnsi="宋体" w:cs="宋体"/>
                <w:szCs w:val="24"/>
              </w:rPr>
            </w:pPr>
            <w:r>
              <w:rPr>
                <w:rFonts w:hint="eastAsia" w:ascii="宋体" w:hAnsi="宋体" w:cs="宋体"/>
                <w:bCs/>
                <w:szCs w:val="24"/>
              </w:rPr>
              <w:t>投标人信用承诺</w:t>
            </w:r>
          </w:p>
        </w:tc>
        <w:tc>
          <w:tcPr>
            <w:tcW w:w="3222"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bCs/>
                <w:szCs w:val="24"/>
              </w:rPr>
            </w:pPr>
            <w:r>
              <w:rPr>
                <w:rFonts w:hint="eastAsia" w:ascii="宋体" w:hAnsi="宋体" w:cs="宋体"/>
                <w:sz w:val="24"/>
                <w:szCs w:val="24"/>
              </w:rPr>
              <w:t>投标业绩</w:t>
            </w:r>
          </w:p>
        </w:tc>
        <w:tc>
          <w:tcPr>
            <w:tcW w:w="3222"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3222" w:type="dxa"/>
            <w:vAlign w:val="center"/>
          </w:tcPr>
          <w:p>
            <w:pPr>
              <w:spacing w:line="360" w:lineRule="auto"/>
              <w:rPr>
                <w:rFonts w:ascii="宋体" w:hAnsi="宋体" w:cs="宋体"/>
                <w:sz w:val="18"/>
                <w:szCs w:val="18"/>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42" w:type="dxa"/>
            <w:vAlign w:val="center"/>
          </w:tcPr>
          <w:p>
            <w:pPr>
              <w:jc w:val="center"/>
              <w:rPr>
                <w:sz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生产厂商授权书</w:t>
            </w:r>
          </w:p>
        </w:tc>
        <w:tc>
          <w:tcPr>
            <w:tcW w:w="3222" w:type="dxa"/>
            <w:vAlign w:val="center"/>
          </w:tcPr>
          <w:p>
            <w:pPr>
              <w:spacing w:line="360" w:lineRule="auto"/>
              <w:rPr>
                <w:rFonts w:hAnsi="宋体" w:cs="宋体"/>
                <w:sz w:val="18"/>
                <w:szCs w:val="18"/>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3222" w:type="dxa"/>
            <w:vAlign w:val="center"/>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242" w:type="dxa"/>
            <w:vAlign w:val="center"/>
          </w:tcPr>
          <w:p>
            <w:pPr>
              <w:jc w:val="center"/>
              <w:rPr>
                <w:rFonts w:ascii="宋体" w:hAnsi="宋体" w:cs="宋体"/>
                <w:sz w:val="24"/>
                <w:szCs w:val="24"/>
              </w:rPr>
            </w:pPr>
            <w:r>
              <w:rPr>
                <w:rFonts w:hint="eastAsia"/>
                <w:sz w:val="24"/>
              </w:rPr>
              <w:t>十一</w:t>
            </w:r>
          </w:p>
        </w:tc>
        <w:tc>
          <w:tcPr>
            <w:tcW w:w="5376" w:type="dxa"/>
            <w:vAlign w:val="center"/>
          </w:tcPr>
          <w:p>
            <w:pPr>
              <w:rPr>
                <w:sz w:val="24"/>
              </w:rPr>
            </w:pPr>
            <w:r>
              <w:rPr>
                <w:rFonts w:hint="eastAsia" w:ascii="宋体" w:hAnsi="宋体" w:cs="宋体"/>
                <w:sz w:val="24"/>
                <w:szCs w:val="24"/>
              </w:rPr>
              <w:t>投标人认为需要提供的其他资料</w:t>
            </w:r>
          </w:p>
        </w:tc>
        <w:tc>
          <w:tcPr>
            <w:tcW w:w="3222"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十二</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3222" w:type="dxa"/>
            <w:vAlign w:val="center"/>
          </w:tcPr>
          <w:p>
            <w:pPr>
              <w:spacing w:line="360" w:lineRule="auto"/>
              <w:rPr>
                <w:rFonts w:ascii="宋体" w:hAnsi="宋体" w:cs="宋体"/>
                <w:b/>
                <w:sz w:val="24"/>
                <w:szCs w:val="24"/>
              </w:rPr>
            </w:pPr>
          </w:p>
        </w:tc>
      </w:tr>
    </w:tbl>
    <w:p>
      <w:bookmarkStart w:id="157" w:name="_Toc516969098"/>
      <w:bookmarkStart w:id="158" w:name="_Toc471736410"/>
      <w:bookmarkStart w:id="159" w:name="_Toc197934561"/>
      <w:bookmarkStart w:id="160" w:name="_Toc471736407"/>
    </w:p>
    <w:p>
      <w:pPr>
        <w:pStyle w:val="2"/>
        <w:ind w:firstLine="640"/>
      </w:pPr>
    </w:p>
    <w:p>
      <w:pPr>
        <w:pStyle w:val="2"/>
        <w:ind w:firstLine="640"/>
      </w:pPr>
    </w:p>
    <w:p>
      <w:pPr>
        <w:pStyle w:val="7"/>
        <w:rPr>
          <w:rFonts w:hAnsi="宋体"/>
          <w:sz w:val="28"/>
        </w:rPr>
      </w:pPr>
      <w:bookmarkStart w:id="161" w:name="_Toc536542354"/>
      <w:bookmarkStart w:id="162" w:name="_Toc19773346"/>
      <w:bookmarkStart w:id="163" w:name="_Toc153811198"/>
      <w:r>
        <w:rPr>
          <w:rFonts w:hint="eastAsia" w:hAnsi="宋体"/>
          <w:sz w:val="28"/>
        </w:rPr>
        <w:t>一．投标函</w:t>
      </w:r>
      <w:bookmarkEnd w:id="157"/>
      <w:bookmarkEnd w:id="158"/>
      <w:bookmarkEnd w:id="161"/>
      <w:bookmarkEnd w:id="162"/>
      <w:bookmarkEnd w:id="163"/>
    </w:p>
    <w:p>
      <w:pPr>
        <w:spacing w:line="360" w:lineRule="auto"/>
        <w:rPr>
          <w:rFonts w:ascii="宋体" w:hAnsi="宋体" w:cs="宋体"/>
          <w:sz w:val="24"/>
          <w:szCs w:val="24"/>
        </w:rPr>
      </w:pPr>
      <w:r>
        <w:rPr>
          <w:rFonts w:hint="eastAsia" w:ascii="宋体" w:hAnsi="宋体" w:cs="宋体"/>
          <w:sz w:val="24"/>
          <w:szCs w:val="24"/>
        </w:rPr>
        <w:t>致：合肥泓瑞金陵大酒店有限责任公司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w:t>
      </w:r>
      <w:r>
        <w:rPr>
          <w:rFonts w:hint="eastAsia" w:ascii="宋体" w:hAnsi="宋体" w:cs="宋体"/>
          <w:b/>
          <w:bCs/>
          <w:sz w:val="24"/>
          <w:szCs w:val="24"/>
        </w:rPr>
        <w:t>项目</w:t>
      </w:r>
      <w:r>
        <w:rPr>
          <w:rFonts w:hint="eastAsia" w:ascii="宋体" w:hAnsi="宋体" w:cs="宋体"/>
          <w:sz w:val="24"/>
          <w:szCs w:val="24"/>
        </w:rPr>
        <w:t>”的招标邀请书，正式授权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投标人基本账户开户名称：</w:t>
      </w:r>
    </w:p>
    <w:p>
      <w:pPr>
        <w:spacing w:line="360" w:lineRule="auto"/>
        <w:ind w:firstLine="480" w:firstLineChars="200"/>
        <w:rPr>
          <w:rFonts w:ascii="宋体" w:hAnsi="宋体"/>
          <w:sz w:val="24"/>
        </w:rPr>
      </w:pPr>
      <w:r>
        <w:rPr>
          <w:rFonts w:hint="eastAsia" w:ascii="宋体" w:hAnsi="宋体"/>
          <w:sz w:val="24"/>
        </w:rPr>
        <w:t xml:space="preserve">银行账号：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r>
        <w:rPr>
          <w:rFonts w:hint="eastAsia" w:ascii="宋体" w:hAnsi="宋体" w:cs="宋体"/>
          <w:kern w:val="0"/>
          <w:sz w:val="24"/>
          <w:szCs w:val="24"/>
          <w:highlight w:val="yellow"/>
        </w:rPr>
        <w:t>/盖签章</w:t>
      </w:r>
      <w:r>
        <w:rPr>
          <w:rFonts w:hint="eastAsia" w:ascii="宋体" w:hAnsi="宋体" w:cs="宋体"/>
          <w:kern w:val="0"/>
          <w:sz w:val="24"/>
          <w:szCs w:val="24"/>
        </w:rPr>
        <w:t>）：</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159"/>
      <w:bookmarkEnd w:id="160"/>
      <w:bookmarkStart w:id="164" w:name="_Toc516969097"/>
      <w:bookmarkStart w:id="165" w:name="_Toc536542355"/>
      <w:bookmarkStart w:id="166" w:name="_Toc471736409"/>
    </w:p>
    <w:p>
      <w:pPr>
        <w:pStyle w:val="7"/>
        <w:rPr>
          <w:rFonts w:hAnsi="宋体"/>
          <w:sz w:val="28"/>
        </w:rPr>
      </w:pPr>
      <w:bookmarkStart w:id="167" w:name="_Toc18658870"/>
      <w:bookmarkStart w:id="168" w:name="_Toc18889"/>
      <w:bookmarkStart w:id="169" w:name="_Toc17307116"/>
      <w:bookmarkStart w:id="170" w:name="_Toc19773347"/>
      <w:bookmarkStart w:id="171" w:name="_Toc300210382"/>
    </w:p>
    <w:p>
      <w:pPr>
        <w:spacing w:line="500" w:lineRule="exact"/>
        <w:jc w:val="center"/>
        <w:rPr>
          <w:rFonts w:hAnsi="宋体"/>
          <w:sz w:val="28"/>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31"/>
        <w:rPr>
          <w:lang w:val="en-US"/>
        </w:rPr>
      </w:pPr>
    </w:p>
    <w:p>
      <w:pPr>
        <w:pStyle w:val="7"/>
        <w:rPr>
          <w:rFonts w:hAnsi="宋体"/>
          <w:sz w:val="28"/>
        </w:rPr>
      </w:pPr>
      <w:bookmarkStart w:id="172" w:name="_Toc153811199"/>
      <w:r>
        <w:rPr>
          <w:rFonts w:hint="eastAsia" w:hAnsi="宋体"/>
          <w:sz w:val="28"/>
        </w:rPr>
        <w:t>二．</w:t>
      </w:r>
      <w:bookmarkEnd w:id="164"/>
      <w:bookmarkEnd w:id="165"/>
      <w:bookmarkEnd w:id="166"/>
      <w:bookmarkEnd w:id="167"/>
      <w:bookmarkEnd w:id="168"/>
      <w:bookmarkEnd w:id="169"/>
      <w:bookmarkEnd w:id="170"/>
      <w:bookmarkEnd w:id="171"/>
      <w:bookmarkStart w:id="173" w:name="_Hlt509739007"/>
      <w:bookmarkEnd w:id="173"/>
      <w:bookmarkStart w:id="174" w:name="_Toc536542357"/>
      <w:r>
        <w:rPr>
          <w:rFonts w:hint="eastAsia" w:hAnsi="宋体"/>
          <w:sz w:val="28"/>
        </w:rPr>
        <w:t>开标报价一览表</w:t>
      </w:r>
      <w:bookmarkEnd w:id="172"/>
    </w:p>
    <w:tbl>
      <w:tblPr>
        <w:tblStyle w:val="19"/>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不含税报价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5"/>
              </w:numPr>
              <w:spacing w:line="360" w:lineRule="auto"/>
              <w:ind w:firstLine="420" w:firstLineChars="200"/>
              <w:jc w:val="left"/>
            </w:pPr>
            <w:r>
              <w:rPr>
                <w:rFonts w:hint="eastAsia"/>
              </w:rPr>
              <w:t>该总价包含各种税费、制作费、人工费、设计费、运输费等所有的费用；</w:t>
            </w:r>
          </w:p>
          <w:p>
            <w:pPr>
              <w:numPr>
                <w:ilvl w:val="0"/>
                <w:numId w:val="5"/>
              </w:numPr>
              <w:spacing w:line="360" w:lineRule="auto"/>
              <w:ind w:firstLine="420" w:firstLineChars="200"/>
              <w:jc w:val="left"/>
            </w:pPr>
            <w:r>
              <w:rPr>
                <w:rFonts w:hint="eastAsia"/>
              </w:rPr>
              <w:t>不含税报价=含税报价/增值税率（如税率为3%，不含税报价=含税报价/1.03）</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备注：表中不含税报价即为优惠后报价，并作为评审及定标依据。任何有选择或有条件的最终投标报价，或者表中某一标段填写多个报价，均为无效报价。</w:t>
      </w:r>
    </w:p>
    <w:p>
      <w:pPr>
        <w:pStyle w:val="31"/>
        <w:rPr>
          <w:lang w:val="en-US"/>
        </w:rPr>
      </w:pPr>
    </w:p>
    <w:p>
      <w:pPr>
        <w:pStyle w:val="31"/>
        <w:ind w:firstLine="0" w:firstLineChars="0"/>
        <w:rPr>
          <w:lang w:val="en-US"/>
        </w:rPr>
      </w:pPr>
    </w:p>
    <w:p/>
    <w:p>
      <w:pPr>
        <w:pStyle w:val="2"/>
      </w:pPr>
    </w:p>
    <w:p>
      <w:pPr>
        <w:pStyle w:val="2"/>
      </w:pPr>
    </w:p>
    <w:p>
      <w:pPr>
        <w:pStyle w:val="2"/>
      </w:pPr>
    </w:p>
    <w:p>
      <w:pPr>
        <w:pStyle w:val="2"/>
      </w:pPr>
    </w:p>
    <w:p>
      <w:pPr>
        <w:pStyle w:val="2"/>
      </w:pPr>
    </w:p>
    <w:p>
      <w:pPr>
        <w:pStyle w:val="2"/>
      </w:pPr>
    </w:p>
    <w:p>
      <w:pPr>
        <w:pStyle w:val="2"/>
      </w:pPr>
    </w:p>
    <w:p>
      <w:pPr>
        <w:pStyle w:val="7"/>
        <w:numPr>
          <w:ilvl w:val="0"/>
          <w:numId w:val="6"/>
        </w:numPr>
        <w:rPr>
          <w:rFonts w:hAnsi="宋体"/>
          <w:sz w:val="28"/>
        </w:rPr>
      </w:pPr>
      <w:bookmarkStart w:id="175" w:name="_Toc153811200"/>
      <w:bookmarkStart w:id="176" w:name="_Toc19773350"/>
      <w:r>
        <w:rPr>
          <w:rFonts w:hint="eastAsia" w:hAnsi="宋体"/>
          <w:sz w:val="28"/>
        </w:rPr>
        <w:t>投标响应表</w:t>
      </w:r>
      <w:bookmarkEnd w:id="174"/>
      <w:bookmarkEnd w:id="175"/>
      <w:bookmarkEnd w:id="176"/>
    </w:p>
    <w:tbl>
      <w:tblPr>
        <w:tblStyle w:val="19"/>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54"/>
        <w:gridCol w:w="3180"/>
        <w:gridCol w:w="303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5139"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701"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9840" w:type="dxa"/>
            <w:gridSpan w:val="5"/>
            <w:vAlign w:val="center"/>
          </w:tcPr>
          <w:p>
            <w:pPr>
              <w:pStyle w:val="10"/>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805" w:type="dxa"/>
            <w:vAlign w:val="center"/>
          </w:tcPr>
          <w:p>
            <w:pPr>
              <w:pStyle w:val="10"/>
              <w:jc w:val="center"/>
              <w:rPr>
                <w:rFonts w:hAnsi="宋体"/>
                <w:b/>
                <w:sz w:val="24"/>
                <w:szCs w:val="24"/>
              </w:rPr>
            </w:pPr>
            <w:r>
              <w:rPr>
                <w:rFonts w:hint="eastAsia" w:hAnsi="宋体"/>
                <w:b/>
                <w:sz w:val="24"/>
                <w:szCs w:val="24"/>
              </w:rPr>
              <w:t>序号</w:t>
            </w:r>
          </w:p>
        </w:tc>
        <w:tc>
          <w:tcPr>
            <w:tcW w:w="1154" w:type="dxa"/>
            <w:vAlign w:val="center"/>
          </w:tcPr>
          <w:p>
            <w:pPr>
              <w:pStyle w:val="10"/>
              <w:jc w:val="center"/>
              <w:rPr>
                <w:rFonts w:hAnsi="宋体"/>
                <w:b/>
                <w:sz w:val="24"/>
                <w:szCs w:val="24"/>
              </w:rPr>
            </w:pPr>
            <w:r>
              <w:rPr>
                <w:rFonts w:hint="eastAsia" w:hAnsi="宋体"/>
                <w:b/>
                <w:sz w:val="24"/>
                <w:szCs w:val="24"/>
              </w:rPr>
              <w:t>名称/内容</w:t>
            </w:r>
          </w:p>
        </w:tc>
        <w:tc>
          <w:tcPr>
            <w:tcW w:w="3180" w:type="dxa"/>
            <w:vAlign w:val="center"/>
          </w:tcPr>
          <w:p>
            <w:pPr>
              <w:pStyle w:val="10"/>
              <w:jc w:val="center"/>
              <w:rPr>
                <w:rFonts w:hAnsi="宋体"/>
                <w:b/>
                <w:sz w:val="24"/>
                <w:szCs w:val="24"/>
              </w:rPr>
            </w:pPr>
            <w:r>
              <w:rPr>
                <w:rFonts w:hint="eastAsia" w:hAnsi="宋体"/>
                <w:b/>
                <w:sz w:val="24"/>
                <w:szCs w:val="24"/>
              </w:rPr>
              <w:t>招标要求</w:t>
            </w:r>
          </w:p>
        </w:tc>
        <w:tc>
          <w:tcPr>
            <w:tcW w:w="3032" w:type="dxa"/>
            <w:vAlign w:val="center"/>
          </w:tcPr>
          <w:p>
            <w:pPr>
              <w:pStyle w:val="10"/>
              <w:jc w:val="center"/>
              <w:rPr>
                <w:rFonts w:hAnsi="宋体"/>
                <w:b/>
                <w:sz w:val="24"/>
                <w:szCs w:val="24"/>
              </w:rPr>
            </w:pPr>
            <w:r>
              <w:rPr>
                <w:rFonts w:hint="eastAsia" w:hAnsi="宋体"/>
                <w:b/>
                <w:sz w:val="24"/>
                <w:szCs w:val="24"/>
              </w:rPr>
              <w:t>投标承诺</w:t>
            </w:r>
          </w:p>
        </w:tc>
        <w:tc>
          <w:tcPr>
            <w:tcW w:w="1669"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05" w:type="dxa"/>
            <w:vAlign w:val="center"/>
          </w:tcPr>
          <w:p>
            <w:pPr>
              <w:jc w:val="center"/>
              <w:rPr>
                <w:rFonts w:ascii="宋体" w:hAnsi="宋体" w:cs="宋体"/>
                <w:sz w:val="24"/>
                <w:szCs w:val="24"/>
              </w:rPr>
            </w:pPr>
            <w:r>
              <w:rPr>
                <w:rFonts w:hint="eastAsia" w:ascii="宋体" w:hAnsi="宋体" w:cs="宋体"/>
                <w:sz w:val="24"/>
                <w:szCs w:val="24"/>
              </w:rPr>
              <w:t>1</w:t>
            </w:r>
          </w:p>
        </w:tc>
        <w:tc>
          <w:tcPr>
            <w:tcW w:w="1154"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180" w:type="dxa"/>
          </w:tcPr>
          <w:p>
            <w:pPr>
              <w:spacing w:line="500" w:lineRule="exact"/>
              <w:rPr>
                <w:rFonts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3032" w:type="dxa"/>
          </w:tcPr>
          <w:p>
            <w:pPr>
              <w:spacing w:line="500" w:lineRule="exact"/>
              <w:rPr>
                <w:rFonts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669"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3" w:hRule="atLeast"/>
        </w:trPr>
        <w:tc>
          <w:tcPr>
            <w:tcW w:w="805" w:type="dxa"/>
            <w:vAlign w:val="center"/>
          </w:tcPr>
          <w:p>
            <w:pPr>
              <w:jc w:val="center"/>
              <w:rPr>
                <w:rFonts w:ascii="宋体" w:hAnsi="宋体" w:cs="宋体"/>
                <w:sz w:val="24"/>
                <w:szCs w:val="24"/>
              </w:rPr>
            </w:pPr>
            <w:r>
              <w:rPr>
                <w:rFonts w:hint="eastAsia" w:ascii="宋体" w:hAnsi="宋体" w:cs="宋体"/>
                <w:sz w:val="24"/>
                <w:szCs w:val="24"/>
              </w:rPr>
              <w:t>2</w:t>
            </w:r>
          </w:p>
        </w:tc>
        <w:tc>
          <w:tcPr>
            <w:tcW w:w="1154"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3180" w:type="dxa"/>
            <w:vAlign w:val="center"/>
          </w:tcPr>
          <w:p>
            <w:pPr>
              <w:spacing w:line="500" w:lineRule="exact"/>
              <w:rPr>
                <w:rFonts w:ascii="宋体" w:hAnsi="宋体"/>
                <w:szCs w:val="21"/>
              </w:rPr>
            </w:pPr>
            <w:r>
              <w:rPr>
                <w:rFonts w:hint="eastAsia" w:ascii="宋体" w:hAnsi="宋体"/>
                <w:szCs w:val="21"/>
              </w:rPr>
              <w:t>本项目合作方式采用1+1+1模式，中标后双方签订壹年期的合同，合作期间履约良好，双方可协商一致续签下一年度合同，最多可续签二次。在合同履行期间，如甲、乙双方单个履约年度的结算价款达到或者超过当年度合同暂定总价的，甲方有权单方面解除本合同，且无须承担违约责任。</w:t>
            </w:r>
          </w:p>
        </w:tc>
        <w:tc>
          <w:tcPr>
            <w:tcW w:w="3032" w:type="dxa"/>
            <w:vAlign w:val="center"/>
          </w:tcPr>
          <w:p>
            <w:pPr>
              <w:spacing w:line="500" w:lineRule="exact"/>
              <w:rPr>
                <w:rFonts w:ascii="宋体" w:hAnsi="宋体"/>
                <w:szCs w:val="21"/>
              </w:rPr>
            </w:pPr>
            <w:r>
              <w:rPr>
                <w:rFonts w:hint="eastAsia" w:ascii="宋体" w:hAnsi="宋体"/>
                <w:szCs w:val="21"/>
              </w:rPr>
              <w:t>本项目合作方式采用1+1+1模式，中标后双方签订壹年期的合同，合作期间履约良好，双方可协商一致续签下一年度合同，最多可续签二次。在合同履行期间，如甲、乙双方单个履约年度的结算价款达到或者超过当年度合同暂定总价的，甲方有权单方面解除本合同，且无须承担违约责任。</w:t>
            </w:r>
          </w:p>
        </w:tc>
        <w:tc>
          <w:tcPr>
            <w:tcW w:w="1669"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5" w:hRule="atLeast"/>
        </w:trPr>
        <w:tc>
          <w:tcPr>
            <w:tcW w:w="805" w:type="dxa"/>
            <w:vAlign w:val="center"/>
          </w:tcPr>
          <w:p>
            <w:pPr>
              <w:jc w:val="center"/>
              <w:rPr>
                <w:rFonts w:ascii="宋体" w:hAnsi="宋体" w:cs="宋体"/>
                <w:sz w:val="24"/>
                <w:szCs w:val="24"/>
              </w:rPr>
            </w:pPr>
            <w:r>
              <w:rPr>
                <w:rFonts w:hint="eastAsia" w:ascii="宋体" w:hAnsi="宋体" w:cs="宋体"/>
                <w:sz w:val="24"/>
                <w:szCs w:val="24"/>
              </w:rPr>
              <w:t>3</w:t>
            </w:r>
          </w:p>
        </w:tc>
        <w:tc>
          <w:tcPr>
            <w:tcW w:w="1154"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3180"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3032"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1669" w:type="dxa"/>
            <w:vAlign w:val="center"/>
          </w:tcPr>
          <w:p>
            <w:pPr>
              <w:jc w:val="center"/>
              <w:rPr>
                <w:rFonts w:ascii="宋体" w:hAnsi="宋体" w:cs="宋体"/>
                <w:sz w:val="24"/>
                <w:szCs w:val="24"/>
              </w:rPr>
            </w:pPr>
            <w:r>
              <w:rPr>
                <w:rFonts w:hint="eastAsia"/>
              </w:rPr>
              <w:t>选填写”完全响应“或”不响应“</w:t>
            </w:r>
          </w:p>
        </w:tc>
      </w:tr>
    </w:tbl>
    <w:p/>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77" w:name="_Toc471736411"/>
      <w:bookmarkStart w:id="178" w:name="_Toc461103234"/>
      <w:bookmarkStart w:id="179" w:name="_Toc197934563"/>
    </w:p>
    <w:p>
      <w:pPr>
        <w:adjustRightInd w:val="0"/>
        <w:snapToGrid w:val="0"/>
        <w:spacing w:line="360" w:lineRule="auto"/>
        <w:rPr>
          <w:rFonts w:ascii="宋体" w:hAnsi="宋体" w:cs="宋体"/>
          <w:b/>
          <w:bCs/>
          <w:sz w:val="24"/>
          <w:szCs w:val="24"/>
        </w:rPr>
      </w:pPr>
    </w:p>
    <w:p>
      <w:pPr>
        <w:pStyle w:val="7"/>
        <w:ind w:firstLine="3373" w:firstLineChars="1200"/>
        <w:jc w:val="both"/>
        <w:rPr>
          <w:rFonts w:hAnsi="宋体"/>
          <w:sz w:val="28"/>
        </w:rPr>
      </w:pPr>
      <w:bookmarkStart w:id="180" w:name="_Toc528276345"/>
      <w:bookmarkStart w:id="181" w:name="_Toc220232409"/>
      <w:bookmarkStart w:id="182" w:name="_Toc19773351"/>
      <w:bookmarkStart w:id="183" w:name="_Toc153811201"/>
      <w:bookmarkStart w:id="184" w:name="_Toc20723"/>
      <w:bookmarkStart w:id="185" w:name="_Toc29288"/>
      <w:bookmarkStart w:id="186" w:name="_Toc27108"/>
      <w:bookmarkStart w:id="187" w:name="_Toc471736413"/>
      <w:bookmarkStart w:id="188" w:name="_Toc536542358"/>
      <w:r>
        <w:rPr>
          <w:rFonts w:hint="eastAsia" w:hAnsi="宋体"/>
          <w:sz w:val="28"/>
        </w:rPr>
        <w:t>四．投标货物及报价表</w:t>
      </w:r>
      <w:bookmarkEnd w:id="180"/>
      <w:bookmarkEnd w:id="181"/>
      <w:bookmarkEnd w:id="182"/>
      <w:bookmarkEnd w:id="183"/>
      <w:bookmarkEnd w:id="184"/>
      <w:bookmarkEnd w:id="185"/>
      <w:bookmarkEnd w:id="186"/>
      <w:bookmarkEnd w:id="187"/>
      <w:bookmarkEnd w:id="188"/>
    </w:p>
    <w:tbl>
      <w:tblPr>
        <w:tblStyle w:val="19"/>
        <w:tblW w:w="9443" w:type="dxa"/>
        <w:tblInd w:w="0" w:type="dxa"/>
        <w:tblLayout w:type="fixed"/>
        <w:tblCellMar>
          <w:top w:w="0" w:type="dxa"/>
          <w:left w:w="0" w:type="dxa"/>
          <w:bottom w:w="0" w:type="dxa"/>
          <w:right w:w="0" w:type="dxa"/>
        </w:tblCellMar>
      </w:tblPr>
      <w:tblGrid>
        <w:gridCol w:w="594"/>
        <w:gridCol w:w="1069"/>
        <w:gridCol w:w="1545"/>
        <w:gridCol w:w="533"/>
        <w:gridCol w:w="933"/>
        <w:gridCol w:w="910"/>
        <w:gridCol w:w="1177"/>
        <w:gridCol w:w="1505"/>
        <w:gridCol w:w="1177"/>
      </w:tblGrid>
      <w:tr>
        <w:tblPrEx>
          <w:tblLayout w:type="fixed"/>
          <w:tblCellMar>
            <w:top w:w="0" w:type="dxa"/>
            <w:left w:w="0" w:type="dxa"/>
            <w:bottom w:w="0" w:type="dxa"/>
            <w:right w:w="0" w:type="dxa"/>
          </w:tblCellMar>
        </w:tblPrEx>
        <w:trPr>
          <w:trHeight w:val="3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规格</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数量</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含税单价</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含税金额（元）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 xml:space="preserve"> 备注1</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 xml:space="preserve"> 备注2</w:t>
            </w:r>
          </w:p>
        </w:tc>
      </w:tr>
      <w:tr>
        <w:tblPrEx>
          <w:tblLayout w:type="fixed"/>
          <w:tblCellMar>
            <w:top w:w="0" w:type="dxa"/>
            <w:left w:w="0" w:type="dxa"/>
            <w:bottom w:w="0" w:type="dxa"/>
            <w:right w:w="0" w:type="dxa"/>
          </w:tblCellMar>
        </w:tblPrEx>
        <w:trPr>
          <w:trHeight w:val="6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桶装洗手液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4.5-5KG/桶</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液体，泡沫型，咖啡色系瓶体，按压式;多种香型（如马鞭草香型）。</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酒店使用，品质符合五星级酒店标准</w:t>
            </w:r>
          </w:p>
        </w:tc>
      </w:tr>
      <w:tr>
        <w:tblPrEx>
          <w:tblLayout w:type="fixed"/>
          <w:tblCellMar>
            <w:top w:w="0" w:type="dxa"/>
            <w:left w:w="0" w:type="dxa"/>
            <w:bottom w:w="0" w:type="dxa"/>
            <w:right w:w="0" w:type="dxa"/>
          </w:tblCellMar>
        </w:tblPrEx>
        <w:trPr>
          <w:trHeight w:val="5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泡泡洗手液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约500ML/瓶</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2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洗发液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按压式、瓶身深色系</w:t>
            </w: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沐浴液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1,900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护发素</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380-450毫升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洗发液</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500-650ML液体</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基地使用，品质符合三星级左右</w:t>
            </w:r>
            <w:r>
              <w:rPr>
                <w:rFonts w:hint="eastAsia" w:ascii="宋体" w:hAnsi="宋体" w:cs="宋体"/>
                <w:color w:val="000000"/>
                <w:kern w:val="0"/>
                <w:sz w:val="18"/>
                <w:szCs w:val="18"/>
              </w:rPr>
              <w:t>酒店标准</w:t>
            </w:r>
          </w:p>
        </w:tc>
      </w:tr>
      <w:tr>
        <w:tblPrEx>
          <w:tblLayout w:type="fixed"/>
          <w:tblCellMar>
            <w:top w:w="0" w:type="dxa"/>
            <w:left w:w="0" w:type="dxa"/>
            <w:bottom w:w="0" w:type="dxa"/>
            <w:right w:w="0" w:type="dxa"/>
          </w:tblCellMar>
        </w:tblPrEx>
        <w:trPr>
          <w:trHeight w:val="3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沐浴液</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500-650ML液体</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500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桶装液体</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5公斤液体（洗发液/沐浴液）</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0"/>
                <w:szCs w:val="20"/>
              </w:rPr>
            </w:pPr>
          </w:p>
        </w:tc>
        <w:tc>
          <w:tcPr>
            <w:tcW w:w="1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4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r>
    </w:tbl>
    <w:p>
      <w:pPr>
        <w:rPr>
          <w:rFonts w:ascii="宋体" w:hAnsi="宋体"/>
          <w:b/>
          <w:color w:val="FF0000"/>
          <w:sz w:val="28"/>
        </w:rPr>
      </w:pPr>
      <w:r>
        <w:rPr>
          <w:rFonts w:hint="eastAsia" w:ascii="宋体" w:hAnsi="宋体"/>
          <w:b/>
          <w:color w:val="FF0000"/>
          <w:sz w:val="28"/>
        </w:rPr>
        <w:t>以上规格投标人按照实际填报,规格参数不得少于每个单品最低标准，参数超过最高标准可能影响样品评定分值。</w:t>
      </w:r>
    </w:p>
    <w:p>
      <w:pPr>
        <w:pStyle w:val="31"/>
      </w:pPr>
    </w:p>
    <w:p>
      <w:r>
        <w:rPr>
          <w:rFonts w:hint="eastAsia" w:ascii="宋体" w:hAnsi="宋体"/>
          <w:b/>
          <w:sz w:val="28"/>
        </w:rPr>
        <w:t xml:space="preserve">单位名称：          联系人：          联系方式：      </w:t>
      </w:r>
    </w:p>
    <w:p>
      <w:pPr>
        <w:pStyle w:val="2"/>
        <w:ind w:firstLine="640"/>
      </w:pPr>
    </w:p>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adjustRightInd w:val="0"/>
        <w:snapToGrid w:val="0"/>
        <w:spacing w:line="360" w:lineRule="auto"/>
        <w:rPr>
          <w:rFonts w:ascii="宋体" w:hAnsi="宋体" w:cs="宋体"/>
          <w:b/>
          <w:bCs/>
          <w:sz w:val="24"/>
          <w:szCs w:val="24"/>
        </w:rPr>
      </w:pPr>
    </w:p>
    <w:p>
      <w:pPr>
        <w:pStyle w:val="2"/>
      </w:pPr>
    </w:p>
    <w:p>
      <w:pPr>
        <w:pStyle w:val="7"/>
        <w:rPr>
          <w:rFonts w:hAnsi="宋体"/>
          <w:sz w:val="28"/>
        </w:rPr>
      </w:pPr>
      <w:bookmarkStart w:id="189" w:name="_Toc508363611"/>
      <w:bookmarkStart w:id="190" w:name="_Toc19773352"/>
      <w:bookmarkStart w:id="191" w:name="_Toc153811202"/>
      <w:bookmarkStart w:id="192" w:name="_Toc536542359"/>
      <w:r>
        <w:rPr>
          <w:rFonts w:hint="eastAsia" w:hAnsi="宋体"/>
          <w:sz w:val="28"/>
        </w:rPr>
        <w:t>五．投标授权书</w:t>
      </w:r>
      <w:bookmarkEnd w:id="189"/>
      <w:bookmarkEnd w:id="190"/>
      <w:bookmarkEnd w:id="191"/>
      <w:bookmarkEnd w:id="192"/>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本授权书声明：公司授权（投标人授权代表姓名、职务，手机号码）代表本公司参加合肥泓瑞金陵大酒店有限责任公司</w:t>
      </w:r>
      <w:r>
        <w:rPr>
          <w:rFonts w:hint="eastAsia" w:hAnsi="宋体"/>
          <w:bCs/>
          <w:sz w:val="24"/>
          <w:szCs w:val="28"/>
        </w:rPr>
        <w:t>招标活动（项目编号：      ）</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w:pict>
          <v:group id="1027" o:spid="_x0000_s1029" o:spt="203" style="position:absolute;left:0pt;margin-left:29.6pt;margin-top:12.75pt;height:88.15pt;width:321.2pt;z-index:251659264;mso-width-relative:page;mso-height-relative:page;" coordorigin="3960,5436" coordsize="6424,1538203203"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v:roundrect id="1028" o:spid="_x0000_s1030" o:spt="2" style="position:absolute;left:3960;top:5449;height:1525;width:2794;"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31" o:spt="2" style="position:absolute;left:7590;top:5436;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r>
        <w:rPr>
          <w:rFonts w:hint="eastAsia" w:ascii="宋体" w:hAnsi="宋体"/>
          <w:sz w:val="24"/>
          <w:szCs w:val="28"/>
          <w:lang w:eastAsia="zh-CN"/>
        </w:rPr>
        <w:t>（提供身份证正反复印件）</w: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但投标文件中须提供法定代表人身份证扫描件。</w:t>
      </w:r>
    </w:p>
    <w:p>
      <w:pPr>
        <w:adjustRightInd w:val="0"/>
        <w:snapToGrid w:val="0"/>
        <w:spacing w:line="360" w:lineRule="auto"/>
        <w:rPr>
          <w:rFonts w:ascii="宋体" w:hAnsi="宋体" w:cs="宋体"/>
          <w:b/>
          <w:bCs/>
          <w:sz w:val="24"/>
          <w:szCs w:val="24"/>
        </w:rPr>
      </w:pPr>
    </w:p>
    <w:p>
      <w:pPr>
        <w:pStyle w:val="7"/>
        <w:rPr>
          <w:rFonts w:hAnsi="宋体" w:cs="宋体"/>
          <w:sz w:val="28"/>
          <w:szCs w:val="28"/>
        </w:rPr>
      </w:pPr>
      <w:bookmarkStart w:id="193" w:name="_Toc536542360"/>
      <w:bookmarkStart w:id="194" w:name="_Toc153811203"/>
      <w:bookmarkStart w:id="195" w:name="_Toc19773353"/>
      <w:r>
        <w:rPr>
          <w:rFonts w:hint="eastAsia" w:hAnsi="宋体" w:cs="宋体"/>
          <w:sz w:val="28"/>
          <w:szCs w:val="28"/>
        </w:rPr>
        <w:t>六．投标人信用承诺</w:t>
      </w:r>
      <w:bookmarkEnd w:id="177"/>
      <w:bookmarkEnd w:id="178"/>
      <w:bookmarkEnd w:id="193"/>
      <w:bookmarkEnd w:id="194"/>
      <w:bookmarkEnd w:id="195"/>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bookmarkEnd w:id="179"/>
    <w:p>
      <w:pPr>
        <w:pStyle w:val="7"/>
        <w:rPr>
          <w:rFonts w:hAnsi="宋体" w:cs="宋体"/>
          <w:sz w:val="28"/>
          <w:szCs w:val="28"/>
        </w:rPr>
      </w:pPr>
      <w:bookmarkStart w:id="196" w:name="_Hlt509738950"/>
      <w:bookmarkEnd w:id="196"/>
      <w:bookmarkStart w:id="197" w:name="_Toc496587831"/>
      <w:bookmarkStart w:id="198" w:name="_Toc19773354"/>
      <w:bookmarkStart w:id="199" w:name="_Toc153811204"/>
      <w:bookmarkStart w:id="200" w:name="_Toc536542361"/>
      <w:r>
        <w:rPr>
          <w:rFonts w:hint="eastAsia" w:hAnsi="宋体" w:cs="宋体"/>
          <w:sz w:val="28"/>
          <w:szCs w:val="28"/>
        </w:rPr>
        <w:t>七.</w:t>
      </w:r>
      <w:bookmarkEnd w:id="197"/>
      <w:r>
        <w:rPr>
          <w:rFonts w:hint="eastAsia" w:hAnsi="宋体" w:cs="宋体"/>
          <w:sz w:val="28"/>
          <w:szCs w:val="28"/>
        </w:rPr>
        <w:t xml:space="preserve"> 投标业绩</w:t>
      </w:r>
      <w:bookmarkEnd w:id="198"/>
      <w:bookmarkEnd w:id="199"/>
      <w:bookmarkEnd w:id="200"/>
    </w:p>
    <w:p>
      <w:pPr>
        <w:spacing w:beforeLines="20" w:afterLines="20" w:line="360" w:lineRule="auto"/>
        <w:jc w:val="center"/>
        <w:rPr>
          <w:sz w:val="24"/>
          <w:szCs w:val="24"/>
        </w:rPr>
      </w:pPr>
      <w:r>
        <w:rPr>
          <w:rFonts w:hint="eastAsia"/>
          <w:sz w:val="24"/>
          <w:szCs w:val="24"/>
        </w:rPr>
        <w:t>（</w:t>
      </w:r>
      <w:r>
        <w:rPr>
          <w:rFonts w:hint="eastAsia" w:ascii="宋体" w:hAnsi="宋体" w:cs="宋体"/>
          <w:sz w:val="24"/>
          <w:szCs w:val="24"/>
        </w:rPr>
        <w:t>有综合型酒店合作业绩，至少提供两份2020年1月1日之后签署的合同复印件。</w:t>
      </w:r>
      <w:r>
        <w:rPr>
          <w:rFonts w:hint="eastAsia"/>
          <w:sz w:val="24"/>
          <w:szCs w:val="24"/>
        </w:rPr>
        <w:t>）</w:t>
      </w:r>
    </w:p>
    <w:p>
      <w:pPr>
        <w:pStyle w:val="31"/>
        <w:rPr>
          <w:lang w:val="en-US"/>
        </w:rPr>
      </w:pPr>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9"/>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pStyle w:val="7"/>
        <w:rPr>
          <w:rFonts w:hAnsi="宋体"/>
          <w:sz w:val="28"/>
        </w:rPr>
      </w:pPr>
      <w:bookmarkStart w:id="201" w:name="_Toc19773355"/>
      <w:bookmarkStart w:id="202" w:name="_Toc153811205"/>
      <w:bookmarkStart w:id="203" w:name="_Toc508363610"/>
      <w:bookmarkStart w:id="204" w:name="_Toc536542362"/>
      <w:bookmarkStart w:id="205" w:name="_Toc220232402"/>
      <w:bookmarkStart w:id="206" w:name="_Toc516969105"/>
      <w:bookmarkStart w:id="207" w:name="_Toc471736419"/>
      <w:r>
        <w:rPr>
          <w:rFonts w:hint="eastAsia" w:hAnsi="宋体"/>
          <w:sz w:val="28"/>
        </w:rPr>
        <w:t>八．有关证明文件</w:t>
      </w:r>
      <w:bookmarkEnd w:id="201"/>
      <w:bookmarkEnd w:id="202"/>
      <w:bookmarkEnd w:id="203"/>
      <w:bookmarkEnd w:id="204"/>
      <w:bookmarkEnd w:id="205"/>
      <w:bookmarkEnd w:id="206"/>
      <w:bookmarkEnd w:id="207"/>
    </w:p>
    <w:p>
      <w:pPr>
        <w:pStyle w:val="31"/>
        <w:rPr>
          <w:lang w:val="en-US"/>
        </w:rPr>
      </w:pPr>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、业绩、相关证书、信用报告、其他证明资料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7"/>
        <w:rPr>
          <w:rFonts w:hAnsi="宋体"/>
          <w:sz w:val="28"/>
        </w:rPr>
      </w:pPr>
      <w:bookmarkStart w:id="208" w:name="_Toc515390551"/>
      <w:bookmarkStart w:id="209" w:name="_Toc153811206"/>
      <w:bookmarkStart w:id="210" w:name="_Toc19773356"/>
      <w:r>
        <w:rPr>
          <w:rFonts w:hint="eastAsia" w:hAnsi="宋体"/>
          <w:sz w:val="28"/>
        </w:rPr>
        <w:t>九．</w:t>
      </w:r>
      <w:bookmarkStart w:id="211" w:name="_Toc420342105"/>
      <w:r>
        <w:rPr>
          <w:rFonts w:hint="eastAsia" w:hAnsi="宋体"/>
          <w:sz w:val="28"/>
        </w:rPr>
        <w:t>生产厂商授权书</w:t>
      </w:r>
      <w:bookmarkEnd w:id="208"/>
      <w:bookmarkEnd w:id="209"/>
      <w:bookmarkEnd w:id="210"/>
      <w:bookmarkEnd w:id="211"/>
    </w:p>
    <w:p>
      <w:pPr>
        <w:spacing w:line="360" w:lineRule="auto"/>
        <w:jc w:val="center"/>
        <w:rPr>
          <w:rFonts w:ascii="宋体" w:hAnsi="宋体"/>
          <w:b/>
          <w:sz w:val="24"/>
        </w:rPr>
      </w:pPr>
      <w:r>
        <w:rPr>
          <w:rFonts w:ascii="宋体" w:hAnsi="宋体"/>
          <w:b/>
          <w:sz w:val="24"/>
        </w:rPr>
        <w:t>（</w:t>
      </w:r>
      <w:r>
        <w:rPr>
          <w:rFonts w:hint="eastAsia" w:ascii="宋体" w:hAnsi="宋体"/>
          <w:sz w:val="24"/>
        </w:rPr>
        <w:t>如允许标后提供授权，或为自制产品，或不允许代理商/销售商投标，不需此件</w:t>
      </w:r>
      <w:r>
        <w:rPr>
          <w:rFonts w:hint="eastAsia" w:ascii="宋体" w:hAnsi="宋体"/>
          <w:b/>
          <w:sz w:val="24"/>
        </w:rPr>
        <w:t>）</w:t>
      </w:r>
    </w:p>
    <w:p>
      <w:pPr>
        <w:pStyle w:val="31"/>
        <w:jc w:val="center"/>
        <w:rPr>
          <w:lang w:val="en-US"/>
        </w:rPr>
      </w:pPr>
      <w:r>
        <w:rPr>
          <w:rFonts w:hint="eastAsia"/>
          <w:lang w:val="en-US"/>
        </w:rPr>
        <w:t>（</w:t>
      </w:r>
      <w:r>
        <w:rPr>
          <w:rFonts w:hint="eastAsia" w:hAnsi="宋体" w:cs="宋体"/>
          <w:szCs w:val="24"/>
        </w:rPr>
        <w:t>本项目采取标后授权，中标人根据招标人后续需要提供。</w:t>
      </w:r>
      <w:r>
        <w:rPr>
          <w:rFonts w:hint="eastAsia"/>
          <w:lang w:val="en-US"/>
        </w:rPr>
        <w:t>）</w:t>
      </w:r>
    </w:p>
    <w:p>
      <w:pPr>
        <w:pStyle w:val="11"/>
        <w:spacing w:line="360" w:lineRule="auto"/>
        <w:rPr>
          <w:rFonts w:ascii="宋体" w:hAnsi="宋体"/>
          <w:sz w:val="24"/>
        </w:rPr>
      </w:pPr>
      <w:r>
        <w:rPr>
          <w:rFonts w:hint="eastAsia" w:ascii="宋体" w:hAnsi="宋体"/>
          <w:sz w:val="24"/>
        </w:rPr>
        <w:t>致：合肥泓瑞金陵大酒店有限责任公司</w:t>
      </w:r>
    </w:p>
    <w:p>
      <w:pPr>
        <w:pStyle w:val="11"/>
        <w:spacing w:line="360" w:lineRule="auto"/>
        <w:ind w:firstLine="482" w:firstLineChars="200"/>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（生产厂商地址）。公司是我公司正式授权经营我公司（产品名称）的商家，它有权提供合肥泓瑞金陵大酒店有限责任公司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pPr>
      <w:r>
        <w:rPr>
          <w:rFonts w:hint="eastAsia" w:ascii="宋体" w:hAnsi="宋体"/>
          <w:sz w:val="24"/>
        </w:rPr>
        <w:t>日      期：</w:t>
      </w:r>
    </w:p>
    <w:p>
      <w:pPr>
        <w:spacing w:line="360" w:lineRule="auto"/>
      </w:pPr>
    </w:p>
    <w:p>
      <w:pPr>
        <w:pStyle w:val="7"/>
        <w:rPr>
          <w:rFonts w:hAnsi="宋体"/>
          <w:sz w:val="28"/>
        </w:rPr>
      </w:pPr>
      <w:bookmarkStart w:id="212" w:name="_Toc515390552"/>
      <w:bookmarkStart w:id="213" w:name="_Toc153811207"/>
      <w:bookmarkStart w:id="214" w:name="_Toc19773357"/>
      <w:r>
        <w:rPr>
          <w:rFonts w:hint="eastAsia" w:hAnsi="宋体"/>
          <w:sz w:val="28"/>
        </w:rPr>
        <w:t>十．相关授权或承诺书</w:t>
      </w:r>
      <w:bookmarkEnd w:id="212"/>
      <w:bookmarkEnd w:id="213"/>
      <w:bookmarkEnd w:id="214"/>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致：合肥泓瑞金陵大酒店有限责任公司</w:t>
      </w:r>
    </w:p>
    <w:p>
      <w:pPr>
        <w:spacing w:line="480" w:lineRule="auto"/>
        <w:ind w:firstLine="482" w:firstLineChars="200"/>
        <w:rPr>
          <w:rFonts w:ascii="宋体" w:hAnsi="宋体"/>
          <w:b/>
          <w:sz w:val="24"/>
          <w:szCs w:val="24"/>
        </w:rPr>
      </w:pPr>
    </w:p>
    <w:p>
      <w:pPr>
        <w:spacing w:line="480" w:lineRule="auto"/>
        <w:ind w:firstLine="480" w:firstLineChars="200"/>
        <w:rPr>
          <w:rFonts w:ascii="宋体" w:hAnsi="宋体"/>
          <w:sz w:val="24"/>
        </w:rPr>
      </w:pPr>
      <w:r>
        <w:rPr>
          <w:rFonts w:hint="eastAsia" w:ascii="宋体" w:hAnsi="宋体"/>
          <w:sz w:val="24"/>
          <w:szCs w:val="24"/>
        </w:rPr>
        <w:t>若</w:t>
      </w:r>
      <w:r>
        <w:rPr>
          <w:rFonts w:ascii="宋体" w:hAnsi="宋体"/>
          <w:sz w:val="24"/>
          <w:szCs w:val="24"/>
        </w:rPr>
        <w:t>我公司中标，我公司将在</w:t>
      </w:r>
      <w:r>
        <w:rPr>
          <w:rFonts w:hint="eastAsia" w:ascii="宋体" w:hAnsi="宋体"/>
          <w:sz w:val="24"/>
          <w:szCs w:val="24"/>
        </w:rPr>
        <w:t>供货前</w:t>
      </w:r>
      <w:r>
        <w:rPr>
          <w:rFonts w:ascii="宋体" w:hAnsi="宋体"/>
          <w:sz w:val="24"/>
          <w:szCs w:val="24"/>
        </w:rPr>
        <w:t>向</w:t>
      </w:r>
      <w:r>
        <w:rPr>
          <w:rFonts w:hint="eastAsia" w:ascii="宋体" w:hAnsi="宋体"/>
          <w:sz w:val="24"/>
          <w:szCs w:val="24"/>
        </w:rPr>
        <w:t>委托</w:t>
      </w:r>
      <w:r>
        <w:rPr>
          <w:rFonts w:ascii="宋体" w:hAnsi="宋体"/>
          <w:sz w:val="24"/>
          <w:szCs w:val="24"/>
        </w:rPr>
        <w:t>人提供</w:t>
      </w:r>
      <w:r>
        <w:rPr>
          <w:rFonts w:hint="eastAsia" w:ascii="宋体" w:hAnsi="宋体"/>
          <w:sz w:val="24"/>
          <w:szCs w:val="24"/>
        </w:rPr>
        <w:t>招标文件要求的产品原厂授权、原厂售后服务承诺函、原厂</w:t>
      </w:r>
      <w:r>
        <w:rPr>
          <w:rFonts w:ascii="宋体" w:hAnsi="宋体"/>
          <w:sz w:val="24"/>
          <w:szCs w:val="24"/>
        </w:rPr>
        <w:t>技术服务承诺书</w:t>
      </w:r>
      <w:r>
        <w:rPr>
          <w:rFonts w:hint="eastAsia" w:ascii="宋体" w:hAnsi="宋体"/>
          <w:sz w:val="24"/>
          <w:szCs w:val="24"/>
        </w:rPr>
        <w:t>（项目负责人可根据项目编制）</w:t>
      </w:r>
      <w:r>
        <w:rPr>
          <w:rFonts w:ascii="宋体" w:hAnsi="宋体"/>
          <w:sz w:val="24"/>
          <w:szCs w:val="24"/>
        </w:rPr>
        <w:t>，逾期未提供</w:t>
      </w:r>
      <w:r>
        <w:rPr>
          <w:rFonts w:hint="eastAsia" w:ascii="宋体" w:hAnsi="宋体"/>
          <w:sz w:val="24"/>
          <w:szCs w:val="24"/>
        </w:rPr>
        <w:t>或提供不符合要求</w:t>
      </w:r>
      <w:r>
        <w:rPr>
          <w:rFonts w:ascii="宋体" w:hAnsi="宋体"/>
          <w:sz w:val="24"/>
          <w:szCs w:val="24"/>
        </w:rPr>
        <w:t>的，</w:t>
      </w:r>
      <w:r>
        <w:rPr>
          <w:rFonts w:hint="eastAsia" w:ascii="宋体" w:hAnsi="宋体"/>
          <w:sz w:val="24"/>
          <w:szCs w:val="24"/>
        </w:rPr>
        <w:t>均按我公司</w:t>
      </w:r>
      <w:r>
        <w:rPr>
          <w:rFonts w:ascii="宋体" w:hAnsi="宋体"/>
          <w:sz w:val="24"/>
          <w:szCs w:val="24"/>
        </w:rPr>
        <w:t>自</w:t>
      </w:r>
      <w:r>
        <w:rPr>
          <w:rFonts w:hint="eastAsia" w:ascii="宋体" w:hAnsi="宋体"/>
          <w:sz w:val="24"/>
          <w:szCs w:val="24"/>
        </w:rPr>
        <w:t>愿</w:t>
      </w:r>
      <w:r>
        <w:rPr>
          <w:rFonts w:ascii="宋体" w:hAnsi="宋体"/>
          <w:sz w:val="24"/>
          <w:szCs w:val="24"/>
        </w:rPr>
        <w:t>放弃中标资格处理，由此产生的一切相关责任</w:t>
      </w:r>
      <w:r>
        <w:rPr>
          <w:rFonts w:hint="eastAsia" w:ascii="宋体" w:hAnsi="宋体"/>
          <w:sz w:val="24"/>
          <w:szCs w:val="24"/>
        </w:rPr>
        <w:t>和后果</w:t>
      </w:r>
      <w:r>
        <w:rPr>
          <w:rFonts w:ascii="宋体" w:hAnsi="宋体"/>
          <w:sz w:val="24"/>
          <w:szCs w:val="24"/>
        </w:rPr>
        <w:t>由</w:t>
      </w:r>
      <w:r>
        <w:rPr>
          <w:rFonts w:hint="eastAsia" w:ascii="宋体" w:hAnsi="宋体"/>
          <w:sz w:val="24"/>
          <w:szCs w:val="24"/>
        </w:rPr>
        <w:t>我</w:t>
      </w:r>
      <w:r>
        <w:rPr>
          <w:rFonts w:ascii="宋体" w:hAnsi="宋体"/>
          <w:sz w:val="24"/>
          <w:szCs w:val="24"/>
        </w:rPr>
        <w:t>公司</w:t>
      </w:r>
      <w:r>
        <w:rPr>
          <w:rFonts w:hint="eastAsia" w:ascii="宋体" w:hAnsi="宋体"/>
          <w:sz w:val="24"/>
          <w:szCs w:val="24"/>
        </w:rPr>
        <w:t>自行</w:t>
      </w:r>
      <w:r>
        <w:rPr>
          <w:rFonts w:ascii="宋体" w:hAnsi="宋体"/>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ind w:firstLine="5691" w:firstLineChars="2362"/>
        <w:rPr>
          <w:rFonts w:ascii="宋体"/>
          <w:b/>
          <w:sz w:val="24"/>
          <w:u w:val="single"/>
        </w:rPr>
      </w:pPr>
      <w:r>
        <w:rPr>
          <w:rFonts w:hint="eastAsia" w:ascii="宋体" w:hAnsi="宋体"/>
          <w:b/>
          <w:sz w:val="24"/>
        </w:rPr>
        <w:t>投标人签章：</w:t>
      </w:r>
    </w:p>
    <w:p>
      <w:pPr>
        <w:tabs>
          <w:tab w:val="left" w:pos="4620"/>
        </w:tabs>
        <w:spacing w:line="360" w:lineRule="auto"/>
        <w:ind w:firstLine="5951" w:firstLineChars="2470"/>
        <w:rPr>
          <w:rFonts w:ascii="宋体"/>
          <w:b/>
          <w:sz w:val="24"/>
          <w:u w:val="single"/>
        </w:rPr>
      </w:pPr>
      <w:r>
        <w:rPr>
          <w:rFonts w:hint="eastAsia" w:ascii="宋体" w:hAnsi="宋体"/>
          <w:b/>
          <w:sz w:val="24"/>
        </w:rPr>
        <w:t>日期：</w:t>
      </w:r>
    </w:p>
    <w:p>
      <w:pPr>
        <w:spacing w:line="360" w:lineRule="auto"/>
        <w:rPr>
          <w:rFonts w:ascii="宋体" w:hAnsi="宋体"/>
          <w:sz w:val="28"/>
          <w:u w:val="single"/>
        </w:rPr>
      </w:pPr>
    </w:p>
    <w:p>
      <w:pPr>
        <w:ind w:firstLine="630"/>
        <w:rPr>
          <w:rFonts w:ascii="宋体" w:hAnsi="宋体"/>
          <w:sz w:val="28"/>
        </w:rPr>
      </w:pPr>
    </w:p>
    <w:p>
      <w:pPr>
        <w:jc w:val="center"/>
        <w:rPr>
          <w:rFonts w:ascii="宋体" w:hAnsi="宋体"/>
          <w:sz w:val="28"/>
        </w:rPr>
      </w:pPr>
    </w:p>
    <w:p>
      <w:pPr>
        <w:pStyle w:val="7"/>
        <w:rPr>
          <w:rFonts w:hAnsi="宋体"/>
          <w:sz w:val="28"/>
        </w:rPr>
      </w:pPr>
      <w:bookmarkStart w:id="215" w:name="_Toc19773363"/>
      <w:bookmarkStart w:id="216" w:name="_Toc508363616"/>
      <w:bookmarkStart w:id="217" w:name="_Toc153811208"/>
      <w:bookmarkStart w:id="218" w:name="_Toc536542367"/>
      <w:r>
        <w:rPr>
          <w:rFonts w:hint="eastAsia" w:hAnsi="宋体"/>
          <w:sz w:val="28"/>
        </w:rPr>
        <w:t>十一</w:t>
      </w:r>
      <w:r>
        <w:rPr>
          <w:rFonts w:hAnsi="宋体"/>
          <w:sz w:val="28"/>
        </w:rPr>
        <w:t xml:space="preserve">. </w:t>
      </w:r>
      <w:r>
        <w:rPr>
          <w:rFonts w:hint="eastAsia" w:hAnsi="宋体"/>
          <w:sz w:val="28"/>
        </w:rPr>
        <w:t>投标人认为需提供的其他资料</w:t>
      </w:r>
      <w:bookmarkEnd w:id="215"/>
      <w:bookmarkEnd w:id="216"/>
      <w:bookmarkEnd w:id="217"/>
      <w:bookmarkEnd w:id="218"/>
    </w:p>
    <w:p>
      <w:pPr>
        <w:pStyle w:val="7"/>
        <w:spacing w:line="360" w:lineRule="auto"/>
        <w:rPr>
          <w:rFonts w:hAnsi="宋体"/>
          <w:sz w:val="28"/>
        </w:rPr>
      </w:pP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7"/>
        <w:rPr>
          <w:rFonts w:hAnsi="宋体"/>
          <w:sz w:val="28"/>
          <w:szCs w:val="36"/>
        </w:rPr>
      </w:pPr>
      <w:bookmarkStart w:id="219" w:name="_Toc536542368"/>
      <w:bookmarkStart w:id="220" w:name="_Toc508363607"/>
      <w:bookmarkStart w:id="221" w:name="_Toc153811209"/>
      <w:bookmarkStart w:id="222" w:name="_Toc220232400"/>
      <w:bookmarkStart w:id="223" w:name="_Toc19773364"/>
      <w:bookmarkStart w:id="224" w:name="_Toc471736416"/>
      <w:r>
        <w:rPr>
          <w:rFonts w:hint="eastAsia" w:hAnsi="宋体"/>
          <w:sz w:val="28"/>
        </w:rPr>
        <w:t>十二．产品质量承诺</w:t>
      </w:r>
      <w:bookmarkEnd w:id="219"/>
      <w:bookmarkEnd w:id="220"/>
      <w:bookmarkEnd w:id="221"/>
      <w:bookmarkEnd w:id="222"/>
      <w:bookmarkEnd w:id="223"/>
      <w:bookmarkEnd w:id="224"/>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p>
      <w:pPr>
        <w:spacing w:line="500" w:lineRule="exact"/>
      </w:pPr>
    </w:p>
    <w:sectPr>
      <w:footerReference r:id="rId10" w:type="default"/>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微软简标宋">
    <w:altName w:val="黑体"/>
    <w:panose1 w:val="00000000000000000000"/>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s>
      <w:jc w:val="both"/>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639"/>
        <w:tab w:val="clear" w:pos="4153"/>
      </w:tabs>
      <w:jc w:val="both"/>
      <w:rPr>
        <w:rFonts w:ascii="宋体" w:hAnsi="宋体"/>
        <w:sz w:val="24"/>
      </w:rPr>
    </w:pPr>
    <w:r>
      <w:rPr>
        <w:sz w:val="24"/>
      </w:rPr>
      <w:pict>
        <v:shape id="_x0000_s2052" o:spid="_x0000_s205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path/>
          <v:fill on="f" focussize="0,0"/>
          <v:stroke on="f" weight="0.5pt"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29页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639"/>
        <w:tab w:val="clear" w:pos="4153"/>
      </w:tabs>
      <w:jc w:val="both"/>
      <w:rPr>
        <w:rFonts w:ascii="宋体" w:hAnsi="宋体"/>
        <w:sz w:val="24"/>
      </w:rPr>
    </w:pPr>
    <w:r>
      <w:rPr>
        <w:sz w:val="24"/>
      </w:rPr>
      <w:pict>
        <v:shape id="_x0000_s2051" o:spid="_x0000_s2051"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path/>
          <v:fill on="f" focussize="0,0"/>
          <v:stroke on="f" weight="0.5pt"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29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s>
      <w:jc w:val="both"/>
      <w:rPr>
        <w:rFonts w:ascii="宋体" w:hAnsi="宋体"/>
        <w:sz w:val="24"/>
      </w:rPr>
    </w:pPr>
    <w:r>
      <w:rPr>
        <w:sz w:val="24"/>
      </w:rPr>
      <w:pict>
        <v:shape id="_x0000_s2050" o:spid="_x0000_s2050"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path/>
          <v:fill on="f" focussize="0,0"/>
          <v:stroke on="f" weight="0.5pt"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29页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left" w:pos="5446"/>
        <w:tab w:val="clear" w:pos="4153"/>
        <w:tab w:val="clear" w:pos="8306"/>
      </w:tabs>
      <w:jc w:val="both"/>
      <w:rPr>
        <w:rFonts w:ascii="宋体" w:hAnsi="宋体"/>
        <w:sz w:val="24"/>
      </w:rPr>
    </w:pPr>
    <w:r>
      <w:rPr>
        <w:sz w:val="24"/>
      </w:rPr>
      <w:pict>
        <v:shape id="_x0000_s2049" o:spid="_x0000_s2049"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path/>
          <v:fill on="f" focussize="0,0"/>
          <v:stroke on="f" weight="0.5pt"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29 页</w:t>
                </w:r>
              </w:p>
            </w:txbxContent>
          </v:textbox>
        </v:shape>
      </w:pict>
    </w:r>
    <w:r>
      <w:rPr>
        <w:rFonts w:hint="eastAsia" w:ascii="宋体" w:hAnsi="宋体"/>
        <w:sz w:val="24"/>
      </w:rPr>
      <w:tab/>
    </w:r>
    <w:r>
      <w:rPr>
        <w:rFonts w:hint="eastAsia" w:ascii="宋体" w:hAnsi="宋体"/>
        <w:sz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b/>
        <w:i/>
        <w:sz w:val="24"/>
      </w:rPr>
    </w:pPr>
    <w:r>
      <w:rPr>
        <w:rFonts w:hint="eastAsia"/>
      </w:rPr>
      <w:t>合肥泓瑞金陵大酒店有限责任公司招标文件-服务类（适用于综合评分法）                       2023版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3283A"/>
    <w:multiLevelType w:val="singleLevel"/>
    <w:tmpl w:val="AF53283A"/>
    <w:lvl w:ilvl="0" w:tentative="0">
      <w:start w:val="2"/>
      <w:numFmt w:val="chineseCounting"/>
      <w:suff w:val="space"/>
      <w:lvlText w:val="第%1章"/>
      <w:lvlJc w:val="left"/>
      <w:rPr>
        <w:rFonts w:hint="eastAsia"/>
      </w:rPr>
    </w:lvl>
  </w:abstractNum>
  <w:abstractNum w:abstractNumId="1">
    <w:nsid w:val="02E221D2"/>
    <w:multiLevelType w:val="singleLevel"/>
    <w:tmpl w:val="02E221D2"/>
    <w:lvl w:ilvl="0" w:tentative="0">
      <w:start w:val="3"/>
      <w:numFmt w:val="chineseCounting"/>
      <w:suff w:val="nothing"/>
      <w:lvlText w:val="%1．"/>
      <w:lvlJc w:val="left"/>
      <w:rPr>
        <w:rFonts w:hint="eastAsia"/>
      </w:rPr>
    </w:lvl>
  </w:abstractNum>
  <w:abstractNum w:abstractNumId="2">
    <w:nsid w:val="1007DA62"/>
    <w:multiLevelType w:val="singleLevel"/>
    <w:tmpl w:val="1007DA62"/>
    <w:lvl w:ilvl="0" w:tentative="0">
      <w:start w:val="7"/>
      <w:numFmt w:val="chineseCounting"/>
      <w:suff w:val="space"/>
      <w:lvlText w:val="第%1章"/>
      <w:lvlJc w:val="left"/>
      <w:rPr>
        <w:rFonts w:hint="eastAsia"/>
      </w:rPr>
    </w:lvl>
  </w:abstractNum>
  <w:abstractNum w:abstractNumId="3">
    <w:nsid w:val="514B41F6"/>
    <w:multiLevelType w:val="singleLevel"/>
    <w:tmpl w:val="514B41F6"/>
    <w:lvl w:ilvl="0" w:tentative="0">
      <w:start w:val="1"/>
      <w:numFmt w:val="decimal"/>
      <w:suff w:val="nothing"/>
      <w:lvlText w:val="%1、"/>
      <w:lvlJc w:val="left"/>
    </w:lvl>
  </w:abstractNum>
  <w:abstractNum w:abstractNumId="4">
    <w:nsid w:val="54699ADF"/>
    <w:multiLevelType w:val="singleLevel"/>
    <w:tmpl w:val="54699ADF"/>
    <w:lvl w:ilvl="0" w:tentative="0">
      <w:start w:val="1"/>
      <w:numFmt w:val="decimal"/>
      <w:suff w:val="nothing"/>
      <w:lvlText w:val="（%1）"/>
      <w:lvlJc w:val="left"/>
    </w:lvl>
  </w:abstractNum>
  <w:abstractNum w:abstractNumId="5">
    <w:nsid w:val="7669D5E2"/>
    <w:multiLevelType w:val="singleLevel"/>
    <w:tmpl w:val="7669D5E2"/>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3ODRmNGE5ZWJjMTZjYmVjNGU1MzFhZjc5MTI1MGUifQ=="/>
  </w:docVars>
  <w:rsids>
    <w:rsidRoot w:val="65C07E70"/>
    <w:rsid w:val="0003402D"/>
    <w:rsid w:val="00061FB9"/>
    <w:rsid w:val="001472D6"/>
    <w:rsid w:val="0022486E"/>
    <w:rsid w:val="00365091"/>
    <w:rsid w:val="003B4AE0"/>
    <w:rsid w:val="00411A0C"/>
    <w:rsid w:val="0054195C"/>
    <w:rsid w:val="0056181E"/>
    <w:rsid w:val="0057267D"/>
    <w:rsid w:val="00627EFE"/>
    <w:rsid w:val="008D08CD"/>
    <w:rsid w:val="0099137C"/>
    <w:rsid w:val="009D4B66"/>
    <w:rsid w:val="00A703FE"/>
    <w:rsid w:val="00A90534"/>
    <w:rsid w:val="00AF2854"/>
    <w:rsid w:val="00B514A4"/>
    <w:rsid w:val="00B73A76"/>
    <w:rsid w:val="00C04D1B"/>
    <w:rsid w:val="00D018AE"/>
    <w:rsid w:val="00E505A1"/>
    <w:rsid w:val="00EC4100"/>
    <w:rsid w:val="00ED2E5A"/>
    <w:rsid w:val="0101507E"/>
    <w:rsid w:val="0119288E"/>
    <w:rsid w:val="01454CB8"/>
    <w:rsid w:val="0165068A"/>
    <w:rsid w:val="01667BA5"/>
    <w:rsid w:val="01773FCF"/>
    <w:rsid w:val="018A2B84"/>
    <w:rsid w:val="01DF2B0D"/>
    <w:rsid w:val="01E20119"/>
    <w:rsid w:val="01E74BAC"/>
    <w:rsid w:val="01EA2C2A"/>
    <w:rsid w:val="01EB3D86"/>
    <w:rsid w:val="01EF6738"/>
    <w:rsid w:val="01F5050B"/>
    <w:rsid w:val="0204751F"/>
    <w:rsid w:val="02530B99"/>
    <w:rsid w:val="026874C7"/>
    <w:rsid w:val="028F0A7F"/>
    <w:rsid w:val="02A14F1A"/>
    <w:rsid w:val="02DC384C"/>
    <w:rsid w:val="02EE7C1F"/>
    <w:rsid w:val="02F475BC"/>
    <w:rsid w:val="034B62C1"/>
    <w:rsid w:val="03852B3C"/>
    <w:rsid w:val="03914B4E"/>
    <w:rsid w:val="03951A7A"/>
    <w:rsid w:val="03B656C9"/>
    <w:rsid w:val="03C113AD"/>
    <w:rsid w:val="03F07CFE"/>
    <w:rsid w:val="03F52470"/>
    <w:rsid w:val="041A5398"/>
    <w:rsid w:val="04266116"/>
    <w:rsid w:val="042F6B40"/>
    <w:rsid w:val="04356DB0"/>
    <w:rsid w:val="044C7050"/>
    <w:rsid w:val="04625F72"/>
    <w:rsid w:val="046542BB"/>
    <w:rsid w:val="0468429A"/>
    <w:rsid w:val="047548BF"/>
    <w:rsid w:val="0484575F"/>
    <w:rsid w:val="04976717"/>
    <w:rsid w:val="04E349B2"/>
    <w:rsid w:val="04E51EEC"/>
    <w:rsid w:val="04EF7B07"/>
    <w:rsid w:val="04F67446"/>
    <w:rsid w:val="050D3968"/>
    <w:rsid w:val="05104397"/>
    <w:rsid w:val="056D546A"/>
    <w:rsid w:val="056F3473"/>
    <w:rsid w:val="0575496C"/>
    <w:rsid w:val="05C87C01"/>
    <w:rsid w:val="05E0260E"/>
    <w:rsid w:val="05E447D7"/>
    <w:rsid w:val="06436E2A"/>
    <w:rsid w:val="064C284D"/>
    <w:rsid w:val="065C2A25"/>
    <w:rsid w:val="066340FA"/>
    <w:rsid w:val="066F339F"/>
    <w:rsid w:val="06786C7B"/>
    <w:rsid w:val="06AC283D"/>
    <w:rsid w:val="06D64B6E"/>
    <w:rsid w:val="06E2265B"/>
    <w:rsid w:val="06EA2655"/>
    <w:rsid w:val="06F217F5"/>
    <w:rsid w:val="07071F58"/>
    <w:rsid w:val="07150263"/>
    <w:rsid w:val="074B32D7"/>
    <w:rsid w:val="07750D9A"/>
    <w:rsid w:val="078E2756"/>
    <w:rsid w:val="07994402"/>
    <w:rsid w:val="080F66F2"/>
    <w:rsid w:val="08171FE9"/>
    <w:rsid w:val="08382A04"/>
    <w:rsid w:val="0868697D"/>
    <w:rsid w:val="087E2DDC"/>
    <w:rsid w:val="08984C10"/>
    <w:rsid w:val="08E92331"/>
    <w:rsid w:val="09036E3A"/>
    <w:rsid w:val="09557C34"/>
    <w:rsid w:val="0992646A"/>
    <w:rsid w:val="0A056874"/>
    <w:rsid w:val="0A066882"/>
    <w:rsid w:val="0A082508"/>
    <w:rsid w:val="0A1E4FCF"/>
    <w:rsid w:val="0A1F76A4"/>
    <w:rsid w:val="0A2F7790"/>
    <w:rsid w:val="0A470952"/>
    <w:rsid w:val="0A5218F8"/>
    <w:rsid w:val="0A560F4B"/>
    <w:rsid w:val="0A6A6AA2"/>
    <w:rsid w:val="0A81748B"/>
    <w:rsid w:val="0A823D5C"/>
    <w:rsid w:val="0A9B13E8"/>
    <w:rsid w:val="0AAD571F"/>
    <w:rsid w:val="0AC9368B"/>
    <w:rsid w:val="0AEB3A6F"/>
    <w:rsid w:val="0AF31F6C"/>
    <w:rsid w:val="0AF865E3"/>
    <w:rsid w:val="0B081002"/>
    <w:rsid w:val="0B774307"/>
    <w:rsid w:val="0B8D3BA8"/>
    <w:rsid w:val="0B9F3026"/>
    <w:rsid w:val="0C081025"/>
    <w:rsid w:val="0C0E3E1B"/>
    <w:rsid w:val="0C41432A"/>
    <w:rsid w:val="0CA352C8"/>
    <w:rsid w:val="0CCC4B87"/>
    <w:rsid w:val="0CD07497"/>
    <w:rsid w:val="0CEF204D"/>
    <w:rsid w:val="0CF2339E"/>
    <w:rsid w:val="0CF74A56"/>
    <w:rsid w:val="0D084369"/>
    <w:rsid w:val="0D266103"/>
    <w:rsid w:val="0D301ED0"/>
    <w:rsid w:val="0D395E3A"/>
    <w:rsid w:val="0D5367F6"/>
    <w:rsid w:val="0D546F5E"/>
    <w:rsid w:val="0D56767B"/>
    <w:rsid w:val="0D58403D"/>
    <w:rsid w:val="0D60448B"/>
    <w:rsid w:val="0D6E304F"/>
    <w:rsid w:val="0D730581"/>
    <w:rsid w:val="0D7452EF"/>
    <w:rsid w:val="0D9E1839"/>
    <w:rsid w:val="0DBB26F5"/>
    <w:rsid w:val="0DCC3B05"/>
    <w:rsid w:val="0DD30A3C"/>
    <w:rsid w:val="0DF24B59"/>
    <w:rsid w:val="0E011B33"/>
    <w:rsid w:val="0E38375D"/>
    <w:rsid w:val="0E3C17FB"/>
    <w:rsid w:val="0E4B310D"/>
    <w:rsid w:val="0E5A58C0"/>
    <w:rsid w:val="0E610CFB"/>
    <w:rsid w:val="0E645B29"/>
    <w:rsid w:val="0E6B5898"/>
    <w:rsid w:val="0E793626"/>
    <w:rsid w:val="0E89766E"/>
    <w:rsid w:val="0E8C1FC2"/>
    <w:rsid w:val="0EB0238D"/>
    <w:rsid w:val="0EE56448"/>
    <w:rsid w:val="0F52277A"/>
    <w:rsid w:val="0F710828"/>
    <w:rsid w:val="0F7333B2"/>
    <w:rsid w:val="0F7C4072"/>
    <w:rsid w:val="0F7E2599"/>
    <w:rsid w:val="0F8B24FB"/>
    <w:rsid w:val="0FAE4A6F"/>
    <w:rsid w:val="0FE479FC"/>
    <w:rsid w:val="0FF05C5E"/>
    <w:rsid w:val="0FF4335A"/>
    <w:rsid w:val="0FF57885"/>
    <w:rsid w:val="10192194"/>
    <w:rsid w:val="101A1268"/>
    <w:rsid w:val="103147F1"/>
    <w:rsid w:val="1036588B"/>
    <w:rsid w:val="103E4D53"/>
    <w:rsid w:val="1041424C"/>
    <w:rsid w:val="10492063"/>
    <w:rsid w:val="104C0597"/>
    <w:rsid w:val="105109B0"/>
    <w:rsid w:val="105F216A"/>
    <w:rsid w:val="107E5537"/>
    <w:rsid w:val="108D3FC7"/>
    <w:rsid w:val="10B61F95"/>
    <w:rsid w:val="11297E83"/>
    <w:rsid w:val="11395EDE"/>
    <w:rsid w:val="114F4487"/>
    <w:rsid w:val="118E408D"/>
    <w:rsid w:val="11994C54"/>
    <w:rsid w:val="119B1BFE"/>
    <w:rsid w:val="11C27133"/>
    <w:rsid w:val="11CE2A77"/>
    <w:rsid w:val="11E51A1B"/>
    <w:rsid w:val="11E56119"/>
    <w:rsid w:val="1200636F"/>
    <w:rsid w:val="12121783"/>
    <w:rsid w:val="1217606D"/>
    <w:rsid w:val="122F0B01"/>
    <w:rsid w:val="123936B9"/>
    <w:rsid w:val="12407AA0"/>
    <w:rsid w:val="12444F2B"/>
    <w:rsid w:val="125C396A"/>
    <w:rsid w:val="1260490B"/>
    <w:rsid w:val="128559BA"/>
    <w:rsid w:val="12856B8A"/>
    <w:rsid w:val="12A84A6D"/>
    <w:rsid w:val="12AB66C6"/>
    <w:rsid w:val="12B45F2E"/>
    <w:rsid w:val="12BA632F"/>
    <w:rsid w:val="12CA0569"/>
    <w:rsid w:val="12EC3114"/>
    <w:rsid w:val="12F1394B"/>
    <w:rsid w:val="13135957"/>
    <w:rsid w:val="1317674A"/>
    <w:rsid w:val="13257AB0"/>
    <w:rsid w:val="13277D74"/>
    <w:rsid w:val="13420563"/>
    <w:rsid w:val="136152D5"/>
    <w:rsid w:val="136E46C7"/>
    <w:rsid w:val="137E6912"/>
    <w:rsid w:val="13873F3F"/>
    <w:rsid w:val="13894A69"/>
    <w:rsid w:val="13BA51AC"/>
    <w:rsid w:val="13CB040B"/>
    <w:rsid w:val="13EF4985"/>
    <w:rsid w:val="14104FCE"/>
    <w:rsid w:val="14310546"/>
    <w:rsid w:val="143D7CE3"/>
    <w:rsid w:val="144C0658"/>
    <w:rsid w:val="14A1589E"/>
    <w:rsid w:val="14AC6A89"/>
    <w:rsid w:val="14BD39AD"/>
    <w:rsid w:val="14BF17BD"/>
    <w:rsid w:val="14CE40C6"/>
    <w:rsid w:val="14E157FF"/>
    <w:rsid w:val="14F35001"/>
    <w:rsid w:val="15330A7C"/>
    <w:rsid w:val="154274B7"/>
    <w:rsid w:val="1558198F"/>
    <w:rsid w:val="157B0BFF"/>
    <w:rsid w:val="15974006"/>
    <w:rsid w:val="15AB5AB6"/>
    <w:rsid w:val="15E8709F"/>
    <w:rsid w:val="15FA6475"/>
    <w:rsid w:val="160361EE"/>
    <w:rsid w:val="1610555E"/>
    <w:rsid w:val="161714AC"/>
    <w:rsid w:val="16226F62"/>
    <w:rsid w:val="16745C37"/>
    <w:rsid w:val="167B52AA"/>
    <w:rsid w:val="16847BBA"/>
    <w:rsid w:val="169D4D84"/>
    <w:rsid w:val="16C94102"/>
    <w:rsid w:val="16D360BC"/>
    <w:rsid w:val="17134719"/>
    <w:rsid w:val="175E0B34"/>
    <w:rsid w:val="17975D1E"/>
    <w:rsid w:val="1797732A"/>
    <w:rsid w:val="17B43519"/>
    <w:rsid w:val="17C32CFC"/>
    <w:rsid w:val="17CE7508"/>
    <w:rsid w:val="17E11AFD"/>
    <w:rsid w:val="17ED6CC5"/>
    <w:rsid w:val="18006045"/>
    <w:rsid w:val="180C5152"/>
    <w:rsid w:val="1818515C"/>
    <w:rsid w:val="1837623D"/>
    <w:rsid w:val="18404445"/>
    <w:rsid w:val="18413A1C"/>
    <w:rsid w:val="18663BB6"/>
    <w:rsid w:val="186760F5"/>
    <w:rsid w:val="187325A4"/>
    <w:rsid w:val="18A20E59"/>
    <w:rsid w:val="18DE1683"/>
    <w:rsid w:val="18E322EE"/>
    <w:rsid w:val="190A4A13"/>
    <w:rsid w:val="1967724D"/>
    <w:rsid w:val="197C02D4"/>
    <w:rsid w:val="197E5348"/>
    <w:rsid w:val="19935225"/>
    <w:rsid w:val="19B51D55"/>
    <w:rsid w:val="19B669C2"/>
    <w:rsid w:val="19B85F9E"/>
    <w:rsid w:val="19D8791C"/>
    <w:rsid w:val="19ED0621"/>
    <w:rsid w:val="1A077B10"/>
    <w:rsid w:val="1A1F3B21"/>
    <w:rsid w:val="1A2F0E28"/>
    <w:rsid w:val="1A4C0330"/>
    <w:rsid w:val="1A6778AE"/>
    <w:rsid w:val="1A6E21BF"/>
    <w:rsid w:val="1A8830F1"/>
    <w:rsid w:val="1AA764D6"/>
    <w:rsid w:val="1AC42FAA"/>
    <w:rsid w:val="1AD41918"/>
    <w:rsid w:val="1B027B74"/>
    <w:rsid w:val="1B1B4A73"/>
    <w:rsid w:val="1B345C2E"/>
    <w:rsid w:val="1B4031CE"/>
    <w:rsid w:val="1B5128FE"/>
    <w:rsid w:val="1B562792"/>
    <w:rsid w:val="1B5A5412"/>
    <w:rsid w:val="1B5B2E03"/>
    <w:rsid w:val="1B5D10FA"/>
    <w:rsid w:val="1B6339FB"/>
    <w:rsid w:val="1B7828BF"/>
    <w:rsid w:val="1B821929"/>
    <w:rsid w:val="1B8C0DD3"/>
    <w:rsid w:val="1B8C4D0D"/>
    <w:rsid w:val="1BDB7F7A"/>
    <w:rsid w:val="1BEE7651"/>
    <w:rsid w:val="1C027387"/>
    <w:rsid w:val="1C31312F"/>
    <w:rsid w:val="1C4B4A03"/>
    <w:rsid w:val="1C850057"/>
    <w:rsid w:val="1C880D53"/>
    <w:rsid w:val="1C954315"/>
    <w:rsid w:val="1CA6450D"/>
    <w:rsid w:val="1CCC7238"/>
    <w:rsid w:val="1CD21262"/>
    <w:rsid w:val="1CF724BB"/>
    <w:rsid w:val="1D121906"/>
    <w:rsid w:val="1D1F6A6C"/>
    <w:rsid w:val="1D34474E"/>
    <w:rsid w:val="1D4E1801"/>
    <w:rsid w:val="1D62047A"/>
    <w:rsid w:val="1D833291"/>
    <w:rsid w:val="1D9D1DB2"/>
    <w:rsid w:val="1DA00E86"/>
    <w:rsid w:val="1DA5048C"/>
    <w:rsid w:val="1DA605B0"/>
    <w:rsid w:val="1DA6340B"/>
    <w:rsid w:val="1DD408E6"/>
    <w:rsid w:val="1DDC1541"/>
    <w:rsid w:val="1E2D7505"/>
    <w:rsid w:val="1E3160C0"/>
    <w:rsid w:val="1E327398"/>
    <w:rsid w:val="1E3A6131"/>
    <w:rsid w:val="1E400C74"/>
    <w:rsid w:val="1EE1648E"/>
    <w:rsid w:val="1EE51C67"/>
    <w:rsid w:val="1EE95B0A"/>
    <w:rsid w:val="1EED0B01"/>
    <w:rsid w:val="1F02701D"/>
    <w:rsid w:val="1F32150E"/>
    <w:rsid w:val="1F413A6F"/>
    <w:rsid w:val="1F565141"/>
    <w:rsid w:val="1F62631D"/>
    <w:rsid w:val="1F6B4451"/>
    <w:rsid w:val="1F6E4B1E"/>
    <w:rsid w:val="2022460E"/>
    <w:rsid w:val="20276911"/>
    <w:rsid w:val="20302972"/>
    <w:rsid w:val="20306800"/>
    <w:rsid w:val="20484FAF"/>
    <w:rsid w:val="207F22F8"/>
    <w:rsid w:val="20A20335"/>
    <w:rsid w:val="20CB6DAE"/>
    <w:rsid w:val="20E36B77"/>
    <w:rsid w:val="20E80C3B"/>
    <w:rsid w:val="20EA6ED7"/>
    <w:rsid w:val="21226EB6"/>
    <w:rsid w:val="212A6C37"/>
    <w:rsid w:val="2166482C"/>
    <w:rsid w:val="216778AC"/>
    <w:rsid w:val="21716324"/>
    <w:rsid w:val="217F78CB"/>
    <w:rsid w:val="218E6AF7"/>
    <w:rsid w:val="21990D45"/>
    <w:rsid w:val="21C4061B"/>
    <w:rsid w:val="21D37007"/>
    <w:rsid w:val="21DB2EC1"/>
    <w:rsid w:val="22174096"/>
    <w:rsid w:val="223C7EDF"/>
    <w:rsid w:val="228A4A11"/>
    <w:rsid w:val="22A57A3F"/>
    <w:rsid w:val="22B863C9"/>
    <w:rsid w:val="22BA5ACA"/>
    <w:rsid w:val="22DE488C"/>
    <w:rsid w:val="22F33B8C"/>
    <w:rsid w:val="23010992"/>
    <w:rsid w:val="23041F27"/>
    <w:rsid w:val="23103074"/>
    <w:rsid w:val="233C5A73"/>
    <w:rsid w:val="23816268"/>
    <w:rsid w:val="23B67313"/>
    <w:rsid w:val="242A6DA3"/>
    <w:rsid w:val="242C4E7A"/>
    <w:rsid w:val="24411370"/>
    <w:rsid w:val="2441705B"/>
    <w:rsid w:val="244F55F7"/>
    <w:rsid w:val="2484228E"/>
    <w:rsid w:val="249B338D"/>
    <w:rsid w:val="24A269B3"/>
    <w:rsid w:val="24A61715"/>
    <w:rsid w:val="24A86C22"/>
    <w:rsid w:val="24EA4C67"/>
    <w:rsid w:val="24F02A91"/>
    <w:rsid w:val="25166ED5"/>
    <w:rsid w:val="253579B3"/>
    <w:rsid w:val="25471807"/>
    <w:rsid w:val="25581F8B"/>
    <w:rsid w:val="256C4141"/>
    <w:rsid w:val="25794AD8"/>
    <w:rsid w:val="25834E01"/>
    <w:rsid w:val="26657936"/>
    <w:rsid w:val="26A10B98"/>
    <w:rsid w:val="26A550F0"/>
    <w:rsid w:val="26A736AB"/>
    <w:rsid w:val="26CF112C"/>
    <w:rsid w:val="26D705AC"/>
    <w:rsid w:val="26E236DC"/>
    <w:rsid w:val="26E265A5"/>
    <w:rsid w:val="26EB16AF"/>
    <w:rsid w:val="26ED6AB1"/>
    <w:rsid w:val="26F50ED1"/>
    <w:rsid w:val="27277076"/>
    <w:rsid w:val="275C0AE0"/>
    <w:rsid w:val="27600525"/>
    <w:rsid w:val="27626687"/>
    <w:rsid w:val="27864D43"/>
    <w:rsid w:val="27941558"/>
    <w:rsid w:val="27DA78C1"/>
    <w:rsid w:val="281E44DC"/>
    <w:rsid w:val="28215226"/>
    <w:rsid w:val="2824000A"/>
    <w:rsid w:val="2834690D"/>
    <w:rsid w:val="28564896"/>
    <w:rsid w:val="28586551"/>
    <w:rsid w:val="28772B41"/>
    <w:rsid w:val="287801F4"/>
    <w:rsid w:val="28895127"/>
    <w:rsid w:val="28926495"/>
    <w:rsid w:val="28A737C9"/>
    <w:rsid w:val="28B72ECA"/>
    <w:rsid w:val="28FE11CD"/>
    <w:rsid w:val="28FE4A11"/>
    <w:rsid w:val="291C46F7"/>
    <w:rsid w:val="294D4E5B"/>
    <w:rsid w:val="29A87591"/>
    <w:rsid w:val="29CC2CE2"/>
    <w:rsid w:val="29E241A0"/>
    <w:rsid w:val="2A193710"/>
    <w:rsid w:val="2A39358E"/>
    <w:rsid w:val="2A5913D5"/>
    <w:rsid w:val="2A7810EC"/>
    <w:rsid w:val="2A8468A2"/>
    <w:rsid w:val="2A882C73"/>
    <w:rsid w:val="2A940F1A"/>
    <w:rsid w:val="2A9B1D83"/>
    <w:rsid w:val="2AFB6463"/>
    <w:rsid w:val="2B0E30B1"/>
    <w:rsid w:val="2B132675"/>
    <w:rsid w:val="2B186AF3"/>
    <w:rsid w:val="2B1964E6"/>
    <w:rsid w:val="2B1A0E10"/>
    <w:rsid w:val="2B1F0B51"/>
    <w:rsid w:val="2B49465B"/>
    <w:rsid w:val="2B805066"/>
    <w:rsid w:val="2B8F261D"/>
    <w:rsid w:val="2BA0423D"/>
    <w:rsid w:val="2BA33C88"/>
    <w:rsid w:val="2BAB435A"/>
    <w:rsid w:val="2BC306E4"/>
    <w:rsid w:val="2BC45D78"/>
    <w:rsid w:val="2BC65424"/>
    <w:rsid w:val="2BE219EC"/>
    <w:rsid w:val="2BF37C26"/>
    <w:rsid w:val="2BF5676D"/>
    <w:rsid w:val="2BF95EDF"/>
    <w:rsid w:val="2C0424B4"/>
    <w:rsid w:val="2C154DA0"/>
    <w:rsid w:val="2C5812B1"/>
    <w:rsid w:val="2C5E1C17"/>
    <w:rsid w:val="2C5E3195"/>
    <w:rsid w:val="2C5F1483"/>
    <w:rsid w:val="2C706994"/>
    <w:rsid w:val="2C70749E"/>
    <w:rsid w:val="2C7B7577"/>
    <w:rsid w:val="2C81743B"/>
    <w:rsid w:val="2C9F10F0"/>
    <w:rsid w:val="2CA5486C"/>
    <w:rsid w:val="2CBB5144"/>
    <w:rsid w:val="2CE660FD"/>
    <w:rsid w:val="2CF05CD4"/>
    <w:rsid w:val="2D1F1FD7"/>
    <w:rsid w:val="2D283B9E"/>
    <w:rsid w:val="2D6F4799"/>
    <w:rsid w:val="2D7B2D28"/>
    <w:rsid w:val="2D7C2995"/>
    <w:rsid w:val="2D8B2E05"/>
    <w:rsid w:val="2D990B71"/>
    <w:rsid w:val="2DB0220E"/>
    <w:rsid w:val="2DC86DB6"/>
    <w:rsid w:val="2DDF2AE8"/>
    <w:rsid w:val="2DF057B9"/>
    <w:rsid w:val="2E026C61"/>
    <w:rsid w:val="2E055964"/>
    <w:rsid w:val="2E0C3F1A"/>
    <w:rsid w:val="2E447BE1"/>
    <w:rsid w:val="2E815F21"/>
    <w:rsid w:val="2EB3184C"/>
    <w:rsid w:val="2EC87731"/>
    <w:rsid w:val="2EFD47BC"/>
    <w:rsid w:val="2F034A70"/>
    <w:rsid w:val="2F106603"/>
    <w:rsid w:val="2F3811D8"/>
    <w:rsid w:val="2F397E27"/>
    <w:rsid w:val="2F464B0C"/>
    <w:rsid w:val="2F87045D"/>
    <w:rsid w:val="2F8B3DB5"/>
    <w:rsid w:val="2FA234A2"/>
    <w:rsid w:val="2FCF0B69"/>
    <w:rsid w:val="2FE145F1"/>
    <w:rsid w:val="2FF85682"/>
    <w:rsid w:val="30001B70"/>
    <w:rsid w:val="300E5495"/>
    <w:rsid w:val="30116808"/>
    <w:rsid w:val="30184A5F"/>
    <w:rsid w:val="30200C68"/>
    <w:rsid w:val="303D116C"/>
    <w:rsid w:val="304D131E"/>
    <w:rsid w:val="305F06CF"/>
    <w:rsid w:val="307A3174"/>
    <w:rsid w:val="309D082E"/>
    <w:rsid w:val="30DE4B11"/>
    <w:rsid w:val="31320538"/>
    <w:rsid w:val="313B6126"/>
    <w:rsid w:val="31442049"/>
    <w:rsid w:val="31705C51"/>
    <w:rsid w:val="317667B0"/>
    <w:rsid w:val="317D0B14"/>
    <w:rsid w:val="31936FF0"/>
    <w:rsid w:val="3196230D"/>
    <w:rsid w:val="319870DD"/>
    <w:rsid w:val="319B1952"/>
    <w:rsid w:val="31A555EB"/>
    <w:rsid w:val="31AC37C2"/>
    <w:rsid w:val="31B33370"/>
    <w:rsid w:val="31D31B03"/>
    <w:rsid w:val="31DD70BD"/>
    <w:rsid w:val="32106E3C"/>
    <w:rsid w:val="322C2C7D"/>
    <w:rsid w:val="324A6C44"/>
    <w:rsid w:val="325F236E"/>
    <w:rsid w:val="32856F6D"/>
    <w:rsid w:val="328E31EA"/>
    <w:rsid w:val="32961AA9"/>
    <w:rsid w:val="32A03747"/>
    <w:rsid w:val="32AE54D0"/>
    <w:rsid w:val="32BA2FB2"/>
    <w:rsid w:val="32BD5F5C"/>
    <w:rsid w:val="32D10347"/>
    <w:rsid w:val="32FC5995"/>
    <w:rsid w:val="330E69E3"/>
    <w:rsid w:val="33321CF1"/>
    <w:rsid w:val="33624C14"/>
    <w:rsid w:val="338A33EB"/>
    <w:rsid w:val="338F6240"/>
    <w:rsid w:val="33B76BE2"/>
    <w:rsid w:val="33DB2288"/>
    <w:rsid w:val="33F76A85"/>
    <w:rsid w:val="33FF46B3"/>
    <w:rsid w:val="34552EF1"/>
    <w:rsid w:val="34846A4F"/>
    <w:rsid w:val="34970DED"/>
    <w:rsid w:val="34A40335"/>
    <w:rsid w:val="34DF011C"/>
    <w:rsid w:val="34F6161A"/>
    <w:rsid w:val="351B4D5E"/>
    <w:rsid w:val="351C14B5"/>
    <w:rsid w:val="35202D47"/>
    <w:rsid w:val="352204EE"/>
    <w:rsid w:val="354000F5"/>
    <w:rsid w:val="35970667"/>
    <w:rsid w:val="35B61772"/>
    <w:rsid w:val="35CB2D46"/>
    <w:rsid w:val="35DF5783"/>
    <w:rsid w:val="35E809F5"/>
    <w:rsid w:val="35EC3A07"/>
    <w:rsid w:val="360F49E4"/>
    <w:rsid w:val="3617235B"/>
    <w:rsid w:val="36181ADA"/>
    <w:rsid w:val="36244593"/>
    <w:rsid w:val="3635310A"/>
    <w:rsid w:val="3635420C"/>
    <w:rsid w:val="36553DB4"/>
    <w:rsid w:val="365E2735"/>
    <w:rsid w:val="36696B54"/>
    <w:rsid w:val="367A3912"/>
    <w:rsid w:val="36A505C0"/>
    <w:rsid w:val="36CD0089"/>
    <w:rsid w:val="36E26425"/>
    <w:rsid w:val="37006A67"/>
    <w:rsid w:val="3714668C"/>
    <w:rsid w:val="37237BC2"/>
    <w:rsid w:val="372D0E2D"/>
    <w:rsid w:val="375159C7"/>
    <w:rsid w:val="37867FD9"/>
    <w:rsid w:val="37907320"/>
    <w:rsid w:val="37B63518"/>
    <w:rsid w:val="37C26D73"/>
    <w:rsid w:val="37DE4C46"/>
    <w:rsid w:val="37F24500"/>
    <w:rsid w:val="37F72550"/>
    <w:rsid w:val="381166E8"/>
    <w:rsid w:val="381773EB"/>
    <w:rsid w:val="38214382"/>
    <w:rsid w:val="38283F87"/>
    <w:rsid w:val="382F1029"/>
    <w:rsid w:val="38540CD3"/>
    <w:rsid w:val="38577172"/>
    <w:rsid w:val="38702405"/>
    <w:rsid w:val="387A4F9F"/>
    <w:rsid w:val="38883B45"/>
    <w:rsid w:val="388F5624"/>
    <w:rsid w:val="38984388"/>
    <w:rsid w:val="38B17338"/>
    <w:rsid w:val="38B86086"/>
    <w:rsid w:val="38BB381E"/>
    <w:rsid w:val="38CF2505"/>
    <w:rsid w:val="38E64E32"/>
    <w:rsid w:val="39011975"/>
    <w:rsid w:val="390F4160"/>
    <w:rsid w:val="394F00E4"/>
    <w:rsid w:val="398C3C0C"/>
    <w:rsid w:val="39A456F2"/>
    <w:rsid w:val="39EA4AF0"/>
    <w:rsid w:val="39EF69B5"/>
    <w:rsid w:val="3A1E384B"/>
    <w:rsid w:val="3A3779DC"/>
    <w:rsid w:val="3A5C5D10"/>
    <w:rsid w:val="3A720910"/>
    <w:rsid w:val="3A7A495F"/>
    <w:rsid w:val="3A8D2AB9"/>
    <w:rsid w:val="3AA945B6"/>
    <w:rsid w:val="3ACA1C07"/>
    <w:rsid w:val="3AD142C6"/>
    <w:rsid w:val="3AD24D92"/>
    <w:rsid w:val="3AD647D9"/>
    <w:rsid w:val="3AE646D1"/>
    <w:rsid w:val="3B5E6827"/>
    <w:rsid w:val="3B6A4BF5"/>
    <w:rsid w:val="3B995CAC"/>
    <w:rsid w:val="3B9A47E4"/>
    <w:rsid w:val="3BB16D10"/>
    <w:rsid w:val="3BBC3E36"/>
    <w:rsid w:val="3BD768DB"/>
    <w:rsid w:val="3BDB0179"/>
    <w:rsid w:val="3C020F87"/>
    <w:rsid w:val="3C0350D8"/>
    <w:rsid w:val="3C1B3CBA"/>
    <w:rsid w:val="3C1D04C5"/>
    <w:rsid w:val="3C27213E"/>
    <w:rsid w:val="3C472237"/>
    <w:rsid w:val="3C5D6390"/>
    <w:rsid w:val="3C714AB5"/>
    <w:rsid w:val="3C75305A"/>
    <w:rsid w:val="3C7C6E3A"/>
    <w:rsid w:val="3CA24DD6"/>
    <w:rsid w:val="3CA303EE"/>
    <w:rsid w:val="3CA6499D"/>
    <w:rsid w:val="3CF60B38"/>
    <w:rsid w:val="3D2B55A5"/>
    <w:rsid w:val="3D2E726F"/>
    <w:rsid w:val="3D313B13"/>
    <w:rsid w:val="3D4A6273"/>
    <w:rsid w:val="3D54174C"/>
    <w:rsid w:val="3D6D3E7A"/>
    <w:rsid w:val="3D7407D8"/>
    <w:rsid w:val="3D7A5336"/>
    <w:rsid w:val="3D8079C2"/>
    <w:rsid w:val="3D835D34"/>
    <w:rsid w:val="3D8449BC"/>
    <w:rsid w:val="3DA44B87"/>
    <w:rsid w:val="3DA75608"/>
    <w:rsid w:val="3DC54741"/>
    <w:rsid w:val="3DDA1DF2"/>
    <w:rsid w:val="3DEA5EBB"/>
    <w:rsid w:val="3DF443B4"/>
    <w:rsid w:val="3E34417B"/>
    <w:rsid w:val="3E3B7FB9"/>
    <w:rsid w:val="3E936BAB"/>
    <w:rsid w:val="3EAD668A"/>
    <w:rsid w:val="3ED60216"/>
    <w:rsid w:val="3ED75B9D"/>
    <w:rsid w:val="3EF06521"/>
    <w:rsid w:val="3F013FF2"/>
    <w:rsid w:val="3F0D2298"/>
    <w:rsid w:val="3F184FE5"/>
    <w:rsid w:val="3F4217CF"/>
    <w:rsid w:val="3F5D1EE0"/>
    <w:rsid w:val="3F6E132C"/>
    <w:rsid w:val="3FA04DA9"/>
    <w:rsid w:val="3FB16899"/>
    <w:rsid w:val="3FB36A84"/>
    <w:rsid w:val="3FDB40F4"/>
    <w:rsid w:val="3FDF795D"/>
    <w:rsid w:val="3FE220D6"/>
    <w:rsid w:val="3FFE1307"/>
    <w:rsid w:val="400004EC"/>
    <w:rsid w:val="400D4FF6"/>
    <w:rsid w:val="40377D8D"/>
    <w:rsid w:val="403906ED"/>
    <w:rsid w:val="4080050D"/>
    <w:rsid w:val="40950250"/>
    <w:rsid w:val="409A15C9"/>
    <w:rsid w:val="40BB7115"/>
    <w:rsid w:val="40F86664"/>
    <w:rsid w:val="41004DD5"/>
    <w:rsid w:val="41055D80"/>
    <w:rsid w:val="41C76D65"/>
    <w:rsid w:val="41E03E81"/>
    <w:rsid w:val="4205761C"/>
    <w:rsid w:val="420E2648"/>
    <w:rsid w:val="42156D1E"/>
    <w:rsid w:val="423E705B"/>
    <w:rsid w:val="42435A5C"/>
    <w:rsid w:val="42506410"/>
    <w:rsid w:val="42513B35"/>
    <w:rsid w:val="42691C67"/>
    <w:rsid w:val="42775576"/>
    <w:rsid w:val="427A790C"/>
    <w:rsid w:val="427F4A82"/>
    <w:rsid w:val="4287772D"/>
    <w:rsid w:val="42CA730B"/>
    <w:rsid w:val="42D81A74"/>
    <w:rsid w:val="42DE4DAA"/>
    <w:rsid w:val="42ED05A5"/>
    <w:rsid w:val="430F334D"/>
    <w:rsid w:val="436042A8"/>
    <w:rsid w:val="436A1EBD"/>
    <w:rsid w:val="43A96F7A"/>
    <w:rsid w:val="44030860"/>
    <w:rsid w:val="440B2A11"/>
    <w:rsid w:val="441B4FCB"/>
    <w:rsid w:val="441B649F"/>
    <w:rsid w:val="444A7921"/>
    <w:rsid w:val="44582107"/>
    <w:rsid w:val="446B7352"/>
    <w:rsid w:val="448F13D8"/>
    <w:rsid w:val="44900782"/>
    <w:rsid w:val="44973A48"/>
    <w:rsid w:val="44A8248D"/>
    <w:rsid w:val="44D90916"/>
    <w:rsid w:val="44DD50FB"/>
    <w:rsid w:val="44F60A98"/>
    <w:rsid w:val="45010F03"/>
    <w:rsid w:val="4501256D"/>
    <w:rsid w:val="45160C24"/>
    <w:rsid w:val="453E5607"/>
    <w:rsid w:val="45625E0F"/>
    <w:rsid w:val="45702D6B"/>
    <w:rsid w:val="45757F09"/>
    <w:rsid w:val="457D170B"/>
    <w:rsid w:val="457E761E"/>
    <w:rsid w:val="459D66D0"/>
    <w:rsid w:val="460A2F60"/>
    <w:rsid w:val="460C6FF0"/>
    <w:rsid w:val="461D484B"/>
    <w:rsid w:val="462259E4"/>
    <w:rsid w:val="463772B1"/>
    <w:rsid w:val="465203E9"/>
    <w:rsid w:val="46A21F0F"/>
    <w:rsid w:val="46B9459A"/>
    <w:rsid w:val="46EA7FF1"/>
    <w:rsid w:val="46F839D4"/>
    <w:rsid w:val="470264A2"/>
    <w:rsid w:val="472B2CA3"/>
    <w:rsid w:val="474A536A"/>
    <w:rsid w:val="47506A87"/>
    <w:rsid w:val="475F2925"/>
    <w:rsid w:val="477C2669"/>
    <w:rsid w:val="47972565"/>
    <w:rsid w:val="47995669"/>
    <w:rsid w:val="47AC0A21"/>
    <w:rsid w:val="47F37E08"/>
    <w:rsid w:val="4800654E"/>
    <w:rsid w:val="480C0CAC"/>
    <w:rsid w:val="480D1F84"/>
    <w:rsid w:val="481C2CA5"/>
    <w:rsid w:val="48472AF9"/>
    <w:rsid w:val="4867383D"/>
    <w:rsid w:val="488257FE"/>
    <w:rsid w:val="488C12C1"/>
    <w:rsid w:val="489F36FC"/>
    <w:rsid w:val="48AD7F77"/>
    <w:rsid w:val="48EA2530"/>
    <w:rsid w:val="48FD0E4C"/>
    <w:rsid w:val="49180868"/>
    <w:rsid w:val="493C1A75"/>
    <w:rsid w:val="4944447D"/>
    <w:rsid w:val="4954245A"/>
    <w:rsid w:val="49A87116"/>
    <w:rsid w:val="49BC44F9"/>
    <w:rsid w:val="49D019A0"/>
    <w:rsid w:val="49D47B30"/>
    <w:rsid w:val="49D96065"/>
    <w:rsid w:val="49DD668B"/>
    <w:rsid w:val="49E3460F"/>
    <w:rsid w:val="49E4703A"/>
    <w:rsid w:val="4A286901"/>
    <w:rsid w:val="4A2A152B"/>
    <w:rsid w:val="4A4C7013"/>
    <w:rsid w:val="4A4D29A3"/>
    <w:rsid w:val="4A6D0EA3"/>
    <w:rsid w:val="4A89235D"/>
    <w:rsid w:val="4A974F04"/>
    <w:rsid w:val="4A9C75DC"/>
    <w:rsid w:val="4ADF3065"/>
    <w:rsid w:val="4AF73D61"/>
    <w:rsid w:val="4B151F5C"/>
    <w:rsid w:val="4B2F1C0F"/>
    <w:rsid w:val="4B5A770F"/>
    <w:rsid w:val="4B871B00"/>
    <w:rsid w:val="4B930EF0"/>
    <w:rsid w:val="4BE40685"/>
    <w:rsid w:val="4BFA1C3A"/>
    <w:rsid w:val="4C283DA3"/>
    <w:rsid w:val="4C4D5EEF"/>
    <w:rsid w:val="4C6207D3"/>
    <w:rsid w:val="4C72348A"/>
    <w:rsid w:val="4C895604"/>
    <w:rsid w:val="4CA7493C"/>
    <w:rsid w:val="4CB017A6"/>
    <w:rsid w:val="4CD84F9B"/>
    <w:rsid w:val="4CE21852"/>
    <w:rsid w:val="4D037738"/>
    <w:rsid w:val="4D052CBA"/>
    <w:rsid w:val="4D0935B7"/>
    <w:rsid w:val="4D201797"/>
    <w:rsid w:val="4D37523F"/>
    <w:rsid w:val="4D5D71DA"/>
    <w:rsid w:val="4D7C50B9"/>
    <w:rsid w:val="4DA9012B"/>
    <w:rsid w:val="4DBA19B5"/>
    <w:rsid w:val="4DC9662B"/>
    <w:rsid w:val="4DE07951"/>
    <w:rsid w:val="4DEC343E"/>
    <w:rsid w:val="4E187CD6"/>
    <w:rsid w:val="4E500357"/>
    <w:rsid w:val="4E5D0450"/>
    <w:rsid w:val="4E7B5479"/>
    <w:rsid w:val="4EA93C4B"/>
    <w:rsid w:val="4EBF0112"/>
    <w:rsid w:val="4EC83B50"/>
    <w:rsid w:val="4EF737AB"/>
    <w:rsid w:val="4F002613"/>
    <w:rsid w:val="4F073520"/>
    <w:rsid w:val="4F0F05A2"/>
    <w:rsid w:val="4F3A2635"/>
    <w:rsid w:val="4F457723"/>
    <w:rsid w:val="4F4D6F5A"/>
    <w:rsid w:val="4F686551"/>
    <w:rsid w:val="4F7A7B61"/>
    <w:rsid w:val="4F917275"/>
    <w:rsid w:val="4F962211"/>
    <w:rsid w:val="4F9C4B1C"/>
    <w:rsid w:val="4FAC61BB"/>
    <w:rsid w:val="4FAC7635"/>
    <w:rsid w:val="4FBC0E81"/>
    <w:rsid w:val="4FCE0BE4"/>
    <w:rsid w:val="4FD82859"/>
    <w:rsid w:val="50192A05"/>
    <w:rsid w:val="502B7940"/>
    <w:rsid w:val="503D4550"/>
    <w:rsid w:val="50916F07"/>
    <w:rsid w:val="50A06132"/>
    <w:rsid w:val="50B37C39"/>
    <w:rsid w:val="51015B78"/>
    <w:rsid w:val="510215A9"/>
    <w:rsid w:val="511053AD"/>
    <w:rsid w:val="512F6FA5"/>
    <w:rsid w:val="513420EA"/>
    <w:rsid w:val="513E0B51"/>
    <w:rsid w:val="514D124C"/>
    <w:rsid w:val="5166530E"/>
    <w:rsid w:val="5181597F"/>
    <w:rsid w:val="518C1EB6"/>
    <w:rsid w:val="51B60730"/>
    <w:rsid w:val="51C30107"/>
    <w:rsid w:val="51C96F0E"/>
    <w:rsid w:val="51CD6F06"/>
    <w:rsid w:val="51D5331A"/>
    <w:rsid w:val="51E31C6F"/>
    <w:rsid w:val="51E333CC"/>
    <w:rsid w:val="520D2437"/>
    <w:rsid w:val="521249DA"/>
    <w:rsid w:val="52133B8F"/>
    <w:rsid w:val="523565A8"/>
    <w:rsid w:val="52881EDA"/>
    <w:rsid w:val="528E27A8"/>
    <w:rsid w:val="52AC1347"/>
    <w:rsid w:val="52AD36E2"/>
    <w:rsid w:val="52DE2BF1"/>
    <w:rsid w:val="52F43ECC"/>
    <w:rsid w:val="530444D9"/>
    <w:rsid w:val="531157A7"/>
    <w:rsid w:val="535915F5"/>
    <w:rsid w:val="540A05F0"/>
    <w:rsid w:val="54666A9B"/>
    <w:rsid w:val="546A3C81"/>
    <w:rsid w:val="54B57DFC"/>
    <w:rsid w:val="54C33D4B"/>
    <w:rsid w:val="54D1760E"/>
    <w:rsid w:val="54D212EF"/>
    <w:rsid w:val="54DC6548"/>
    <w:rsid w:val="54F11435"/>
    <w:rsid w:val="550A4F81"/>
    <w:rsid w:val="55136BDB"/>
    <w:rsid w:val="551A3C1F"/>
    <w:rsid w:val="552564E0"/>
    <w:rsid w:val="553153EA"/>
    <w:rsid w:val="555126B2"/>
    <w:rsid w:val="556329B4"/>
    <w:rsid w:val="558C615A"/>
    <w:rsid w:val="559E6C5B"/>
    <w:rsid w:val="55DE57AF"/>
    <w:rsid w:val="55E41C78"/>
    <w:rsid w:val="55F46245"/>
    <w:rsid w:val="564E4835"/>
    <w:rsid w:val="56761050"/>
    <w:rsid w:val="567C0CA7"/>
    <w:rsid w:val="56A03F12"/>
    <w:rsid w:val="56A1011F"/>
    <w:rsid w:val="56AA526D"/>
    <w:rsid w:val="56B6460E"/>
    <w:rsid w:val="56CF53E1"/>
    <w:rsid w:val="56D07BEC"/>
    <w:rsid w:val="56FB3A42"/>
    <w:rsid w:val="56FE10BC"/>
    <w:rsid w:val="56FE7602"/>
    <w:rsid w:val="57045E03"/>
    <w:rsid w:val="57243CF6"/>
    <w:rsid w:val="57285EFC"/>
    <w:rsid w:val="57553172"/>
    <w:rsid w:val="576C191F"/>
    <w:rsid w:val="5772533F"/>
    <w:rsid w:val="57835A83"/>
    <w:rsid w:val="579C6523"/>
    <w:rsid w:val="57DF6BC2"/>
    <w:rsid w:val="57F7421A"/>
    <w:rsid w:val="57F930E2"/>
    <w:rsid w:val="57FE35F2"/>
    <w:rsid w:val="582E24AE"/>
    <w:rsid w:val="583B0C22"/>
    <w:rsid w:val="584F5690"/>
    <w:rsid w:val="5851340B"/>
    <w:rsid w:val="585B75EA"/>
    <w:rsid w:val="586D3172"/>
    <w:rsid w:val="587E7894"/>
    <w:rsid w:val="58915ED6"/>
    <w:rsid w:val="58A21B43"/>
    <w:rsid w:val="58D3759E"/>
    <w:rsid w:val="58ED143A"/>
    <w:rsid w:val="58F3115E"/>
    <w:rsid w:val="58F63644"/>
    <w:rsid w:val="595277B0"/>
    <w:rsid w:val="5957294B"/>
    <w:rsid w:val="59611A51"/>
    <w:rsid w:val="598B725D"/>
    <w:rsid w:val="59934AB3"/>
    <w:rsid w:val="599773C2"/>
    <w:rsid w:val="59A34E06"/>
    <w:rsid w:val="5A011109"/>
    <w:rsid w:val="5A0F4EDB"/>
    <w:rsid w:val="5A303A5E"/>
    <w:rsid w:val="5A524719"/>
    <w:rsid w:val="5A580AB2"/>
    <w:rsid w:val="5AB37DE2"/>
    <w:rsid w:val="5AB81D6B"/>
    <w:rsid w:val="5AD718E4"/>
    <w:rsid w:val="5AE75E29"/>
    <w:rsid w:val="5B021C7B"/>
    <w:rsid w:val="5B12009E"/>
    <w:rsid w:val="5B17384C"/>
    <w:rsid w:val="5B6806CC"/>
    <w:rsid w:val="5B6D158C"/>
    <w:rsid w:val="5B6F5736"/>
    <w:rsid w:val="5B8310FB"/>
    <w:rsid w:val="5B83520D"/>
    <w:rsid w:val="5B9E0FC2"/>
    <w:rsid w:val="5BC65118"/>
    <w:rsid w:val="5BC867B4"/>
    <w:rsid w:val="5BF05C0E"/>
    <w:rsid w:val="5C1A187B"/>
    <w:rsid w:val="5C2227DE"/>
    <w:rsid w:val="5C283BB0"/>
    <w:rsid w:val="5C594739"/>
    <w:rsid w:val="5C72119D"/>
    <w:rsid w:val="5C805F08"/>
    <w:rsid w:val="5CAD279F"/>
    <w:rsid w:val="5CB01066"/>
    <w:rsid w:val="5CB12D1C"/>
    <w:rsid w:val="5CC03CAD"/>
    <w:rsid w:val="5CEF79A8"/>
    <w:rsid w:val="5D0C19D8"/>
    <w:rsid w:val="5D0D0D39"/>
    <w:rsid w:val="5D1F3887"/>
    <w:rsid w:val="5D2253DE"/>
    <w:rsid w:val="5D7C609E"/>
    <w:rsid w:val="5DA118D8"/>
    <w:rsid w:val="5DEA2E0F"/>
    <w:rsid w:val="5DF97DD4"/>
    <w:rsid w:val="5DFA23C8"/>
    <w:rsid w:val="5E035D63"/>
    <w:rsid w:val="5E130B37"/>
    <w:rsid w:val="5E4A1E0D"/>
    <w:rsid w:val="5E8A205D"/>
    <w:rsid w:val="5EA7018E"/>
    <w:rsid w:val="5EB1512C"/>
    <w:rsid w:val="5EC26BE6"/>
    <w:rsid w:val="5ECC74B7"/>
    <w:rsid w:val="5EE44C31"/>
    <w:rsid w:val="5EE65E25"/>
    <w:rsid w:val="5F203969"/>
    <w:rsid w:val="5F216A79"/>
    <w:rsid w:val="5F363992"/>
    <w:rsid w:val="5F4E5802"/>
    <w:rsid w:val="5F541EF8"/>
    <w:rsid w:val="5F69093E"/>
    <w:rsid w:val="5F9969D9"/>
    <w:rsid w:val="60111399"/>
    <w:rsid w:val="60370559"/>
    <w:rsid w:val="604E4C18"/>
    <w:rsid w:val="60890BA8"/>
    <w:rsid w:val="609946FD"/>
    <w:rsid w:val="60B54015"/>
    <w:rsid w:val="60D17306"/>
    <w:rsid w:val="60D62A73"/>
    <w:rsid w:val="60E31EB5"/>
    <w:rsid w:val="610E7A9C"/>
    <w:rsid w:val="6117444F"/>
    <w:rsid w:val="61185B45"/>
    <w:rsid w:val="611A4DB8"/>
    <w:rsid w:val="614213E9"/>
    <w:rsid w:val="61764A8D"/>
    <w:rsid w:val="61941B29"/>
    <w:rsid w:val="61A8731A"/>
    <w:rsid w:val="61A97554"/>
    <w:rsid w:val="61B74AC4"/>
    <w:rsid w:val="61B82865"/>
    <w:rsid w:val="61C04D97"/>
    <w:rsid w:val="61DC417E"/>
    <w:rsid w:val="620B68F5"/>
    <w:rsid w:val="62207B6F"/>
    <w:rsid w:val="622539F6"/>
    <w:rsid w:val="625F2D0B"/>
    <w:rsid w:val="62785BD0"/>
    <w:rsid w:val="627973E2"/>
    <w:rsid w:val="62860210"/>
    <w:rsid w:val="62977464"/>
    <w:rsid w:val="62A23765"/>
    <w:rsid w:val="62A4087E"/>
    <w:rsid w:val="63052256"/>
    <w:rsid w:val="631C4CD9"/>
    <w:rsid w:val="63722481"/>
    <w:rsid w:val="63836342"/>
    <w:rsid w:val="638523EF"/>
    <w:rsid w:val="638F065B"/>
    <w:rsid w:val="63A53721"/>
    <w:rsid w:val="63AB062A"/>
    <w:rsid w:val="63B359CE"/>
    <w:rsid w:val="63BE3643"/>
    <w:rsid w:val="63EB0530"/>
    <w:rsid w:val="642A62BA"/>
    <w:rsid w:val="643B6496"/>
    <w:rsid w:val="649C112C"/>
    <w:rsid w:val="64C21A98"/>
    <w:rsid w:val="650320D5"/>
    <w:rsid w:val="65471982"/>
    <w:rsid w:val="6549031C"/>
    <w:rsid w:val="655412DE"/>
    <w:rsid w:val="65562B91"/>
    <w:rsid w:val="655953DB"/>
    <w:rsid w:val="65665334"/>
    <w:rsid w:val="65C07E70"/>
    <w:rsid w:val="65CE0BD6"/>
    <w:rsid w:val="65DE0FA3"/>
    <w:rsid w:val="661E2C62"/>
    <w:rsid w:val="662734E7"/>
    <w:rsid w:val="664025C6"/>
    <w:rsid w:val="66485D59"/>
    <w:rsid w:val="66A217F7"/>
    <w:rsid w:val="66AB573E"/>
    <w:rsid w:val="66CD655E"/>
    <w:rsid w:val="66DA25F5"/>
    <w:rsid w:val="66DE5091"/>
    <w:rsid w:val="66E24447"/>
    <w:rsid w:val="66E25D50"/>
    <w:rsid w:val="67001804"/>
    <w:rsid w:val="670A61E9"/>
    <w:rsid w:val="672B0C49"/>
    <w:rsid w:val="675110D1"/>
    <w:rsid w:val="67820C6A"/>
    <w:rsid w:val="678952F1"/>
    <w:rsid w:val="67A8644B"/>
    <w:rsid w:val="67B52BEA"/>
    <w:rsid w:val="67D4644D"/>
    <w:rsid w:val="67F04015"/>
    <w:rsid w:val="682E4E3B"/>
    <w:rsid w:val="68380B86"/>
    <w:rsid w:val="689B2E9A"/>
    <w:rsid w:val="68C91606"/>
    <w:rsid w:val="68DE0DF0"/>
    <w:rsid w:val="68EA280F"/>
    <w:rsid w:val="69082403"/>
    <w:rsid w:val="6928273F"/>
    <w:rsid w:val="692F11BA"/>
    <w:rsid w:val="694500DC"/>
    <w:rsid w:val="69751788"/>
    <w:rsid w:val="69930A38"/>
    <w:rsid w:val="699A144D"/>
    <w:rsid w:val="69B72C2B"/>
    <w:rsid w:val="69B737D2"/>
    <w:rsid w:val="69CE7308"/>
    <w:rsid w:val="69EA3DC6"/>
    <w:rsid w:val="69EE2D5E"/>
    <w:rsid w:val="6A101150"/>
    <w:rsid w:val="6A195B24"/>
    <w:rsid w:val="6A304E31"/>
    <w:rsid w:val="6A3620F6"/>
    <w:rsid w:val="6A47177F"/>
    <w:rsid w:val="6A7B1554"/>
    <w:rsid w:val="6A890388"/>
    <w:rsid w:val="6A8F4834"/>
    <w:rsid w:val="6AA97D7C"/>
    <w:rsid w:val="6B32469D"/>
    <w:rsid w:val="6B6D35B0"/>
    <w:rsid w:val="6B75190D"/>
    <w:rsid w:val="6B780FC9"/>
    <w:rsid w:val="6B793A49"/>
    <w:rsid w:val="6B852607"/>
    <w:rsid w:val="6B8743F4"/>
    <w:rsid w:val="6BA24D97"/>
    <w:rsid w:val="6BA906B8"/>
    <w:rsid w:val="6BAA706A"/>
    <w:rsid w:val="6BD42188"/>
    <w:rsid w:val="6BE248DC"/>
    <w:rsid w:val="6BF94365"/>
    <w:rsid w:val="6BFD5083"/>
    <w:rsid w:val="6C2026BE"/>
    <w:rsid w:val="6C2D341B"/>
    <w:rsid w:val="6C420681"/>
    <w:rsid w:val="6C673A11"/>
    <w:rsid w:val="6C750EE0"/>
    <w:rsid w:val="6C7B2C4C"/>
    <w:rsid w:val="6C7B7909"/>
    <w:rsid w:val="6CA923F6"/>
    <w:rsid w:val="6CB6229E"/>
    <w:rsid w:val="6CE215D9"/>
    <w:rsid w:val="6CE427F9"/>
    <w:rsid w:val="6D0F480E"/>
    <w:rsid w:val="6D1105AB"/>
    <w:rsid w:val="6D1F771E"/>
    <w:rsid w:val="6D28430C"/>
    <w:rsid w:val="6D566BE7"/>
    <w:rsid w:val="6D5E7DEE"/>
    <w:rsid w:val="6D694436"/>
    <w:rsid w:val="6D7C035A"/>
    <w:rsid w:val="6D9252F0"/>
    <w:rsid w:val="6D9E73F8"/>
    <w:rsid w:val="6DC37072"/>
    <w:rsid w:val="6DC71CF5"/>
    <w:rsid w:val="6DC96E84"/>
    <w:rsid w:val="6DCC5AA1"/>
    <w:rsid w:val="6DCD7690"/>
    <w:rsid w:val="6DEF3CE6"/>
    <w:rsid w:val="6DF231BC"/>
    <w:rsid w:val="6E1D54F2"/>
    <w:rsid w:val="6E621725"/>
    <w:rsid w:val="6E641558"/>
    <w:rsid w:val="6E70384C"/>
    <w:rsid w:val="6E802757"/>
    <w:rsid w:val="6E8468D5"/>
    <w:rsid w:val="6E905AEE"/>
    <w:rsid w:val="6EAE7861"/>
    <w:rsid w:val="6EB91285"/>
    <w:rsid w:val="6EF81B05"/>
    <w:rsid w:val="6F16163D"/>
    <w:rsid w:val="6F220204"/>
    <w:rsid w:val="6F3E0F47"/>
    <w:rsid w:val="6F520A8D"/>
    <w:rsid w:val="6F526619"/>
    <w:rsid w:val="6F5C35F6"/>
    <w:rsid w:val="6F61772A"/>
    <w:rsid w:val="6F7543C4"/>
    <w:rsid w:val="6F8279FE"/>
    <w:rsid w:val="6F8C64D5"/>
    <w:rsid w:val="6F916B08"/>
    <w:rsid w:val="6F9F09FE"/>
    <w:rsid w:val="6FA26C0C"/>
    <w:rsid w:val="6FB109B3"/>
    <w:rsid w:val="6FD54282"/>
    <w:rsid w:val="6FF2175B"/>
    <w:rsid w:val="70061554"/>
    <w:rsid w:val="7012702D"/>
    <w:rsid w:val="702E4FA6"/>
    <w:rsid w:val="703D2411"/>
    <w:rsid w:val="7053379A"/>
    <w:rsid w:val="70571D2B"/>
    <w:rsid w:val="706C148C"/>
    <w:rsid w:val="70A06F83"/>
    <w:rsid w:val="70A76195"/>
    <w:rsid w:val="70E10593"/>
    <w:rsid w:val="70F740BB"/>
    <w:rsid w:val="710E1C79"/>
    <w:rsid w:val="714D42DE"/>
    <w:rsid w:val="71713AC8"/>
    <w:rsid w:val="718F17CF"/>
    <w:rsid w:val="71986510"/>
    <w:rsid w:val="71B5622D"/>
    <w:rsid w:val="71BB507F"/>
    <w:rsid w:val="71FE2C9E"/>
    <w:rsid w:val="720945EC"/>
    <w:rsid w:val="720C3DCE"/>
    <w:rsid w:val="722D0C1B"/>
    <w:rsid w:val="722F5ECC"/>
    <w:rsid w:val="72692F8A"/>
    <w:rsid w:val="72761A99"/>
    <w:rsid w:val="728411B3"/>
    <w:rsid w:val="72902FF0"/>
    <w:rsid w:val="729A0C95"/>
    <w:rsid w:val="72B20F0B"/>
    <w:rsid w:val="72B2248C"/>
    <w:rsid w:val="72B248F9"/>
    <w:rsid w:val="72B77123"/>
    <w:rsid w:val="72CD4A4E"/>
    <w:rsid w:val="72E65183"/>
    <w:rsid w:val="73027D74"/>
    <w:rsid w:val="730A0933"/>
    <w:rsid w:val="7315606E"/>
    <w:rsid w:val="73166211"/>
    <w:rsid w:val="731C7190"/>
    <w:rsid w:val="73326CAD"/>
    <w:rsid w:val="73537F1A"/>
    <w:rsid w:val="73600620"/>
    <w:rsid w:val="7368585D"/>
    <w:rsid w:val="739226DA"/>
    <w:rsid w:val="73A1785C"/>
    <w:rsid w:val="73DD6699"/>
    <w:rsid w:val="73E20A3A"/>
    <w:rsid w:val="73E46470"/>
    <w:rsid w:val="740539A0"/>
    <w:rsid w:val="741108B6"/>
    <w:rsid w:val="7476110C"/>
    <w:rsid w:val="74824896"/>
    <w:rsid w:val="74880549"/>
    <w:rsid w:val="7497446E"/>
    <w:rsid w:val="74A0171B"/>
    <w:rsid w:val="74B10C92"/>
    <w:rsid w:val="74B75F22"/>
    <w:rsid w:val="750A159B"/>
    <w:rsid w:val="750B132D"/>
    <w:rsid w:val="750E114A"/>
    <w:rsid w:val="750F679D"/>
    <w:rsid w:val="7555523C"/>
    <w:rsid w:val="756438C7"/>
    <w:rsid w:val="75801552"/>
    <w:rsid w:val="7594655F"/>
    <w:rsid w:val="75B4208A"/>
    <w:rsid w:val="75B60642"/>
    <w:rsid w:val="75DE4321"/>
    <w:rsid w:val="75E3776D"/>
    <w:rsid w:val="75FB29A5"/>
    <w:rsid w:val="761261DD"/>
    <w:rsid w:val="76241C11"/>
    <w:rsid w:val="765B61B2"/>
    <w:rsid w:val="76862884"/>
    <w:rsid w:val="76913083"/>
    <w:rsid w:val="76B5225D"/>
    <w:rsid w:val="76CE50CD"/>
    <w:rsid w:val="76CF6F8C"/>
    <w:rsid w:val="76E102BA"/>
    <w:rsid w:val="7715340E"/>
    <w:rsid w:val="772B42ED"/>
    <w:rsid w:val="77A06D15"/>
    <w:rsid w:val="77BC29B2"/>
    <w:rsid w:val="77BC5E0F"/>
    <w:rsid w:val="77BC6A8A"/>
    <w:rsid w:val="77CB179D"/>
    <w:rsid w:val="78103368"/>
    <w:rsid w:val="782916CA"/>
    <w:rsid w:val="78337754"/>
    <w:rsid w:val="784923CF"/>
    <w:rsid w:val="785C19DF"/>
    <w:rsid w:val="78740D14"/>
    <w:rsid w:val="788E76F6"/>
    <w:rsid w:val="78976EAB"/>
    <w:rsid w:val="789C2974"/>
    <w:rsid w:val="78B748EA"/>
    <w:rsid w:val="78BC33FD"/>
    <w:rsid w:val="78DD5B82"/>
    <w:rsid w:val="78DE61C2"/>
    <w:rsid w:val="78E2586D"/>
    <w:rsid w:val="78E731EA"/>
    <w:rsid w:val="78F64D6E"/>
    <w:rsid w:val="78F7386E"/>
    <w:rsid w:val="78FA1E28"/>
    <w:rsid w:val="79105B41"/>
    <w:rsid w:val="7913340C"/>
    <w:rsid w:val="79225F0E"/>
    <w:rsid w:val="79241883"/>
    <w:rsid w:val="79377985"/>
    <w:rsid w:val="79784AF4"/>
    <w:rsid w:val="79837616"/>
    <w:rsid w:val="79946916"/>
    <w:rsid w:val="799F4426"/>
    <w:rsid w:val="79A26410"/>
    <w:rsid w:val="79E543F8"/>
    <w:rsid w:val="79E64B19"/>
    <w:rsid w:val="79F37748"/>
    <w:rsid w:val="7A2B3F4D"/>
    <w:rsid w:val="7A5526FB"/>
    <w:rsid w:val="7A7338C4"/>
    <w:rsid w:val="7A9F11E9"/>
    <w:rsid w:val="7AC8177F"/>
    <w:rsid w:val="7AD114C4"/>
    <w:rsid w:val="7AE15056"/>
    <w:rsid w:val="7AF71659"/>
    <w:rsid w:val="7B2045F5"/>
    <w:rsid w:val="7B470054"/>
    <w:rsid w:val="7B623191"/>
    <w:rsid w:val="7B7A4A79"/>
    <w:rsid w:val="7B907E41"/>
    <w:rsid w:val="7B977703"/>
    <w:rsid w:val="7B9E3095"/>
    <w:rsid w:val="7BC665D1"/>
    <w:rsid w:val="7BE00924"/>
    <w:rsid w:val="7BE814A4"/>
    <w:rsid w:val="7BF15AA3"/>
    <w:rsid w:val="7C105A7F"/>
    <w:rsid w:val="7C1C3CD1"/>
    <w:rsid w:val="7C3239CF"/>
    <w:rsid w:val="7C376446"/>
    <w:rsid w:val="7C8427E1"/>
    <w:rsid w:val="7C986E12"/>
    <w:rsid w:val="7CBE73B8"/>
    <w:rsid w:val="7CDF66CE"/>
    <w:rsid w:val="7D0A039B"/>
    <w:rsid w:val="7D0A47E5"/>
    <w:rsid w:val="7D1228B2"/>
    <w:rsid w:val="7D213F8C"/>
    <w:rsid w:val="7D2A4985"/>
    <w:rsid w:val="7D2E13CD"/>
    <w:rsid w:val="7D3F6473"/>
    <w:rsid w:val="7D4C28BD"/>
    <w:rsid w:val="7D5F379A"/>
    <w:rsid w:val="7D703120"/>
    <w:rsid w:val="7D9356A9"/>
    <w:rsid w:val="7D9518E1"/>
    <w:rsid w:val="7D9728E1"/>
    <w:rsid w:val="7D9B33E7"/>
    <w:rsid w:val="7DA730D3"/>
    <w:rsid w:val="7DB36EF3"/>
    <w:rsid w:val="7DCC582D"/>
    <w:rsid w:val="7DD04710"/>
    <w:rsid w:val="7DD24DA3"/>
    <w:rsid w:val="7DDE403F"/>
    <w:rsid w:val="7DE154EE"/>
    <w:rsid w:val="7DF239B6"/>
    <w:rsid w:val="7DF53CF4"/>
    <w:rsid w:val="7E0533E3"/>
    <w:rsid w:val="7E312712"/>
    <w:rsid w:val="7E3A19AC"/>
    <w:rsid w:val="7E545BAD"/>
    <w:rsid w:val="7E5804CC"/>
    <w:rsid w:val="7E5D5862"/>
    <w:rsid w:val="7EA9487D"/>
    <w:rsid w:val="7ECC7DAF"/>
    <w:rsid w:val="7ED039C1"/>
    <w:rsid w:val="7EE56806"/>
    <w:rsid w:val="7EF62473"/>
    <w:rsid w:val="7F224E10"/>
    <w:rsid w:val="7F2D2654"/>
    <w:rsid w:val="7F313250"/>
    <w:rsid w:val="7F4E1230"/>
    <w:rsid w:val="7F8311FC"/>
    <w:rsid w:val="7F97708F"/>
    <w:rsid w:val="7FA1093E"/>
    <w:rsid w:val="7FA34F29"/>
    <w:rsid w:val="7FC9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30"/>
      <w:szCs w:val="44"/>
    </w:rPr>
  </w:style>
  <w:style w:type="paragraph" w:styleId="6">
    <w:name w:val="heading 2"/>
    <w:basedOn w:val="1"/>
    <w:next w:val="1"/>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8">
    <w:name w:val="Body Text"/>
    <w:basedOn w:val="1"/>
    <w:next w:val="9"/>
    <w:qFormat/>
    <w:uiPriority w:val="0"/>
    <w:pPr>
      <w:adjustRightInd w:val="0"/>
      <w:spacing w:after="120" w:line="360" w:lineRule="auto"/>
    </w:pPr>
    <w:rPr>
      <w:rFonts w:eastAsia="Times New Roman"/>
      <w:kern w:val="0"/>
      <w:sz w:val="24"/>
      <w:szCs w:val="24"/>
    </w:rPr>
  </w:style>
  <w:style w:type="paragraph" w:styleId="9">
    <w:name w:val="Body Text 2"/>
    <w:basedOn w:val="1"/>
    <w:next w:val="1"/>
    <w:qFormat/>
    <w:uiPriority w:val="0"/>
    <w:pPr>
      <w:spacing w:after="120" w:line="480" w:lineRule="auto"/>
    </w:pPr>
    <w:rPr>
      <w:lang w:val="zh-CN"/>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b/>
      <w:sz w:val="28"/>
      <w:szCs w:val="20"/>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6">
    <w:name w:val="Strong"/>
    <w:qFormat/>
    <w:uiPriority w:val="99"/>
    <w:rPr>
      <w:b/>
      <w:bCs/>
    </w:rPr>
  </w:style>
  <w:style w:type="character" w:styleId="17">
    <w:name w:val="page number"/>
    <w:qFormat/>
    <w:uiPriority w:val="99"/>
  </w:style>
  <w:style w:type="character" w:styleId="18">
    <w:name w:val="Hyperlink"/>
    <w:qFormat/>
    <w:uiPriority w:val="99"/>
    <w:rPr>
      <w:color w:val="0000FF"/>
      <w:u w:val="single"/>
    </w:rPr>
  </w:style>
  <w:style w:type="paragraph" w:customStyle="1" w:styleId="20">
    <w:name w:val="BodyTextIndent2"/>
    <w:basedOn w:val="1"/>
    <w:next w:val="1"/>
    <w:qFormat/>
    <w:uiPriority w:val="0"/>
    <w:pPr>
      <w:spacing w:line="590" w:lineRule="exact"/>
      <w:ind w:firstLine="880" w:firstLineChars="200"/>
      <w:textAlignment w:val="baseline"/>
    </w:pPr>
    <w:rPr>
      <w:rFonts w:eastAsia="方正仿宋_GBK"/>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paragraph" w:styleId="25">
    <w:name w:val="List Paragraph"/>
    <w:basedOn w:val="1"/>
    <w:qFormat/>
    <w:uiPriority w:val="0"/>
    <w:pPr>
      <w:ind w:firstLine="420" w:firstLineChars="200"/>
    </w:pPr>
  </w:style>
  <w:style w:type="paragraph" w:customStyle="1" w:styleId="26">
    <w:name w:val="列出段落2"/>
    <w:basedOn w:val="1"/>
    <w:qFormat/>
    <w:uiPriority w:val="99"/>
    <w:pPr>
      <w:ind w:firstLine="420" w:firstLineChars="200"/>
    </w:pPr>
  </w:style>
  <w:style w:type="character" w:customStyle="1" w:styleId="27">
    <w:name w:val="NormalCharacter"/>
    <w:qFormat/>
    <w:uiPriority w:val="0"/>
  </w:style>
  <w:style w:type="paragraph" w:customStyle="1" w:styleId="28">
    <w:name w:val="Char Char Char Char Char Char Char1 Char"/>
    <w:basedOn w:val="1"/>
    <w:qFormat/>
    <w:uiPriority w:val="0"/>
    <w:rPr>
      <w:rFonts w:ascii="Tahoma" w:hAnsi="Tahoma"/>
      <w:sz w:val="24"/>
      <w:szCs w:val="20"/>
    </w:rPr>
  </w:style>
  <w:style w:type="paragraph" w:customStyle="1" w:styleId="29">
    <w:name w:val="正文11"/>
    <w:next w:val="3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30">
    <w:name w:val="标题 21"/>
    <w:basedOn w:val="29"/>
    <w:next w:val="29"/>
    <w:qFormat/>
    <w:uiPriority w:val="0"/>
    <w:pPr>
      <w:keepNext/>
      <w:keepLines/>
      <w:spacing w:before="260" w:after="260" w:line="413" w:lineRule="auto"/>
      <w:outlineLvl w:val="1"/>
    </w:pPr>
    <w:rPr>
      <w:rFonts w:ascii="Cambria" w:hAnsi="Cambria"/>
      <w:b/>
      <w:bCs/>
      <w:sz w:val="32"/>
      <w:szCs w:val="32"/>
    </w:rPr>
  </w:style>
  <w:style w:type="paragraph" w:customStyle="1" w:styleId="31">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1"/>
    <customShpInfo spid="_x0000_s2050"/>
    <customShpInfo spid="_x0000_s2049"/>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41</Pages>
  <Words>3730</Words>
  <Characters>21262</Characters>
  <Lines>177</Lines>
  <Paragraphs>49</Paragraphs>
  <TotalTime>162</TotalTime>
  <ScaleCrop>false</ScaleCrop>
  <LinksUpToDate>false</LinksUpToDate>
  <CharactersWithSpaces>24943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2023-12-05T08:18:00Z</dcterms:created>
  <dc:creator>Administrator</dc:creator>
  <cp:lastModifiedBy>Administrator</cp:lastModifiedBy>
  <cp:lastPrinted>2023-12-09T06:47:00Z</cp:lastPrinted>
  <dcterms:modified xsi:type="dcterms:W3CDTF">2024-01-08T11:38:23Z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DD3C1C841C144FAEAC346FB4B292846A_13</vt:lpwstr>
  </property>
</Properties>
</file>