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line="360" w:lineRule="auto"/>
        <w:ind w:firstLine="560" w:firstLineChars="200"/>
        <w:jc w:val="center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bookmarkStart w:id="0" w:name="_bookmark0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合肥野生动物园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空调等电器维修竞价要求文件</w:t>
      </w:r>
    </w:p>
    <w:p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为保证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合肥野生动物园园区空调、冰柜、热水器等非办公用电器的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良好运行，制定长期维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方案。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维修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范围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内容如下：</w:t>
      </w:r>
    </w:p>
    <w:p>
      <w:pPr>
        <w:spacing w:line="540" w:lineRule="exact"/>
        <w:ind w:firstLine="420" w:firstLineChars="200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、采购单位：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合肥文旅博览集团野生动物园管理有限公司</w:t>
      </w:r>
    </w:p>
    <w:p>
      <w:pPr>
        <w:spacing w:line="540" w:lineRule="exact"/>
        <w:ind w:firstLine="420" w:firstLineChars="200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二、采购人地址：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望江西路600号</w:t>
      </w:r>
    </w:p>
    <w:p>
      <w:p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三、服务范围：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空调、冰柜、热水器等非办公用电器维修</w:t>
      </w:r>
    </w:p>
    <w:p>
      <w:p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四、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</w:rPr>
        <w:t>项目类型：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  <w:lang w:eastAsia="zh-CN"/>
        </w:rPr>
        <w:t>服务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</w:rPr>
        <w:t>类</w:t>
      </w:r>
    </w:p>
    <w:p>
      <w:pPr>
        <w:numPr>
          <w:ilvl w:val="0"/>
          <w:numId w:val="0"/>
        </w:numPr>
        <w:spacing w:line="48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服务内容：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-124" w:rightChars="-59" w:firstLine="840" w:firstLineChars="4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zh-CN" w:eastAsia="zh-CN" w:bidi="ar-SA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要求中标人对各部门电器维修订单提供维修服务。</w:t>
      </w:r>
    </w:p>
    <w:p>
      <w:pPr>
        <w:autoSpaceDE w:val="0"/>
        <w:autoSpaceDN w:val="0"/>
        <w:adjustRightInd w:val="0"/>
        <w:spacing w:line="420" w:lineRule="exact"/>
        <w:ind w:firstLine="840" w:firstLineChars="4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en-US" w:eastAsia="zh-CN"/>
        </w:rPr>
        <w:t>中标人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必须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en-US" w:eastAsia="zh-CN"/>
        </w:rPr>
        <w:t>确保维修电器可正常使用，无法维修的，需出具相关说明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。若在服务期间受到超过 5 次投诉的，采购人有权单方面终止合同。</w:t>
      </w:r>
    </w:p>
    <w:p>
      <w:pPr>
        <w:autoSpaceDE w:val="0"/>
        <w:autoSpaceDN w:val="0"/>
        <w:adjustRightInd w:val="0"/>
        <w:spacing w:line="42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en-US" w:eastAsia="zh-CN"/>
        </w:rPr>
        <w:t>六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、投标人应具备的基本条件：</w:t>
      </w:r>
    </w:p>
    <w:p>
      <w:pPr>
        <w:autoSpaceDE w:val="0"/>
        <w:autoSpaceDN w:val="0"/>
        <w:adjustRightInd w:val="0"/>
        <w:spacing w:line="420" w:lineRule="exact"/>
        <w:ind w:firstLine="636" w:firstLineChars="303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1、符合《中华人民共和国政府采购法》第二十二条规定；</w:t>
      </w:r>
    </w:p>
    <w:p>
      <w:pPr>
        <w:autoSpaceDE w:val="0"/>
        <w:autoSpaceDN w:val="0"/>
        <w:adjustRightInd w:val="0"/>
        <w:spacing w:line="420" w:lineRule="exact"/>
        <w:ind w:firstLine="636" w:firstLineChars="303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2、具备本地化服务能力；</w:t>
      </w:r>
    </w:p>
    <w:p>
      <w:pPr>
        <w:autoSpaceDE w:val="0"/>
        <w:autoSpaceDN w:val="0"/>
        <w:adjustRightInd w:val="0"/>
        <w:spacing w:line="420" w:lineRule="exact"/>
        <w:ind w:firstLine="636" w:firstLineChars="303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3、本项目不接受联合体投标；</w:t>
      </w:r>
    </w:p>
    <w:p>
      <w:pPr>
        <w:autoSpaceDE w:val="0"/>
        <w:autoSpaceDN w:val="0"/>
        <w:adjustRightInd w:val="0"/>
        <w:spacing w:line="420" w:lineRule="exact"/>
        <w:ind w:firstLine="636" w:firstLineChars="303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 w:eastAsia="zh-CN"/>
        </w:rPr>
        <w:t>投标人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存在以下不良信用记录情形之一的不得确定为中标供应商：</w:t>
      </w:r>
    </w:p>
    <w:p>
      <w:pPr>
        <w:autoSpaceDE w:val="0"/>
        <w:autoSpaceDN w:val="0"/>
        <w:adjustRightInd w:val="0"/>
        <w:spacing w:line="420" w:lineRule="exact"/>
        <w:ind w:firstLine="636" w:firstLineChars="303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（1）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 w:eastAsia="zh-CN"/>
        </w:rPr>
        <w:t>投标人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被人民法院列入失信被执行人的;</w:t>
      </w:r>
    </w:p>
    <w:p>
      <w:pPr>
        <w:autoSpaceDE w:val="0"/>
        <w:autoSpaceDN w:val="0"/>
        <w:adjustRightInd w:val="0"/>
        <w:spacing w:line="420" w:lineRule="exact"/>
        <w:ind w:firstLine="636" w:firstLineChars="303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（2）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 w:eastAsia="zh-CN"/>
        </w:rPr>
        <w:t>投标人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或其法定代表人或拟派项目经理(项目负责人)被人民检察院列入行贿犯罪档案的;</w:t>
      </w:r>
    </w:p>
    <w:p>
      <w:pPr>
        <w:autoSpaceDE w:val="0"/>
        <w:autoSpaceDN w:val="0"/>
        <w:adjustRightInd w:val="0"/>
        <w:spacing w:line="420" w:lineRule="exact"/>
        <w:ind w:firstLine="636" w:firstLineChars="303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（3）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 w:eastAsia="zh-CN"/>
        </w:rPr>
        <w:t>投标人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被工商行政管理部门列入企业经营异常名录的;</w:t>
      </w:r>
    </w:p>
    <w:p>
      <w:pPr>
        <w:autoSpaceDE w:val="0"/>
        <w:autoSpaceDN w:val="0"/>
        <w:adjustRightInd w:val="0"/>
        <w:spacing w:line="420" w:lineRule="exact"/>
        <w:ind w:firstLine="636" w:firstLineChars="303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（4）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 w:eastAsia="zh-CN"/>
        </w:rPr>
        <w:t>投标人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被税务部门列入重大税收违法案件当事人名单的;</w:t>
      </w:r>
    </w:p>
    <w:p>
      <w:pPr>
        <w:autoSpaceDE w:val="0"/>
        <w:autoSpaceDN w:val="0"/>
        <w:adjustRightInd w:val="0"/>
        <w:spacing w:line="420" w:lineRule="exact"/>
        <w:ind w:firstLine="636" w:firstLineChars="303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（5）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 w:eastAsia="zh-CN"/>
        </w:rPr>
        <w:t>投标人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被政府采购监管部门列入政府采购严重违法失信行为记录名单的。</w:t>
      </w:r>
    </w:p>
    <w:p>
      <w:pPr>
        <w:spacing w:line="540" w:lineRule="exact"/>
        <w:ind w:firstLine="420" w:firstLineChars="200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七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报价方式：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投标人须采用密封信件的形式参加投标。（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投标文件中提供营业执照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复印件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法人身份证复印件、诚信承诺书及报价）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本项目采用整体费率报价，报价费率应不得超过100%，否则投标无效。报价费率精确至小数点后两位，如超过两位小数的四舍五入。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报价表见“附件1：报价表”。</w:t>
      </w:r>
    </w:p>
    <w:p>
      <w:pPr>
        <w:numPr>
          <w:ilvl w:val="0"/>
          <w:numId w:val="0"/>
        </w:num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highlight w:val="none"/>
          <w:lang w:val="en-US" w:eastAsia="zh-CN"/>
        </w:rPr>
        <w:t>八、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highlight w:val="none"/>
        </w:rPr>
        <w:t>付款方式：根据采购人的采购订单按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highlight w:val="none"/>
          <w:lang w:val="en-US" w:eastAsia="zh-CN"/>
        </w:rPr>
        <w:t>季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highlight w:val="none"/>
        </w:rPr>
        <w:t>结算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highlight w:val="non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highlight w:val="none"/>
          <w:lang w:val="zh-CN" w:eastAsia="zh-CN"/>
        </w:rPr>
        <w:t>最终结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算价格=成交费率×项目单价×实际发生量，最终总结算价格不得超过项目预算。注：项目单价详见“附件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空调及其它电器维修收费标准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 xml:space="preserve">”。 </w:t>
      </w:r>
    </w:p>
    <w:p>
      <w:pPr>
        <w:numPr>
          <w:ilvl w:val="0"/>
          <w:numId w:val="0"/>
        </w:num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九、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其他要求：</w:t>
      </w:r>
    </w:p>
    <w:p>
      <w:pPr>
        <w:numPr>
          <w:ilvl w:val="0"/>
          <w:numId w:val="1"/>
        </w:num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</w:pPr>
      <w:bookmarkStart w:id="1" w:name="1、成交供应商要服从采购人的统一安排，未经采购人的同意不得随意改变采购人已制定的"/>
      <w:bookmarkEnd w:id="1"/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中标人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要服从采购人的统一安排，未经采购人的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签字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同意不得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擅自对部门所报损坏电器进行维修，维修后需具体使用人和部门负责人签字确认。维修过程中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遇特殊情况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及时与采购人沟通，因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中标人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擅自做主造成采购人的损失及其他影响，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中标人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要承担相应责任及损失。</w:t>
      </w:r>
      <w:bookmarkStart w:id="2" w:name="2、成交供应商在合同期内负责对承包范围内的日常管理，严格按照有关部门的要求，制定"/>
      <w:bookmarkEnd w:id="2"/>
    </w:p>
    <w:p>
      <w:pPr>
        <w:numPr>
          <w:ilvl w:val="0"/>
          <w:numId w:val="0"/>
        </w:num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（2）、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中标人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在合同期内负责对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维修工作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范围内的日常管理，若发生有关民事、刑事、安全事故、劳资纠纷等一切责任及经济损失均由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中标人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自行承担。</w:t>
      </w:r>
    </w:p>
    <w:p>
      <w:pPr>
        <w:numPr>
          <w:ilvl w:val="0"/>
          <w:numId w:val="0"/>
        </w:numPr>
        <w:spacing w:line="540" w:lineRule="exac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   十、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）报名日期：202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zh-CN" w:eastAsia="zh-CN"/>
        </w:rPr>
        <w:t>年1月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日上午09:00至202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年1月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下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午1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: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eastAsia="zh-CN"/>
        </w:rPr>
        <w:t>。</w:t>
      </w:r>
    </w:p>
    <w:p>
      <w:pPr>
        <w:spacing w:line="540" w:lineRule="exact"/>
        <w:ind w:firstLine="452" w:firstLineChars="200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(2)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报价时间：20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日上午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时前密封盖章报到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合肥文旅博览集团野生动物园管理有限公司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1F7F4"/>
        <w:spacing w:before="0" w:beforeAutospacing="0" w:after="0" w:afterAutospacing="0" w:line="435" w:lineRule="atLeast"/>
        <w:ind w:right="0" w:firstLine="210" w:firstLineChars="10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  <w:t>(3)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</w:rPr>
        <w:t>报名方法：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  <w:t>投标函详见“附件3：投标函”，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</w:rPr>
        <w:t>完整填写信息后在规定的报名日期内发送至邮箱：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  <w:t>744454476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</w:rPr>
        <w:t>@qq.com 。</w:t>
      </w:r>
    </w:p>
    <w:p>
      <w:p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如有未尽事宜请在报价中说明。</w:t>
      </w:r>
    </w:p>
    <w:p>
      <w:pPr>
        <w:spacing w:line="540" w:lineRule="exact"/>
        <w:ind w:right="56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电话：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0551-65395585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 xml:space="preserve"> 联系人：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武刚</w:t>
      </w:r>
    </w:p>
    <w:p>
      <w:pPr>
        <w:spacing w:line="540" w:lineRule="exact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监管电话：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0551-65393102</w:t>
      </w:r>
    </w:p>
    <w:p>
      <w:pPr>
        <w:spacing w:line="540" w:lineRule="exact"/>
        <w:ind w:right="56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</w:p>
    <w:p>
      <w:pPr>
        <w:spacing w:line="540" w:lineRule="exact"/>
        <w:ind w:firstLine="420" w:firstLineChars="200"/>
        <w:jc w:val="right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合肥文旅博览集团野生动物园管理有限公司</w:t>
      </w:r>
    </w:p>
    <w:p>
      <w:pPr>
        <w:spacing w:line="540" w:lineRule="exact"/>
        <w:ind w:right="560"/>
        <w:jc w:val="right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         2024年1月8</w:t>
      </w:r>
      <w:bookmarkStart w:id="5" w:name="_GoBack"/>
      <w:bookmarkEnd w:id="5"/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日</w:t>
      </w:r>
    </w:p>
    <w:p>
      <w:pPr>
        <w:spacing w:line="540" w:lineRule="exact"/>
        <w:ind w:right="560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right="560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right="560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right="560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right="560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right="560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right="560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right="560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spacing w:line="540" w:lineRule="exact"/>
        <w:ind w:right="560"/>
        <w:jc w:val="left"/>
        <w:rPr>
          <w:color w:val="auto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 xml:space="preserve">附件1：                   </w:t>
      </w:r>
      <w:r>
        <w:rPr>
          <w:color w:val="auto"/>
          <w:sz w:val="28"/>
          <w:szCs w:val="28"/>
          <w:highlight w:val="none"/>
        </w:rPr>
        <w:t>报价表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b/>
          <w:color w:val="auto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" w:line="560" w:lineRule="exact"/>
        <w:rPr>
          <w:b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tabs>
          <w:tab w:val="left" w:pos="4617"/>
          <w:tab w:val="left" w:pos="8717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left="622" w:right="830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  <w:t>项目名称： 合肥野生动物园空调等电器维修服务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" w:line="560" w:lineRule="exac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</w:p>
    <w:tbl>
      <w:tblPr>
        <w:tblStyle w:val="11"/>
        <w:tblW w:w="0" w:type="auto"/>
        <w:tblInd w:w="5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60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464" w:type="dxa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65" w:line="560" w:lineRule="exact"/>
              <w:ind w:left="247" w:right="233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  <w:t>供应商名称</w:t>
            </w:r>
          </w:p>
        </w:tc>
        <w:tc>
          <w:tcPr>
            <w:tcW w:w="6068" w:type="dxa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464" w:type="dxa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9" w:line="5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247" w:right="21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  <w:t>招标范围</w:t>
            </w:r>
          </w:p>
        </w:tc>
        <w:tc>
          <w:tcPr>
            <w:tcW w:w="6068" w:type="dxa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9" w:line="5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111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  <w:t>全部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464" w:type="dxa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" w:line="5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247" w:right="21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  <w:t>报价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8" w:line="560" w:lineRule="exact"/>
              <w:ind w:left="247" w:right="233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  <w:t>（详见备注说明）</w:t>
            </w:r>
          </w:p>
        </w:tc>
        <w:tc>
          <w:tcPr>
            <w:tcW w:w="6068" w:type="dxa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5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tabs>
                <w:tab w:val="left" w:pos="425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111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费率：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2464" w:type="dxa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04" w:line="560" w:lineRule="exact"/>
              <w:ind w:left="247" w:right="21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  <w:t>备注说明</w:t>
            </w:r>
          </w:p>
        </w:tc>
        <w:tc>
          <w:tcPr>
            <w:tcW w:w="6068" w:type="dxa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60" w:line="560" w:lineRule="exact"/>
              <w:ind w:left="111" w:right="18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8"/>
                <w:kern w:val="2"/>
                <w:sz w:val="21"/>
                <w:szCs w:val="21"/>
                <w:lang w:val="en-US" w:eastAsia="zh-CN" w:bidi="ar-SA"/>
              </w:rPr>
              <w:t>本项目采用费率报价的方式（报价费率不得超过 100%， 否则投标无效）。</w:t>
            </w:r>
          </w:p>
        </w:tc>
      </w:tr>
    </w:tbl>
    <w:p>
      <w:pPr>
        <w:pStyle w:val="4"/>
        <w:keepNext w:val="0"/>
        <w:keepLines w:val="0"/>
        <w:pageBreakBefore w:val="0"/>
        <w:tabs>
          <w:tab w:val="left" w:pos="8967"/>
        </w:tabs>
        <w:kinsoku/>
        <w:wordWrap/>
        <w:overflowPunct/>
        <w:topLinePunct w:val="0"/>
        <w:bidi w:val="0"/>
        <w:adjustRightInd/>
        <w:snapToGrid/>
        <w:spacing w:before="105" w:line="560" w:lineRule="exact"/>
        <w:ind w:right="581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tabs>
          <w:tab w:val="left" w:pos="8967"/>
        </w:tabs>
        <w:kinsoku/>
        <w:wordWrap/>
        <w:overflowPunct/>
        <w:topLinePunct w:val="0"/>
        <w:bidi w:val="0"/>
        <w:adjustRightInd/>
        <w:snapToGrid/>
        <w:spacing w:before="105" w:line="560" w:lineRule="exact"/>
        <w:ind w:right="581" w:firstLine="678" w:firstLineChars="300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  <w:t xml:space="preserve">供应商盖章：                        日   期：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  <w:tab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6" w:line="560" w:lineRule="exac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1" w:line="560" w:lineRule="exact"/>
        <w:ind w:left="0" w:leftChars="0" w:right="0" w:rightChars="0" w:firstLine="0" w:firstLineChars="0"/>
        <w:jc w:val="center"/>
        <w:rPr>
          <w:rFonts w:hint="eastAsia"/>
          <w:color w:val="auto"/>
          <w:sz w:val="32"/>
          <w:szCs w:val="32"/>
          <w:highlight w:val="none"/>
          <w:lang w:eastAsia="zh-CN"/>
        </w:rPr>
      </w:pPr>
      <w:bookmarkStart w:id="3" w:name="二、最后承诺报价表"/>
      <w:bookmarkEnd w:id="3"/>
      <w:bookmarkStart w:id="4" w:name="三、谈判响应函"/>
      <w:bookmarkEnd w:id="4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1" w:line="560" w:lineRule="exact"/>
        <w:ind w:left="0" w:leftChars="0" w:right="0" w:rightChars="0" w:firstLine="0" w:firstLineChars="0"/>
        <w:jc w:val="center"/>
        <w:rPr>
          <w:rFonts w:hint="eastAsia"/>
          <w:color w:val="auto"/>
          <w:sz w:val="32"/>
          <w:szCs w:val="32"/>
          <w:highlight w:val="none"/>
          <w:lang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156" w:beforeAutospacing="0" w:after="156" w:afterAutospacing="0" w:line="560" w:lineRule="exact"/>
        <w:ind w:right="0"/>
        <w:jc w:val="both"/>
        <w:textAlignment w:val="baseline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156" w:beforeAutospacing="0" w:after="156" w:afterAutospacing="0" w:line="560" w:lineRule="exact"/>
        <w:ind w:right="0"/>
        <w:jc w:val="both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156" w:beforeAutospacing="0" w:after="156" w:afterAutospacing="0" w:line="560" w:lineRule="exact"/>
        <w:ind w:right="0"/>
        <w:jc w:val="both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附件2：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156" w:beforeAutospacing="0" w:after="156" w:afterAutospacing="0" w:line="560" w:lineRule="exact"/>
        <w:ind w:right="0"/>
        <w:jc w:val="center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空调等电器维修收费标准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一、加氟及维修收费标准（单位：元）</w:t>
      </w:r>
    </w:p>
    <w:tbl>
      <w:tblPr>
        <w:tblStyle w:val="11"/>
        <w:tblW w:w="99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636"/>
        <w:gridCol w:w="741"/>
        <w:gridCol w:w="2253"/>
        <w:gridCol w:w="2460"/>
        <w:gridCol w:w="1575"/>
        <w:gridCol w:w="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维修项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目类别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加氟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简修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小修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中修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大修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0" w:hRule="atLeast"/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R22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R410A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/R32/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R290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1、更换：滤网、光触媒网、面板、面框/出风框、智能终端盒+物联网模块、负离子发生器、保险管、进/出风格栅、出风罩、排水管、接线座、导风板、导风条、其他小零部件；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2、调整处理：上门检查、空调保养、换电池、接线错调整、内机噪音调整、机内异物排除、堵墙洞、贴防震胶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更换：电容、水位开关、蜗壳、摆风开关、光电开关、静电除尘器、蜗壳、变压器、传感器、接触器、感温头、电辅热温控器、继电器、步进电机、同步电机、电磁阀线圈、四通阀线圈、接水盘、控制面板、显示板、显示盒、室内电路板、电抗器、电源线、压缩机连接线组、过载保护、排水泵、信号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2、调整处理：换气装置、系统管路噪音处理、高低压阀调整、调整漏水。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1、更换：电辅助加热器、风机风叶、电机支架、室内外风扇电机、蒸发器、连接管、室内外底盘、室外电路板、电控盒、贯流风轮、离心风轮、轴流风叶。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2、调整处理：内外机连接管、补焊、系统管路脏堵、重做喇叭口。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1、更换：压缩机、四通阀、冷凝器、高低压阀、压力开关、单向阀、膨胀阀、电磁阀、过滤器、毛细管。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2、调整处理：毛细管冰堵。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除湿机及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移动空调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Q&lt;2匹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240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100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  120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230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2匹≤Q&lt;3匹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280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280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3匹≤Q&lt;5匹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330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160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320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Q≥5匹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350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380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380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备注：上述费用包含人工服务费和冷媒费用，但不包含所更换配件费、远程费、高空费等费用；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二、拆装机收费标准（单位：元）</w:t>
      </w:r>
    </w:p>
    <w:tbl>
      <w:tblPr>
        <w:tblStyle w:val="11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720"/>
        <w:gridCol w:w="1380"/>
        <w:gridCol w:w="1380"/>
        <w:gridCol w:w="1380"/>
        <w:gridCol w:w="13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项目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类别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Q&lt;2匹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2匹≤Q&lt;3匹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3匹≤Q&lt;5匹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Q≥5匹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嵌入式空调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拆机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外机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整机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290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装机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外机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整机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260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移机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内机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140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180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外机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180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220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330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整机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380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4200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550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备注：拆、装、移机均不含运输、拆装防盗网、高空作业费等特殊费用，但已包含加氟及人工费用；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三、特殊环境收费标准（单位：元）</w:t>
      </w:r>
    </w:p>
    <w:tbl>
      <w:tblPr>
        <w:tblStyle w:val="11"/>
        <w:tblW w:w="10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880"/>
        <w:gridCol w:w="1263"/>
        <w:gridCol w:w="1337"/>
        <w:gridCol w:w="1357"/>
        <w:gridCol w:w="1243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项目</w:t>
            </w:r>
          </w:p>
        </w:tc>
        <w:tc>
          <w:tcPr>
            <w:tcW w:w="1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类别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Q&lt;2匹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2匹≤Q&lt;3匹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3匹≤Q&lt;5匹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Q≥5匹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嵌入式空调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加长铜管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元/米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160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空调预埋管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元/米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140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180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普通清洗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内机</w:t>
            </w:r>
          </w:p>
        </w:tc>
        <w:tc>
          <w:tcPr>
            <w:tcW w:w="5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外机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深度清洗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内机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39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室外机支架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普通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2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不锈钢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52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加长膨胀螺钉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元/个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划割玻璃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2块及以下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2块以上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空调电源布线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元/次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拆装防盗网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元/次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漏电保护开关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元/个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远程费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元/公里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管槽安装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套机安装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仅内机或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外机安装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加长直管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（元/米）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空间站独立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安装底座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元/个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高空作业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3楼（含）-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10楼（含）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100元/台（同一用户同一地点每加1台加50,300封顶）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11楼及以上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150元/台（同一用户同一地点每加1台加50,300封顶）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墙外施工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需要使用吊篮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、脚手架作业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300-600元/天（特殊情况另行协商）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需要使用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吊车作业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800-1000元/天（特殊情况另行协商）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打墙孔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普通砖墙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100元/个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钢筋混凝土墙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180元/个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钢筋混凝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土加厚墙</w:t>
            </w:r>
          </w:p>
        </w:tc>
        <w:tc>
          <w:tcPr>
            <w:tcW w:w="6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300元/个（如新疆等区域加厚钢筋混凝土墙）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  <w:jc w:val="center"/>
        </w:trPr>
        <w:tc>
          <w:tcPr>
            <w:tcW w:w="101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1、加长铜管不足1米的按1米收费，超过1米按实际长度计算收费，加长管包括应加长部分的电源线、信号线、保温管、排水管、焊接及适量补充制冷剂等费用；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空调预埋管在新机到货前预埋的，预埋管费用=单价*预埋管总长度（新机到货后，新机自带管路需进行回收，且将新机管路费用0.3按长度返还给用户），新机已到货需要预埋的，预埋管费用=（预埋管总长度+新机自带管路长度）*单价（需提供整根管路进行预埋，新机自带管路进行回收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3、空调支架不包含普通膨胀螺钉费用，如果使用加长膨胀螺钉，则按加长膨胀螺钉收费标准收费；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4、空调电源布线仅包含人工费，不包含材料费，需由有电工操作资格的人员完成，布线长度超过20米的另行商定；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5、漏电保护开关含保护开关物料费，需由有电工操作资格的人员完成；</w:t>
            </w:r>
          </w:p>
          <w:p>
            <w:pPr>
              <w:pStyle w:val="2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  <w:jc w:val="center"/>
        </w:trPr>
        <w:tc>
          <w:tcPr>
            <w:tcW w:w="101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其他电器材料费如下：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       1、开水器温控85元1只。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       2、发热管88元1支。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firstLine="1260" w:firstLineChars="6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3、交流接触器95元1只。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firstLine="1260" w:firstLineChars="6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4、清洗机维修：泵头更换480元，电机换芯680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firstLine="1260" w:firstLineChars="6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5、清洗机高压管150元一根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firstLine="1260" w:firstLineChars="6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6、高压枪加长150一把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firstLine="1260" w:firstLineChars="6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7、冰柜温控更换120元一只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firstLine="1260" w:firstLineChars="6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8、冰柜压缩更换600元（不含压缩机）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firstLine="1260" w:firstLineChars="6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9、冰柜更换散热器150元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      10、汽油发电机维修费150元一台（不含材料费）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5" w:line="560" w:lineRule="exact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1" w:line="560" w:lineRule="exact"/>
        <w:ind w:left="0" w:leftChars="0" w:right="0" w:rightChars="0" w:firstLine="0" w:firstLineChars="0"/>
        <w:jc w:val="both"/>
        <w:rPr>
          <w:rFonts w:hint="eastAsia"/>
          <w:color w:val="auto"/>
          <w:sz w:val="32"/>
          <w:szCs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341"/>
          <w:tab w:val="center" w:pos="4212"/>
        </w:tabs>
        <w:kinsoku/>
        <w:wordWrap/>
        <w:overflowPunct/>
        <w:topLinePunct w:val="0"/>
        <w:bidi w:val="0"/>
        <w:adjustRightInd/>
        <w:snapToGrid/>
        <w:spacing w:before="101" w:line="560" w:lineRule="exact"/>
        <w:ind w:left="0" w:leftChars="0" w:right="0" w:rightChars="0" w:firstLine="0" w:firstLineChars="0"/>
        <w:jc w:val="left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附件3：               </w:t>
      </w:r>
    </w:p>
    <w:p>
      <w:pPr>
        <w:pStyle w:val="3"/>
        <w:keepNext w:val="0"/>
        <w:keepLines w:val="0"/>
        <w:pageBreakBefore w:val="0"/>
        <w:tabs>
          <w:tab w:val="left" w:pos="341"/>
          <w:tab w:val="center" w:pos="4212"/>
        </w:tabs>
        <w:kinsoku/>
        <w:wordWrap/>
        <w:overflowPunct/>
        <w:topLinePunct w:val="0"/>
        <w:bidi w:val="0"/>
        <w:adjustRightInd/>
        <w:snapToGrid/>
        <w:spacing w:before="101" w:line="560" w:lineRule="exact"/>
        <w:ind w:left="0" w:leftChars="0" w:right="0" w:rightChars="0" w:firstLine="0" w:firstLineChars="0"/>
        <w:jc w:val="center"/>
        <w:rPr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  <w:t>投标函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137" w:beforeAutospacing="0" w:after="0" w:afterAutospacing="0" w:line="560" w:lineRule="exact"/>
        <w:ind w:right="0" w:firstLine="210" w:firstLineChars="100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 xml:space="preserve">致：xx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0" w:firstLineChars="300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我方已仔细研究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（项目名称）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招标文件的全部内容，我方愿意参加该项目招标。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220"/>
        </w:tabs>
        <w:kinsoku/>
        <w:wordWrap/>
        <w:overflowPunct/>
        <w:topLinePunct w:val="0"/>
        <w:bidi w:val="0"/>
        <w:adjustRightInd/>
        <w:snapToGrid/>
        <w:spacing w:before="1" w:beforeAutospacing="0" w:after="0" w:afterAutospacing="0" w:line="560" w:lineRule="exact"/>
        <w:ind w:left="210" w:leftChars="100" w:right="0"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据此函，我方宣布同意如下：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220"/>
        </w:tabs>
        <w:kinsoku/>
        <w:wordWrap/>
        <w:overflowPunct/>
        <w:topLinePunct w:val="0"/>
        <w:bidi w:val="0"/>
        <w:adjustRightInd/>
        <w:snapToGrid/>
        <w:spacing w:before="8" w:beforeAutospacing="0" w:after="0" w:afterAutospacing="0" w:line="560" w:lineRule="exact"/>
        <w:ind w:left="210" w:leftChars="100" w:right="0"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1.我单位将按招标文件的规定履行各项责任和义务。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220"/>
        </w:tabs>
        <w:kinsoku/>
        <w:wordWrap/>
        <w:overflowPunct/>
        <w:topLinePunct w:val="0"/>
        <w:bidi w:val="0"/>
        <w:adjustRightInd/>
        <w:snapToGrid/>
        <w:spacing w:before="9" w:beforeAutospacing="0" w:after="0" w:afterAutospacing="0" w:line="560" w:lineRule="exact"/>
        <w:ind w:left="210" w:leftChars="100" w:right="0"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2.我单位已详细审查全部招标文件和有关附件。我们完全理解并同意放弃对这方面有不明及误解的权利。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220"/>
        </w:tabs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210" w:leftChars="100" w:right="0" w:rightChars="0"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3.我单位同意按照贵方要求提供与其招标文件有关的一切数据或资料, 并保证我方提供的文件是真实的、准确的。</w:t>
      </w:r>
    </w:p>
    <w:p>
      <w:pPr>
        <w:pStyle w:val="4"/>
        <w:keepNext w:val="0"/>
        <w:keepLines w:val="0"/>
        <w:pageBreakBefore w:val="0"/>
        <w:tabs>
          <w:tab w:val="left" w:pos="5668"/>
          <w:tab w:val="left" w:pos="8847"/>
        </w:tabs>
        <w:kinsoku/>
        <w:wordWrap/>
        <w:overflowPunct/>
        <w:topLinePunct w:val="0"/>
        <w:bidi w:val="0"/>
        <w:adjustRightInd/>
        <w:snapToGrid/>
        <w:spacing w:before="18" w:line="560" w:lineRule="exact"/>
        <w:ind w:left="4227" w:right="700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74" w:beforeAutospacing="0" w:after="0" w:afterAutospacing="0" w:line="56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 xml:space="preserve">单位名称：                  （盖章）     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74" w:beforeAutospacing="0" w:after="0" w:afterAutospacing="0" w:line="560" w:lineRule="exact"/>
        <w:ind w:firstLine="420" w:firstLineChars="200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法定代表人：                       （签字或盖章）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74" w:beforeAutospacing="0" w:after="0" w:afterAutospacing="0" w:line="56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地址：                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74" w:beforeAutospacing="0" w:after="0" w:afterAutospacing="0" w:line="56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联系人及联系方式（手机）：                 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   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 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10" w:beforeAutospacing="0" w:after="0" w:afterAutospacing="0" w:line="560" w:lineRule="exact"/>
        <w:jc w:val="right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  <w:t>                            日期：  年    月  日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5D4E5"/>
    <w:multiLevelType w:val="singleLevel"/>
    <w:tmpl w:val="FDB5D4E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YjhjNzQyY2FhODQ2NGY0NTFlOGEyNzJmMmU5NTkifQ=="/>
  </w:docVars>
  <w:rsids>
    <w:rsidRoot w:val="21140739"/>
    <w:rsid w:val="00EA40E8"/>
    <w:rsid w:val="011473B7"/>
    <w:rsid w:val="02F72AEC"/>
    <w:rsid w:val="03015719"/>
    <w:rsid w:val="03204B80"/>
    <w:rsid w:val="0350044F"/>
    <w:rsid w:val="03EB0498"/>
    <w:rsid w:val="046B1E68"/>
    <w:rsid w:val="07CA07CF"/>
    <w:rsid w:val="09887819"/>
    <w:rsid w:val="0C3C0535"/>
    <w:rsid w:val="0C6D3E1F"/>
    <w:rsid w:val="100B18D9"/>
    <w:rsid w:val="10284C2D"/>
    <w:rsid w:val="10E2302E"/>
    <w:rsid w:val="110006C9"/>
    <w:rsid w:val="111F698D"/>
    <w:rsid w:val="1145536B"/>
    <w:rsid w:val="118A0FD0"/>
    <w:rsid w:val="11D54941"/>
    <w:rsid w:val="12FF0932"/>
    <w:rsid w:val="15BB5BFB"/>
    <w:rsid w:val="1726179A"/>
    <w:rsid w:val="1740285C"/>
    <w:rsid w:val="177E2113"/>
    <w:rsid w:val="17AA4179"/>
    <w:rsid w:val="181A30AD"/>
    <w:rsid w:val="183523BD"/>
    <w:rsid w:val="18B21538"/>
    <w:rsid w:val="18C87DAE"/>
    <w:rsid w:val="18F25DD8"/>
    <w:rsid w:val="1BAC4CC0"/>
    <w:rsid w:val="1C0025BA"/>
    <w:rsid w:val="1C694E9D"/>
    <w:rsid w:val="1C99656B"/>
    <w:rsid w:val="1D8F1105"/>
    <w:rsid w:val="1DA41CBF"/>
    <w:rsid w:val="1DDF7107"/>
    <w:rsid w:val="1E804BCE"/>
    <w:rsid w:val="1F83778A"/>
    <w:rsid w:val="1FAA740D"/>
    <w:rsid w:val="21140739"/>
    <w:rsid w:val="21645399"/>
    <w:rsid w:val="220A60D1"/>
    <w:rsid w:val="224B0307"/>
    <w:rsid w:val="22FC3A73"/>
    <w:rsid w:val="257D4C7B"/>
    <w:rsid w:val="271C1E6D"/>
    <w:rsid w:val="27257379"/>
    <w:rsid w:val="2835183D"/>
    <w:rsid w:val="28AB69D1"/>
    <w:rsid w:val="29D90681"/>
    <w:rsid w:val="2A4D429B"/>
    <w:rsid w:val="2C1A0FE2"/>
    <w:rsid w:val="2FF975F4"/>
    <w:rsid w:val="305F7D9F"/>
    <w:rsid w:val="31A41E31"/>
    <w:rsid w:val="32D57EA5"/>
    <w:rsid w:val="348752A0"/>
    <w:rsid w:val="356D7B93"/>
    <w:rsid w:val="36AE1139"/>
    <w:rsid w:val="37021484"/>
    <w:rsid w:val="37E22C32"/>
    <w:rsid w:val="38A15693"/>
    <w:rsid w:val="39F20508"/>
    <w:rsid w:val="3D125367"/>
    <w:rsid w:val="3E562BB0"/>
    <w:rsid w:val="3EF43DA9"/>
    <w:rsid w:val="403C77B5"/>
    <w:rsid w:val="411E0D3B"/>
    <w:rsid w:val="41555BA9"/>
    <w:rsid w:val="424741EF"/>
    <w:rsid w:val="445157F9"/>
    <w:rsid w:val="452D591E"/>
    <w:rsid w:val="45D40490"/>
    <w:rsid w:val="45EC7D85"/>
    <w:rsid w:val="48517B76"/>
    <w:rsid w:val="491A265E"/>
    <w:rsid w:val="497004D0"/>
    <w:rsid w:val="49BC59CA"/>
    <w:rsid w:val="4CD9638C"/>
    <w:rsid w:val="50AC6291"/>
    <w:rsid w:val="50EA627B"/>
    <w:rsid w:val="515D758B"/>
    <w:rsid w:val="51C63383"/>
    <w:rsid w:val="52D32A5A"/>
    <w:rsid w:val="53682217"/>
    <w:rsid w:val="54520E62"/>
    <w:rsid w:val="546A323E"/>
    <w:rsid w:val="568C3447"/>
    <w:rsid w:val="56C45262"/>
    <w:rsid w:val="56F902FF"/>
    <w:rsid w:val="5701035C"/>
    <w:rsid w:val="582B2191"/>
    <w:rsid w:val="58AF2417"/>
    <w:rsid w:val="58BC1835"/>
    <w:rsid w:val="59AC5554"/>
    <w:rsid w:val="5A3B26B8"/>
    <w:rsid w:val="5C2E7A04"/>
    <w:rsid w:val="5DEC6062"/>
    <w:rsid w:val="5F265461"/>
    <w:rsid w:val="61634C68"/>
    <w:rsid w:val="62487DE4"/>
    <w:rsid w:val="62EE2AC0"/>
    <w:rsid w:val="632E6FDA"/>
    <w:rsid w:val="64887370"/>
    <w:rsid w:val="64942E6C"/>
    <w:rsid w:val="64E51C1F"/>
    <w:rsid w:val="659D3FA3"/>
    <w:rsid w:val="66FE61F5"/>
    <w:rsid w:val="68A37B22"/>
    <w:rsid w:val="68D66149"/>
    <w:rsid w:val="69D34437"/>
    <w:rsid w:val="69E031FB"/>
    <w:rsid w:val="6A2B6841"/>
    <w:rsid w:val="6A4E61B3"/>
    <w:rsid w:val="6D0448B3"/>
    <w:rsid w:val="6D284A9A"/>
    <w:rsid w:val="6E0816CA"/>
    <w:rsid w:val="6F4162E7"/>
    <w:rsid w:val="703917D0"/>
    <w:rsid w:val="715E0A8A"/>
    <w:rsid w:val="71D451F0"/>
    <w:rsid w:val="72C45265"/>
    <w:rsid w:val="74D13C69"/>
    <w:rsid w:val="7695418E"/>
    <w:rsid w:val="76DC1FAD"/>
    <w:rsid w:val="77F739E6"/>
    <w:rsid w:val="78E71CAD"/>
    <w:rsid w:val="792C76C0"/>
    <w:rsid w:val="7AEC5781"/>
    <w:rsid w:val="7D1B26E8"/>
    <w:rsid w:val="7D8E6457"/>
    <w:rsid w:val="7E5762A8"/>
    <w:rsid w:val="7E70004F"/>
    <w:rsid w:val="7FFA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1"/>
    <w:pPr>
      <w:spacing w:before="158"/>
      <w:ind w:left="1478"/>
      <w:outlineLvl w:val="3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  <w:rPr>
      <w:rFonts w:ascii="Calibri" w:hAnsi="Calibri" w:cs="Plotter"/>
      <w:sz w:val="24"/>
      <w:szCs w:val="24"/>
    </w:r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Body Text Indent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/>
      <w:spacing w:val="12"/>
      <w:kern w:val="0"/>
      <w:sz w:val="24"/>
      <w:szCs w:val="20"/>
    </w:rPr>
  </w:style>
  <w:style w:type="paragraph" w:styleId="6">
    <w:name w:val="Body Text Indent 2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55"/>
    </w:pPr>
    <w:rPr>
      <w:rFonts w:ascii="宋体"/>
      <w:spacing w:val="12"/>
      <w:kern w:val="0"/>
      <w:sz w:val="24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/>
      <w:color w:val="000000"/>
      <w:kern w:val="0"/>
      <w:sz w:val="24"/>
      <w:szCs w:val="20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UserStyle_6"/>
    <w:next w:val="1"/>
    <w:autoRedefine/>
    <w:qFormat/>
    <w:uiPriority w:val="0"/>
    <w:pPr>
      <w:widowControl/>
      <w:ind w:right="-113"/>
      <w:jc w:val="center"/>
      <w:textAlignment w:val="baseline"/>
    </w:pPr>
    <w:rPr>
      <w:rFonts w:ascii="黑体" w:hAnsi="Times New Roman" w:eastAsia="黑体" w:cstheme="minorBidi"/>
      <w:sz w:val="52"/>
      <w:lang w:val="en-US" w:eastAsia="zh-CN" w:bidi="ar-SA"/>
    </w:rPr>
  </w:style>
  <w:style w:type="character" w:customStyle="1" w:styleId="14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2066</Words>
  <Characters>2162</Characters>
  <Lines>0</Lines>
  <Paragraphs>0</Paragraphs>
  <TotalTime>12</TotalTime>
  <ScaleCrop>false</ScaleCrop>
  <LinksUpToDate>false</LinksUpToDate>
  <CharactersWithSpaces>2218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2019-04-10T09:30:00Z</dcterms:created>
  <dc:creator>123</dc:creator>
  <cp:lastModifiedBy>凤凰于飞</cp:lastModifiedBy>
  <cp:lastPrinted>2020-10-19T04:17:00Z</cp:lastPrinted>
  <dcterms:modified xsi:type="dcterms:W3CDTF">2024-01-08T01:03:25Z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D08C8FF58C9441D4908F367BDFD3C8D5_13</vt:lpwstr>
  </property>
</Properties>
</file>