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000000"/>
          <w:sz w:val="72"/>
          <w:szCs w:val="26"/>
        </w:rPr>
      </w:pPr>
    </w:p>
    <w:p>
      <w:pPr>
        <w:tabs>
          <w:tab w:val="left" w:pos="420"/>
        </w:tabs>
        <w:spacing w:line="360" w:lineRule="auto"/>
        <w:jc w:val="center"/>
        <w:rPr>
          <w:rFonts w:ascii="宋体" w:hAnsi="宋体"/>
          <w:b/>
          <w:color w:val="000000"/>
          <w:sz w:val="52"/>
          <w:szCs w:val="52"/>
        </w:rPr>
      </w:pPr>
      <w:r>
        <w:rPr>
          <w:rFonts w:hint="eastAsia" w:ascii="微软简标宋"/>
          <w:b/>
          <w:bCs/>
          <w:color w:val="000000"/>
          <w:sz w:val="72"/>
          <w:szCs w:val="26"/>
        </w:rPr>
        <w:t>竞 价 文 件</w:t>
      </w:r>
    </w:p>
    <w:p>
      <w:pPr>
        <w:tabs>
          <w:tab w:val="left" w:pos="315"/>
          <w:tab w:val="left" w:pos="8820"/>
        </w:tabs>
        <w:spacing w:line="360" w:lineRule="auto"/>
        <w:jc w:val="right"/>
        <w:rPr>
          <w:rFonts w:ascii="微软简标宋"/>
          <w:bCs/>
          <w:color w:val="000000"/>
          <w:sz w:val="52"/>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spacing w:line="360" w:lineRule="auto"/>
        <w:jc w:val="center"/>
        <w:rPr>
          <w:rFonts w:ascii="宋体" w:hAnsi="宋体" w:cs="宋体"/>
          <w:color w:val="000000"/>
          <w:kern w:val="0"/>
          <w:sz w:val="24"/>
          <w:szCs w:val="24"/>
        </w:rPr>
      </w:pPr>
      <w:r>
        <w:rPr>
          <w:color w:val="000000"/>
        </w:rPr>
        <w:drawing>
          <wp:inline distT="0" distB="0" distL="0" distR="0">
            <wp:extent cx="1390650"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0650" cy="13144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sz w:val="44"/>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pStyle w:val="8"/>
        <w:spacing w:line="500" w:lineRule="exact"/>
        <w:ind w:firstLine="723" w:firstLineChars="200"/>
        <w:jc w:val="both"/>
        <w:rPr>
          <w:rFonts w:hint="eastAsia" w:ascii="宋体" w:hAnsi="DotumChe" w:cs="宋体"/>
          <w:b/>
          <w:color w:val="000000"/>
          <w:spacing w:val="20"/>
          <w:kern w:val="0"/>
          <w:sz w:val="32"/>
          <w:szCs w:val="32"/>
          <w:lang w:val="en-US" w:eastAsia="zh-CN"/>
        </w:rPr>
      </w:pPr>
      <w:r>
        <w:rPr>
          <w:rFonts w:hint="eastAsia" w:ascii="宋体" w:hAnsi="DotumChe" w:cs="宋体"/>
          <w:b/>
          <w:color w:val="000000"/>
          <w:spacing w:val="20"/>
          <w:kern w:val="0"/>
          <w:sz w:val="32"/>
          <w:szCs w:val="32"/>
        </w:rPr>
        <w:t>项目名称：</w:t>
      </w:r>
      <w:r>
        <w:rPr>
          <w:rFonts w:hint="eastAsia" w:ascii="宋体" w:hAnsi="DotumChe" w:cs="宋体"/>
          <w:b/>
          <w:color w:val="000000"/>
          <w:spacing w:val="20"/>
          <w:kern w:val="0"/>
          <w:sz w:val="32"/>
          <w:szCs w:val="32"/>
          <w:lang w:val="en-US" w:eastAsia="zh-CN"/>
        </w:rPr>
        <w:t>投资大厦消防安全评估和建筑消防设施检测服务</w:t>
      </w:r>
    </w:p>
    <w:p>
      <w:pPr>
        <w:pStyle w:val="8"/>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项目编号：2023WLBLZB000</w:t>
      </w:r>
      <w:r>
        <w:rPr>
          <w:rFonts w:hint="eastAsia" w:ascii="宋体" w:hAnsi="DotumChe" w:cs="宋体"/>
          <w:b/>
          <w:color w:val="000000"/>
          <w:spacing w:val="20"/>
          <w:kern w:val="0"/>
          <w:sz w:val="32"/>
          <w:szCs w:val="32"/>
          <w:lang w:val="en-US" w:eastAsia="zh-CN"/>
        </w:rPr>
        <w:t>96</w:t>
      </w:r>
      <w:r>
        <w:rPr>
          <w:rFonts w:hint="eastAsia" w:ascii="宋体" w:hAnsi="DotumChe" w:cs="宋体"/>
          <w:b/>
          <w:color w:val="000000"/>
          <w:spacing w:val="20"/>
          <w:kern w:val="0"/>
          <w:sz w:val="32"/>
          <w:szCs w:val="32"/>
        </w:rPr>
        <w:t>号</w:t>
      </w:r>
    </w:p>
    <w:p>
      <w:pPr>
        <w:pStyle w:val="8"/>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招 标 人：合肥文旅博览集团有限公司</w:t>
      </w:r>
    </w:p>
    <w:p>
      <w:pPr>
        <w:pStyle w:val="8"/>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招标时间：2023年</w:t>
      </w:r>
      <w:r>
        <w:rPr>
          <w:rFonts w:hint="eastAsia" w:ascii="宋体" w:hAnsi="DotumChe" w:cs="宋体"/>
          <w:b/>
          <w:color w:val="000000"/>
          <w:spacing w:val="20"/>
          <w:kern w:val="0"/>
          <w:sz w:val="32"/>
          <w:szCs w:val="32"/>
          <w:lang w:val="en-US" w:eastAsia="zh-CN"/>
        </w:rPr>
        <w:t>12</w:t>
      </w:r>
      <w:r>
        <w:rPr>
          <w:rFonts w:hint="eastAsia" w:ascii="宋体" w:hAnsi="DotumChe" w:cs="宋体"/>
          <w:b/>
          <w:color w:val="000000"/>
          <w:spacing w:val="20"/>
          <w:kern w:val="0"/>
          <w:sz w:val="32"/>
          <w:szCs w:val="32"/>
        </w:rPr>
        <w:t>月</w:t>
      </w: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DotumChe" w:cs="宋体"/>
          <w:b/>
          <w:i w:val="0"/>
          <w:iCs w:val="0"/>
          <w:color w:val="000000"/>
          <w:spacing w:val="20"/>
          <w:kern w:val="0"/>
          <w:sz w:val="32"/>
          <w:szCs w:val="32"/>
        </w:rPr>
      </w:pPr>
    </w:p>
    <w:p>
      <w:pPr>
        <w:spacing w:line="360" w:lineRule="auto"/>
        <w:jc w:val="center"/>
        <w:rPr>
          <w:rFonts w:ascii="黑体" w:hAnsi="宋体" w:eastAsia="黑体"/>
          <w:i w:val="0"/>
          <w:iCs w:val="0"/>
          <w:color w:val="000000"/>
          <w:sz w:val="32"/>
        </w:rPr>
      </w:pPr>
      <w:r>
        <w:rPr>
          <w:rFonts w:hint="eastAsia" w:ascii="黑体" w:hAnsi="宋体" w:eastAsia="黑体"/>
          <w:i w:val="0"/>
          <w:iCs w:val="0"/>
          <w:color w:val="000000"/>
          <w:sz w:val="32"/>
        </w:rPr>
        <w:t>目    录</w:t>
      </w:r>
    </w:p>
    <w:p>
      <w:pPr>
        <w:jc w:val="center"/>
        <w:rPr>
          <w:i w:val="0"/>
          <w:iCs w:val="0"/>
          <w:color w:val="000000"/>
        </w:rPr>
      </w:pPr>
      <w:bookmarkStart w:id="0" w:name="_Hlt533241375"/>
      <w:bookmarkEnd w:id="0"/>
      <w:bookmarkStart w:id="1" w:name="_Hlt519045295"/>
      <w:bookmarkEnd w:id="1"/>
      <w:bookmarkStart w:id="2" w:name="_Hlt526418134"/>
      <w:bookmarkEnd w:id="2"/>
    </w:p>
    <w:p>
      <w:pPr>
        <w:pStyle w:val="14"/>
        <w:tabs>
          <w:tab w:val="right" w:leader="dot" w:pos="9413"/>
          <w:tab w:val="clear" w:pos="9403"/>
        </w:tabs>
        <w:rPr>
          <w:i w:val="0"/>
          <w:iCs w:val="0"/>
        </w:rPr>
      </w:pPr>
      <w:r>
        <w:rPr>
          <w:i w:val="0"/>
          <w:iCs w:val="0"/>
          <w:color w:val="000000"/>
        </w:rPr>
        <w:fldChar w:fldCharType="begin"/>
      </w:r>
      <w:r>
        <w:rPr>
          <w:i w:val="0"/>
          <w:iCs w:val="0"/>
          <w:color w:val="000000"/>
        </w:rPr>
        <w:instrText xml:space="preserve">TOC \o "1-3" \h \u </w:instrText>
      </w:r>
      <w:r>
        <w:rPr>
          <w:i w:val="0"/>
          <w:iCs w:val="0"/>
          <w:color w:val="000000"/>
        </w:rPr>
        <w:fldChar w:fldCharType="separate"/>
      </w:r>
      <w:r>
        <w:rPr>
          <w:i w:val="0"/>
          <w:iCs w:val="0"/>
          <w:color w:val="000000"/>
        </w:rPr>
        <w:fldChar w:fldCharType="begin"/>
      </w:r>
      <w:r>
        <w:rPr>
          <w:i w:val="0"/>
          <w:iCs w:val="0"/>
        </w:rPr>
        <w:instrText xml:space="preserve"> HYPERLINK \l _Toc21424 </w:instrText>
      </w:r>
      <w:r>
        <w:rPr>
          <w:i w:val="0"/>
          <w:iCs w:val="0"/>
        </w:rPr>
        <w:fldChar w:fldCharType="separate"/>
      </w:r>
      <w:r>
        <w:rPr>
          <w:rFonts w:hint="eastAsia" w:ascii="宋体" w:hAnsi="宋体" w:eastAsia="宋体"/>
          <w:i w:val="0"/>
          <w:iCs w:val="0"/>
        </w:rPr>
        <w:t>第一章 投标邀请（招标公告）</w:t>
      </w:r>
      <w:r>
        <w:rPr>
          <w:i w:val="0"/>
          <w:iCs w:val="0"/>
        </w:rPr>
        <w:tab/>
      </w:r>
      <w:r>
        <w:rPr>
          <w:i w:val="0"/>
          <w:iCs w:val="0"/>
        </w:rPr>
        <w:fldChar w:fldCharType="begin"/>
      </w:r>
      <w:r>
        <w:rPr>
          <w:i w:val="0"/>
          <w:iCs w:val="0"/>
        </w:rPr>
        <w:instrText xml:space="preserve"> PAGEREF _Toc21424 \h </w:instrText>
      </w:r>
      <w:r>
        <w:rPr>
          <w:i w:val="0"/>
          <w:iCs w:val="0"/>
        </w:rPr>
        <w:fldChar w:fldCharType="separate"/>
      </w:r>
      <w:r>
        <w:rPr>
          <w:i w:val="0"/>
          <w:iCs w:val="0"/>
        </w:rPr>
        <w:t>3</w:t>
      </w:r>
      <w:r>
        <w:rPr>
          <w:i w:val="0"/>
          <w:iCs w:val="0"/>
        </w:rPr>
        <w:fldChar w:fldCharType="end"/>
      </w:r>
      <w:r>
        <w:rPr>
          <w:i w:val="0"/>
          <w:iCs w:val="0"/>
          <w:color w:val="000000"/>
        </w:rPr>
        <w:fldChar w:fldCharType="end"/>
      </w:r>
    </w:p>
    <w:p>
      <w:pPr>
        <w:pStyle w:val="14"/>
        <w:tabs>
          <w:tab w:val="right" w:leader="dot" w:pos="9413"/>
          <w:tab w:val="clear" w:pos="9403"/>
        </w:tabs>
        <w:rPr>
          <w:i w:val="0"/>
          <w:iCs w:val="0"/>
        </w:rPr>
      </w:pPr>
      <w:r>
        <w:rPr>
          <w:i w:val="0"/>
          <w:iCs w:val="0"/>
          <w:color w:val="000000"/>
        </w:rPr>
        <w:fldChar w:fldCharType="begin"/>
      </w:r>
      <w:r>
        <w:rPr>
          <w:i w:val="0"/>
          <w:iCs w:val="0"/>
        </w:rPr>
        <w:instrText xml:space="preserve"> HYPERLINK \l _Toc11552 </w:instrText>
      </w:r>
      <w:r>
        <w:rPr>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_Toc11552 \h </w:instrText>
      </w:r>
      <w:r>
        <w:rPr>
          <w:i w:val="0"/>
          <w:iCs w:val="0"/>
        </w:rPr>
        <w:fldChar w:fldCharType="separate"/>
      </w:r>
      <w:r>
        <w:rPr>
          <w:i w:val="0"/>
          <w:iCs w:val="0"/>
        </w:rPr>
        <w:t>5</w:t>
      </w:r>
      <w:r>
        <w:rPr>
          <w:i w:val="0"/>
          <w:iCs w:val="0"/>
        </w:rPr>
        <w:fldChar w:fldCharType="end"/>
      </w:r>
      <w:r>
        <w:rPr>
          <w:i w:val="0"/>
          <w:iCs w:val="0"/>
          <w:color w:val="000000"/>
        </w:rPr>
        <w:fldChar w:fldCharType="end"/>
      </w:r>
    </w:p>
    <w:p>
      <w:pPr>
        <w:pStyle w:val="14"/>
        <w:tabs>
          <w:tab w:val="right" w:leader="dot" w:pos="9413"/>
          <w:tab w:val="clear" w:pos="9403"/>
        </w:tabs>
        <w:rPr>
          <w:i w:val="0"/>
          <w:iCs w:val="0"/>
        </w:rPr>
      </w:pPr>
      <w:r>
        <w:rPr>
          <w:i w:val="0"/>
          <w:iCs w:val="0"/>
          <w:color w:val="000000"/>
        </w:rPr>
        <w:fldChar w:fldCharType="begin"/>
      </w:r>
      <w:r>
        <w:rPr>
          <w:i w:val="0"/>
          <w:iCs w:val="0"/>
        </w:rPr>
        <w:instrText xml:space="preserve"> HYPERLINK \l _Toc6622 </w:instrText>
      </w:r>
      <w:r>
        <w:rPr>
          <w:i w:val="0"/>
          <w:iCs w:val="0"/>
        </w:rPr>
        <w:fldChar w:fldCharType="separate"/>
      </w:r>
      <w:r>
        <w:rPr>
          <w:rFonts w:hint="eastAsia" w:ascii="宋体" w:hAnsi="宋体" w:eastAsia="宋体"/>
          <w:i w:val="0"/>
          <w:iCs w:val="0"/>
        </w:rPr>
        <w:t xml:space="preserve">第三章 </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_Toc6622 \h </w:instrText>
      </w:r>
      <w:r>
        <w:rPr>
          <w:i w:val="0"/>
          <w:iCs w:val="0"/>
        </w:rPr>
        <w:fldChar w:fldCharType="separate"/>
      </w:r>
      <w:r>
        <w:rPr>
          <w:i w:val="0"/>
          <w:iCs w:val="0"/>
        </w:rPr>
        <w:t>7</w:t>
      </w:r>
      <w:r>
        <w:rPr>
          <w:i w:val="0"/>
          <w:iCs w:val="0"/>
        </w:rPr>
        <w:fldChar w:fldCharType="end"/>
      </w:r>
      <w:r>
        <w:rPr>
          <w:i w:val="0"/>
          <w:iCs w:val="0"/>
          <w:color w:val="000000"/>
        </w:rPr>
        <w:fldChar w:fldCharType="end"/>
      </w:r>
    </w:p>
    <w:p>
      <w:pPr>
        <w:pStyle w:val="14"/>
        <w:tabs>
          <w:tab w:val="right" w:leader="dot" w:pos="9413"/>
          <w:tab w:val="clear" w:pos="9403"/>
        </w:tabs>
        <w:rPr>
          <w:i w:val="0"/>
          <w:iCs w:val="0"/>
        </w:rPr>
      </w:pPr>
      <w:r>
        <w:rPr>
          <w:i w:val="0"/>
          <w:iCs w:val="0"/>
          <w:color w:val="000000"/>
        </w:rPr>
        <w:fldChar w:fldCharType="begin"/>
      </w:r>
      <w:r>
        <w:rPr>
          <w:i w:val="0"/>
          <w:iCs w:val="0"/>
        </w:rPr>
        <w:instrText xml:space="preserve"> HYPERLINK \l _Toc22437 </w:instrText>
      </w:r>
      <w:r>
        <w:rPr>
          <w:i w:val="0"/>
          <w:iCs w:val="0"/>
        </w:rPr>
        <w:fldChar w:fldCharType="separate"/>
      </w:r>
      <w:r>
        <w:rPr>
          <w:rFonts w:hint="eastAsia" w:ascii="宋体" w:hAnsi="宋体" w:eastAsia="宋体"/>
          <w:i w:val="0"/>
          <w:iCs w:val="0"/>
        </w:rPr>
        <w:t>第四章 评标办法</w:t>
      </w:r>
      <w:r>
        <w:rPr>
          <w:i w:val="0"/>
          <w:iCs w:val="0"/>
        </w:rPr>
        <w:tab/>
      </w:r>
      <w:r>
        <w:rPr>
          <w:i w:val="0"/>
          <w:iCs w:val="0"/>
        </w:rPr>
        <w:fldChar w:fldCharType="begin"/>
      </w:r>
      <w:r>
        <w:rPr>
          <w:i w:val="0"/>
          <w:iCs w:val="0"/>
        </w:rPr>
        <w:instrText xml:space="preserve"> PAGEREF _Toc22437 \h </w:instrText>
      </w:r>
      <w:r>
        <w:rPr>
          <w:i w:val="0"/>
          <w:iCs w:val="0"/>
        </w:rPr>
        <w:fldChar w:fldCharType="separate"/>
      </w:r>
      <w:r>
        <w:rPr>
          <w:i w:val="0"/>
          <w:iCs w:val="0"/>
        </w:rPr>
        <w:t>9</w:t>
      </w:r>
      <w:r>
        <w:rPr>
          <w:i w:val="0"/>
          <w:iCs w:val="0"/>
        </w:rPr>
        <w:fldChar w:fldCharType="end"/>
      </w:r>
      <w:r>
        <w:rPr>
          <w:i w:val="0"/>
          <w:iCs w:val="0"/>
          <w:color w:val="000000"/>
        </w:rPr>
        <w:fldChar w:fldCharType="end"/>
      </w:r>
    </w:p>
    <w:p>
      <w:pPr>
        <w:pStyle w:val="14"/>
        <w:tabs>
          <w:tab w:val="right" w:leader="dot" w:pos="9413"/>
          <w:tab w:val="clear" w:pos="9403"/>
        </w:tabs>
        <w:rPr>
          <w:i w:val="0"/>
          <w:iCs w:val="0"/>
        </w:rPr>
      </w:pPr>
      <w:r>
        <w:rPr>
          <w:i w:val="0"/>
          <w:iCs w:val="0"/>
          <w:color w:val="000000"/>
        </w:rPr>
        <w:fldChar w:fldCharType="begin"/>
      </w:r>
      <w:r>
        <w:rPr>
          <w:i w:val="0"/>
          <w:iCs w:val="0"/>
        </w:rPr>
        <w:instrText xml:space="preserve"> HYPERLINK \l _Toc29597 </w:instrText>
      </w:r>
      <w:r>
        <w:rPr>
          <w:i w:val="0"/>
          <w:iCs w:val="0"/>
        </w:rPr>
        <w:fldChar w:fldCharType="separate"/>
      </w:r>
      <w:r>
        <w:rPr>
          <w:rFonts w:hint="eastAsia" w:ascii="宋体" w:hAnsi="宋体" w:eastAsia="宋体"/>
          <w:i w:val="0"/>
          <w:iCs w:val="0"/>
        </w:rPr>
        <w:t>第五章 投标文件格式</w:t>
      </w:r>
      <w:r>
        <w:rPr>
          <w:i w:val="0"/>
          <w:iCs w:val="0"/>
        </w:rPr>
        <w:tab/>
      </w:r>
      <w:r>
        <w:rPr>
          <w:i w:val="0"/>
          <w:iCs w:val="0"/>
        </w:rPr>
        <w:fldChar w:fldCharType="begin"/>
      </w:r>
      <w:r>
        <w:rPr>
          <w:i w:val="0"/>
          <w:iCs w:val="0"/>
        </w:rPr>
        <w:instrText xml:space="preserve"> PAGEREF _Toc29597 \h </w:instrText>
      </w:r>
      <w:r>
        <w:rPr>
          <w:i w:val="0"/>
          <w:iCs w:val="0"/>
        </w:rPr>
        <w:fldChar w:fldCharType="separate"/>
      </w:r>
      <w:r>
        <w:rPr>
          <w:i w:val="0"/>
          <w:iCs w:val="0"/>
        </w:rPr>
        <w:t>13</w:t>
      </w:r>
      <w:r>
        <w:rPr>
          <w:i w:val="0"/>
          <w:iCs w:val="0"/>
        </w:rPr>
        <w:fldChar w:fldCharType="end"/>
      </w:r>
      <w:r>
        <w:rPr>
          <w:i w:val="0"/>
          <w:iCs w:val="0"/>
          <w:color w:val="000000"/>
        </w:rPr>
        <w:fldChar w:fldCharType="end"/>
      </w:r>
    </w:p>
    <w:p>
      <w:pPr>
        <w:pStyle w:val="14"/>
        <w:tabs>
          <w:tab w:val="right" w:leader="dot" w:pos="9413"/>
          <w:tab w:val="clear" w:pos="9403"/>
        </w:tabs>
        <w:rPr>
          <w:i w:val="0"/>
          <w:iCs w:val="0"/>
        </w:rPr>
      </w:pPr>
      <w:r>
        <w:rPr>
          <w:i w:val="0"/>
          <w:iCs w:val="0"/>
          <w:color w:val="000000"/>
        </w:rPr>
        <w:fldChar w:fldCharType="begin"/>
      </w:r>
      <w:r>
        <w:rPr>
          <w:i w:val="0"/>
          <w:iCs w:val="0"/>
        </w:rPr>
        <w:instrText xml:space="preserve"> HYPERLINK \l _Toc23803 </w:instrText>
      </w:r>
      <w:r>
        <w:rPr>
          <w:i w:val="0"/>
          <w:iCs w:val="0"/>
        </w:rPr>
        <w:fldChar w:fldCharType="separate"/>
      </w:r>
      <w:r>
        <w:rPr>
          <w:rFonts w:hint="eastAsia" w:ascii="Arial" w:hAnsi="Arial" w:cs="Calibri"/>
          <w:bCs/>
          <w:i w:val="0"/>
          <w:iCs w:val="0"/>
          <w:szCs w:val="32"/>
        </w:rPr>
        <w:t>评审因素索引表</w:t>
      </w:r>
      <w:r>
        <w:rPr>
          <w:i w:val="0"/>
          <w:iCs w:val="0"/>
        </w:rPr>
        <w:tab/>
      </w:r>
      <w:r>
        <w:rPr>
          <w:i w:val="0"/>
          <w:iCs w:val="0"/>
        </w:rPr>
        <w:fldChar w:fldCharType="begin"/>
      </w:r>
      <w:r>
        <w:rPr>
          <w:i w:val="0"/>
          <w:iCs w:val="0"/>
        </w:rPr>
        <w:instrText xml:space="preserve"> PAGEREF _Toc23803 \h </w:instrText>
      </w:r>
      <w:r>
        <w:rPr>
          <w:i w:val="0"/>
          <w:iCs w:val="0"/>
        </w:rPr>
        <w:fldChar w:fldCharType="separate"/>
      </w:r>
      <w:r>
        <w:rPr>
          <w:i w:val="0"/>
          <w:iCs w:val="0"/>
        </w:rPr>
        <w:t>13</w:t>
      </w:r>
      <w:r>
        <w:rPr>
          <w:i w:val="0"/>
          <w:iCs w:val="0"/>
        </w:rPr>
        <w:fldChar w:fldCharType="end"/>
      </w:r>
      <w:r>
        <w:rPr>
          <w:i w:val="0"/>
          <w:iCs w:val="0"/>
          <w:color w:val="000000"/>
        </w:rPr>
        <w:fldChar w:fldCharType="end"/>
      </w:r>
    </w:p>
    <w:p>
      <w:pPr>
        <w:pStyle w:val="14"/>
        <w:tabs>
          <w:tab w:val="right" w:leader="dot" w:pos="9413"/>
          <w:tab w:val="clear" w:pos="9403"/>
        </w:tabs>
        <w:rPr>
          <w:i w:val="0"/>
          <w:iCs w:val="0"/>
        </w:rPr>
      </w:pPr>
      <w:r>
        <w:rPr>
          <w:i w:val="0"/>
          <w:iCs w:val="0"/>
          <w:color w:val="000000"/>
        </w:rPr>
        <w:fldChar w:fldCharType="begin"/>
      </w:r>
      <w:r>
        <w:rPr>
          <w:i w:val="0"/>
          <w:iCs w:val="0"/>
        </w:rPr>
        <w:instrText xml:space="preserve"> HYPERLINK \l _Toc29052 </w:instrText>
      </w:r>
      <w:r>
        <w:rPr>
          <w:i w:val="0"/>
          <w:iCs w:val="0"/>
        </w:rPr>
        <w:fldChar w:fldCharType="separate"/>
      </w:r>
      <w:r>
        <w:rPr>
          <w:rFonts w:hint="eastAsia" w:ascii="宋体" w:hAnsi="宋体"/>
          <w:bCs/>
          <w:i w:val="0"/>
          <w:iCs w:val="0"/>
          <w:szCs w:val="32"/>
        </w:rPr>
        <w:t>投标文件格式及资料清单</w:t>
      </w:r>
      <w:r>
        <w:rPr>
          <w:i w:val="0"/>
          <w:iCs w:val="0"/>
        </w:rPr>
        <w:tab/>
      </w:r>
      <w:r>
        <w:rPr>
          <w:i w:val="0"/>
          <w:iCs w:val="0"/>
        </w:rPr>
        <w:fldChar w:fldCharType="begin"/>
      </w:r>
      <w:r>
        <w:rPr>
          <w:i w:val="0"/>
          <w:iCs w:val="0"/>
        </w:rPr>
        <w:instrText xml:space="preserve"> PAGEREF _Toc29052 \h </w:instrText>
      </w:r>
      <w:r>
        <w:rPr>
          <w:i w:val="0"/>
          <w:iCs w:val="0"/>
        </w:rPr>
        <w:fldChar w:fldCharType="separate"/>
      </w:r>
      <w:r>
        <w:rPr>
          <w:i w:val="0"/>
          <w:iCs w:val="0"/>
        </w:rPr>
        <w:t>14</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_Toc26843 </w:instrText>
      </w:r>
      <w:r>
        <w:rPr>
          <w:i w:val="0"/>
          <w:iCs w:val="0"/>
        </w:rPr>
        <w:fldChar w:fldCharType="separate"/>
      </w:r>
      <w:r>
        <w:rPr>
          <w:rFonts w:hint="eastAsia" w:ascii="宋体" w:hAnsi="宋体"/>
          <w:bCs/>
          <w:i w:val="0"/>
          <w:iCs w:val="0"/>
          <w:szCs w:val="32"/>
        </w:rPr>
        <w:t>一．投标函</w:t>
      </w:r>
      <w:r>
        <w:rPr>
          <w:i w:val="0"/>
          <w:iCs w:val="0"/>
        </w:rPr>
        <w:tab/>
      </w:r>
      <w:r>
        <w:rPr>
          <w:i w:val="0"/>
          <w:iCs w:val="0"/>
        </w:rPr>
        <w:fldChar w:fldCharType="begin"/>
      </w:r>
      <w:r>
        <w:rPr>
          <w:i w:val="0"/>
          <w:iCs w:val="0"/>
        </w:rPr>
        <w:instrText xml:space="preserve"> PAGEREF _Toc26843 \h </w:instrText>
      </w:r>
      <w:r>
        <w:rPr>
          <w:i w:val="0"/>
          <w:iCs w:val="0"/>
        </w:rPr>
        <w:fldChar w:fldCharType="separate"/>
      </w:r>
      <w:r>
        <w:rPr>
          <w:i w:val="0"/>
          <w:iCs w:val="0"/>
        </w:rPr>
        <w:t>15</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_Toc12295 </w:instrText>
      </w:r>
      <w:r>
        <w:rPr>
          <w:i w:val="0"/>
          <w:iCs w:val="0"/>
        </w:rPr>
        <w:fldChar w:fldCharType="separate"/>
      </w:r>
      <w:r>
        <w:rPr>
          <w:rFonts w:hint="eastAsia" w:ascii="宋体" w:hAnsi="宋体"/>
          <w:bCs/>
          <w:i w:val="0"/>
          <w:iCs w:val="0"/>
          <w:szCs w:val="32"/>
        </w:rPr>
        <w:t>二．投标人情况综合简介</w:t>
      </w:r>
      <w:r>
        <w:rPr>
          <w:i w:val="0"/>
          <w:iCs w:val="0"/>
        </w:rPr>
        <w:tab/>
      </w:r>
      <w:r>
        <w:rPr>
          <w:i w:val="0"/>
          <w:iCs w:val="0"/>
        </w:rPr>
        <w:fldChar w:fldCharType="begin"/>
      </w:r>
      <w:r>
        <w:rPr>
          <w:i w:val="0"/>
          <w:iCs w:val="0"/>
        </w:rPr>
        <w:instrText xml:space="preserve"> PAGEREF _Toc12295 \h </w:instrText>
      </w:r>
      <w:r>
        <w:rPr>
          <w:i w:val="0"/>
          <w:iCs w:val="0"/>
        </w:rPr>
        <w:fldChar w:fldCharType="separate"/>
      </w:r>
      <w:r>
        <w:rPr>
          <w:i w:val="0"/>
          <w:iCs w:val="0"/>
        </w:rPr>
        <w:t>16</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_Toc11993 </w:instrText>
      </w:r>
      <w:r>
        <w:rPr>
          <w:i w:val="0"/>
          <w:iCs w:val="0"/>
        </w:rPr>
        <w:fldChar w:fldCharType="separate"/>
      </w:r>
      <w:r>
        <w:rPr>
          <w:rFonts w:hint="eastAsia" w:cs="@仿宋_GB2312" w:asciiTheme="minorEastAsia" w:hAnsiTheme="minorEastAsia" w:eastAsiaTheme="minorEastAsia"/>
          <w:i w:val="0"/>
          <w:iCs w:val="0"/>
          <w:szCs w:val="24"/>
        </w:rPr>
        <w:t>第一轮报价</w:t>
      </w:r>
      <w:r>
        <w:rPr>
          <w:i w:val="0"/>
          <w:iCs w:val="0"/>
        </w:rPr>
        <w:tab/>
      </w:r>
      <w:r>
        <w:rPr>
          <w:i w:val="0"/>
          <w:iCs w:val="0"/>
        </w:rPr>
        <w:fldChar w:fldCharType="begin"/>
      </w:r>
      <w:r>
        <w:rPr>
          <w:i w:val="0"/>
          <w:iCs w:val="0"/>
        </w:rPr>
        <w:instrText xml:space="preserve"> PAGEREF _Toc11993 \h </w:instrText>
      </w:r>
      <w:r>
        <w:rPr>
          <w:i w:val="0"/>
          <w:iCs w:val="0"/>
        </w:rPr>
        <w:fldChar w:fldCharType="separate"/>
      </w:r>
      <w:r>
        <w:rPr>
          <w:i w:val="0"/>
          <w:iCs w:val="0"/>
        </w:rPr>
        <w:t>17</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_Toc24791 </w:instrText>
      </w:r>
      <w:r>
        <w:rPr>
          <w:i w:val="0"/>
          <w:iCs w:val="0"/>
        </w:rPr>
        <w:fldChar w:fldCharType="separate"/>
      </w:r>
      <w:r>
        <w:rPr>
          <w:rFonts w:hint="eastAsia" w:ascii="宋体" w:hAnsi="宋体"/>
          <w:bCs/>
          <w:i w:val="0"/>
          <w:iCs w:val="0"/>
          <w:szCs w:val="32"/>
        </w:rPr>
        <w:t>三．开标一览表</w:t>
      </w:r>
      <w:r>
        <w:rPr>
          <w:i w:val="0"/>
          <w:iCs w:val="0"/>
        </w:rPr>
        <w:tab/>
      </w:r>
      <w:r>
        <w:rPr>
          <w:i w:val="0"/>
          <w:iCs w:val="0"/>
        </w:rPr>
        <w:fldChar w:fldCharType="begin"/>
      </w:r>
      <w:r>
        <w:rPr>
          <w:i w:val="0"/>
          <w:iCs w:val="0"/>
        </w:rPr>
        <w:instrText xml:space="preserve"> PAGEREF _Toc24791 \h </w:instrText>
      </w:r>
      <w:r>
        <w:rPr>
          <w:i w:val="0"/>
          <w:iCs w:val="0"/>
        </w:rPr>
        <w:fldChar w:fldCharType="separate"/>
      </w:r>
      <w:r>
        <w:rPr>
          <w:i w:val="0"/>
          <w:iCs w:val="0"/>
        </w:rPr>
        <w:t>17</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_Toc32049 </w:instrText>
      </w:r>
      <w:r>
        <w:rPr>
          <w:i w:val="0"/>
          <w:iCs w:val="0"/>
        </w:rPr>
        <w:fldChar w:fldCharType="separate"/>
      </w:r>
      <w:r>
        <w:rPr>
          <w:rFonts w:hint="eastAsia" w:ascii="宋体" w:hAnsi="宋体"/>
          <w:bCs/>
          <w:i w:val="0"/>
          <w:iCs w:val="0"/>
          <w:szCs w:val="32"/>
        </w:rPr>
        <w:t>第二轮报价表（最终报价）</w:t>
      </w:r>
      <w:r>
        <w:rPr>
          <w:i w:val="0"/>
          <w:iCs w:val="0"/>
        </w:rPr>
        <w:tab/>
      </w:r>
      <w:r>
        <w:rPr>
          <w:i w:val="0"/>
          <w:iCs w:val="0"/>
        </w:rPr>
        <w:fldChar w:fldCharType="begin"/>
      </w:r>
      <w:r>
        <w:rPr>
          <w:i w:val="0"/>
          <w:iCs w:val="0"/>
        </w:rPr>
        <w:instrText xml:space="preserve"> PAGEREF _Toc32049 \h </w:instrText>
      </w:r>
      <w:r>
        <w:rPr>
          <w:i w:val="0"/>
          <w:iCs w:val="0"/>
        </w:rPr>
        <w:fldChar w:fldCharType="separate"/>
      </w:r>
      <w:r>
        <w:rPr>
          <w:i w:val="0"/>
          <w:iCs w:val="0"/>
        </w:rPr>
        <w:t>18</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_Toc6163 </w:instrText>
      </w:r>
      <w:r>
        <w:rPr>
          <w:i w:val="0"/>
          <w:iCs w:val="0"/>
        </w:rPr>
        <w:fldChar w:fldCharType="separate"/>
      </w:r>
      <w:r>
        <w:rPr>
          <w:rFonts w:hint="eastAsia" w:ascii="宋体" w:hAnsi="宋体"/>
          <w:bCs/>
          <w:i w:val="0"/>
          <w:iCs w:val="0"/>
          <w:szCs w:val="32"/>
        </w:rPr>
        <w:t>四．单项报价表（如有）</w:t>
      </w:r>
      <w:r>
        <w:rPr>
          <w:i w:val="0"/>
          <w:iCs w:val="0"/>
        </w:rPr>
        <w:tab/>
      </w:r>
      <w:r>
        <w:rPr>
          <w:i w:val="0"/>
          <w:iCs w:val="0"/>
        </w:rPr>
        <w:fldChar w:fldCharType="begin"/>
      </w:r>
      <w:r>
        <w:rPr>
          <w:i w:val="0"/>
          <w:iCs w:val="0"/>
        </w:rPr>
        <w:instrText xml:space="preserve"> PAGEREF _Toc6163 \h </w:instrText>
      </w:r>
      <w:r>
        <w:rPr>
          <w:i w:val="0"/>
          <w:iCs w:val="0"/>
        </w:rPr>
        <w:fldChar w:fldCharType="separate"/>
      </w:r>
      <w:r>
        <w:rPr>
          <w:i w:val="0"/>
          <w:iCs w:val="0"/>
        </w:rPr>
        <w:t>19</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_Toc8906 </w:instrText>
      </w:r>
      <w:r>
        <w:rPr>
          <w:i w:val="0"/>
          <w:iCs w:val="0"/>
        </w:rPr>
        <w:fldChar w:fldCharType="separate"/>
      </w:r>
      <w:r>
        <w:rPr>
          <w:rFonts w:hint="eastAsia" w:ascii="宋体" w:hAnsi="宋体"/>
          <w:bCs/>
          <w:i w:val="0"/>
          <w:iCs w:val="0"/>
          <w:szCs w:val="32"/>
        </w:rPr>
        <w:t>五．投标人信用承诺</w:t>
      </w:r>
      <w:r>
        <w:rPr>
          <w:i w:val="0"/>
          <w:iCs w:val="0"/>
        </w:rPr>
        <w:tab/>
      </w:r>
      <w:r>
        <w:rPr>
          <w:i w:val="0"/>
          <w:iCs w:val="0"/>
        </w:rPr>
        <w:fldChar w:fldCharType="begin"/>
      </w:r>
      <w:r>
        <w:rPr>
          <w:i w:val="0"/>
          <w:iCs w:val="0"/>
        </w:rPr>
        <w:instrText xml:space="preserve"> PAGEREF _Toc8906 \h </w:instrText>
      </w:r>
      <w:r>
        <w:rPr>
          <w:i w:val="0"/>
          <w:iCs w:val="0"/>
        </w:rPr>
        <w:fldChar w:fldCharType="separate"/>
      </w:r>
      <w:r>
        <w:rPr>
          <w:i w:val="0"/>
          <w:iCs w:val="0"/>
        </w:rPr>
        <w:t>20</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_Toc12032 </w:instrText>
      </w:r>
      <w:r>
        <w:rPr>
          <w:i w:val="0"/>
          <w:iCs w:val="0"/>
        </w:rPr>
        <w:fldChar w:fldCharType="separate"/>
      </w:r>
      <w:r>
        <w:rPr>
          <w:rFonts w:hint="eastAsia" w:ascii="宋体" w:hAnsi="宋体"/>
          <w:bCs/>
          <w:i w:val="0"/>
          <w:iCs w:val="0"/>
          <w:szCs w:val="32"/>
        </w:rPr>
        <w:t>六.投标业绩</w:t>
      </w:r>
      <w:r>
        <w:rPr>
          <w:i w:val="0"/>
          <w:iCs w:val="0"/>
        </w:rPr>
        <w:tab/>
      </w:r>
      <w:r>
        <w:rPr>
          <w:i w:val="0"/>
          <w:iCs w:val="0"/>
        </w:rPr>
        <w:fldChar w:fldCharType="begin"/>
      </w:r>
      <w:r>
        <w:rPr>
          <w:i w:val="0"/>
          <w:iCs w:val="0"/>
        </w:rPr>
        <w:instrText xml:space="preserve"> PAGEREF _Toc12032 \h </w:instrText>
      </w:r>
      <w:r>
        <w:rPr>
          <w:i w:val="0"/>
          <w:iCs w:val="0"/>
        </w:rPr>
        <w:fldChar w:fldCharType="separate"/>
      </w:r>
      <w:r>
        <w:rPr>
          <w:i w:val="0"/>
          <w:iCs w:val="0"/>
        </w:rPr>
        <w:t>21</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_Toc2562 </w:instrText>
      </w:r>
      <w:r>
        <w:rPr>
          <w:i w:val="0"/>
          <w:iCs w:val="0"/>
        </w:rPr>
        <w:fldChar w:fldCharType="separate"/>
      </w:r>
      <w:r>
        <w:rPr>
          <w:rFonts w:hint="eastAsia" w:ascii="宋体" w:hAnsi="宋体"/>
          <w:bCs/>
          <w:i w:val="0"/>
          <w:iCs w:val="0"/>
          <w:szCs w:val="32"/>
        </w:rPr>
        <w:t>七．拟投入本项目的人员情况（如有）</w:t>
      </w:r>
      <w:r>
        <w:rPr>
          <w:i w:val="0"/>
          <w:iCs w:val="0"/>
        </w:rPr>
        <w:tab/>
      </w:r>
      <w:r>
        <w:rPr>
          <w:i w:val="0"/>
          <w:iCs w:val="0"/>
        </w:rPr>
        <w:fldChar w:fldCharType="begin"/>
      </w:r>
      <w:r>
        <w:rPr>
          <w:i w:val="0"/>
          <w:iCs w:val="0"/>
        </w:rPr>
        <w:instrText xml:space="preserve"> PAGEREF _Toc2562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_Toc11263 </w:instrText>
      </w:r>
      <w:r>
        <w:rPr>
          <w:i w:val="0"/>
          <w:iCs w:val="0"/>
        </w:rPr>
        <w:fldChar w:fldCharType="separate"/>
      </w:r>
      <w:r>
        <w:rPr>
          <w:rFonts w:hint="eastAsia" w:ascii="宋体" w:hAnsi="宋体"/>
          <w:bCs/>
          <w:i w:val="0"/>
          <w:iCs w:val="0"/>
          <w:szCs w:val="32"/>
        </w:rPr>
        <w:t>八．服务方案</w:t>
      </w:r>
      <w:r>
        <w:rPr>
          <w:i w:val="0"/>
          <w:iCs w:val="0"/>
        </w:rPr>
        <w:tab/>
      </w:r>
      <w:r>
        <w:rPr>
          <w:i w:val="0"/>
          <w:iCs w:val="0"/>
        </w:rPr>
        <w:fldChar w:fldCharType="begin"/>
      </w:r>
      <w:r>
        <w:rPr>
          <w:i w:val="0"/>
          <w:iCs w:val="0"/>
        </w:rPr>
        <w:instrText xml:space="preserve"> PAGEREF _Toc11263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_Toc22313 </w:instrText>
      </w:r>
      <w:r>
        <w:rPr>
          <w:i w:val="0"/>
          <w:iCs w:val="0"/>
        </w:rPr>
        <w:fldChar w:fldCharType="separate"/>
      </w:r>
      <w:r>
        <w:rPr>
          <w:rFonts w:hint="eastAsia" w:ascii="宋体" w:hAnsi="宋体"/>
          <w:bCs/>
          <w:i w:val="0"/>
          <w:iCs w:val="0"/>
          <w:szCs w:val="32"/>
        </w:rPr>
        <w:t>九．有关证明文件</w:t>
      </w:r>
      <w:r>
        <w:rPr>
          <w:i w:val="0"/>
          <w:iCs w:val="0"/>
        </w:rPr>
        <w:tab/>
      </w:r>
      <w:r>
        <w:rPr>
          <w:i w:val="0"/>
          <w:iCs w:val="0"/>
        </w:rPr>
        <w:fldChar w:fldCharType="begin"/>
      </w:r>
      <w:r>
        <w:rPr>
          <w:i w:val="0"/>
          <w:iCs w:val="0"/>
        </w:rPr>
        <w:instrText xml:space="preserve"> PAGEREF _Toc22313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_Toc25527 </w:instrText>
      </w:r>
      <w:r>
        <w:rPr>
          <w:i w:val="0"/>
          <w:iCs w:val="0"/>
        </w:rPr>
        <w:fldChar w:fldCharType="separate"/>
      </w:r>
      <w:r>
        <w:rPr>
          <w:rFonts w:hint="eastAsia" w:ascii="宋体" w:hAnsi="宋体"/>
          <w:bCs/>
          <w:i w:val="0"/>
          <w:iCs w:val="0"/>
          <w:szCs w:val="32"/>
        </w:rPr>
        <w:t>十．投标授权书</w:t>
      </w:r>
      <w:r>
        <w:rPr>
          <w:i w:val="0"/>
          <w:iCs w:val="0"/>
        </w:rPr>
        <w:tab/>
      </w:r>
      <w:r>
        <w:rPr>
          <w:i w:val="0"/>
          <w:iCs w:val="0"/>
        </w:rPr>
        <w:fldChar w:fldCharType="begin"/>
      </w:r>
      <w:r>
        <w:rPr>
          <w:i w:val="0"/>
          <w:iCs w:val="0"/>
        </w:rPr>
        <w:instrText xml:space="preserve"> PAGEREF _Toc25527 \h </w:instrText>
      </w:r>
      <w:r>
        <w:rPr>
          <w:i w:val="0"/>
          <w:iCs w:val="0"/>
        </w:rPr>
        <w:fldChar w:fldCharType="separate"/>
      </w:r>
      <w:r>
        <w:rPr>
          <w:i w:val="0"/>
          <w:iCs w:val="0"/>
        </w:rPr>
        <w:t>23</w:t>
      </w:r>
      <w:r>
        <w:rPr>
          <w:i w:val="0"/>
          <w:iCs w:val="0"/>
        </w:rPr>
        <w:fldChar w:fldCharType="end"/>
      </w:r>
      <w:r>
        <w:rPr>
          <w:i w:val="0"/>
          <w:iCs w:val="0"/>
          <w:color w:val="000000"/>
        </w:rPr>
        <w:fldChar w:fldCharType="end"/>
      </w:r>
    </w:p>
    <w:p>
      <w:pPr>
        <w:pStyle w:val="10"/>
        <w:tabs>
          <w:tab w:val="right" w:leader="dot" w:pos="9413"/>
          <w:tab w:val="clear" w:pos="9403"/>
        </w:tabs>
        <w:rPr>
          <w:i w:val="0"/>
          <w:iCs w:val="0"/>
        </w:rPr>
      </w:pPr>
      <w:r>
        <w:rPr>
          <w:i w:val="0"/>
          <w:iCs w:val="0"/>
          <w:color w:val="000000"/>
        </w:rPr>
        <w:fldChar w:fldCharType="begin"/>
      </w:r>
      <w:r>
        <w:rPr>
          <w:i w:val="0"/>
          <w:iCs w:val="0"/>
        </w:rPr>
        <w:instrText xml:space="preserve"> HYPERLINK \l _Toc3996 </w:instrText>
      </w:r>
      <w:r>
        <w:rPr>
          <w:i w:val="0"/>
          <w:iCs w:val="0"/>
        </w:rPr>
        <w:fldChar w:fldCharType="separate"/>
      </w:r>
      <w:r>
        <w:rPr>
          <w:rFonts w:hint="eastAsia" w:ascii="宋体" w:hAnsi="宋体"/>
          <w:bCs/>
          <w:i w:val="0"/>
          <w:iCs w:val="0"/>
          <w:szCs w:val="32"/>
        </w:rPr>
        <w:t>十一．投标人认为需提供的其他</w:t>
      </w:r>
      <w:r>
        <w:rPr>
          <w:i w:val="0"/>
          <w:iCs w:val="0"/>
        </w:rPr>
        <w:tab/>
      </w:r>
      <w:r>
        <w:rPr>
          <w:i w:val="0"/>
          <w:iCs w:val="0"/>
        </w:rPr>
        <w:fldChar w:fldCharType="begin"/>
      </w:r>
      <w:r>
        <w:rPr>
          <w:i w:val="0"/>
          <w:iCs w:val="0"/>
        </w:rPr>
        <w:instrText xml:space="preserve"> PAGEREF _Toc3996 \h </w:instrText>
      </w:r>
      <w:r>
        <w:rPr>
          <w:i w:val="0"/>
          <w:iCs w:val="0"/>
        </w:rPr>
        <w:fldChar w:fldCharType="separate"/>
      </w:r>
      <w:r>
        <w:rPr>
          <w:i w:val="0"/>
          <w:iCs w:val="0"/>
        </w:rPr>
        <w:t>23</w:t>
      </w:r>
      <w:r>
        <w:rPr>
          <w:i w:val="0"/>
          <w:iCs w:val="0"/>
        </w:rPr>
        <w:fldChar w:fldCharType="end"/>
      </w:r>
      <w:r>
        <w:rPr>
          <w:i w:val="0"/>
          <w:iCs w:val="0"/>
          <w:color w:val="000000"/>
        </w:rPr>
        <w:fldChar w:fldCharType="end"/>
      </w:r>
    </w:p>
    <w:p>
      <w:pPr>
        <w:pStyle w:val="13"/>
        <w:tabs>
          <w:tab w:val="right" w:leader="dot" w:pos="9413"/>
        </w:tabs>
        <w:rPr>
          <w:i w:val="0"/>
          <w:iCs w:val="0"/>
        </w:rPr>
      </w:pPr>
    </w:p>
    <w:p>
      <w:pPr>
        <w:rPr>
          <w:i/>
          <w:iCs/>
          <w:color w:val="000000"/>
        </w:rPr>
        <w:sectPr>
          <w:headerReference r:id="rId5" w:type="default"/>
          <w:footerReference r:id="rId6" w:type="default"/>
          <w:pgSz w:w="11907" w:h="16840"/>
          <w:pgMar w:top="1440" w:right="1247" w:bottom="1440" w:left="1247" w:header="851" w:footer="992" w:gutter="0"/>
          <w:cols w:space="720" w:num="1"/>
          <w:docGrid w:linePitch="303" w:charSpace="0"/>
        </w:sectPr>
      </w:pPr>
      <w:r>
        <w:rPr>
          <w:i w:val="0"/>
          <w:iCs w:val="0"/>
          <w:color w:val="000000"/>
        </w:rPr>
        <w:fldChar w:fldCharType="end"/>
      </w:r>
    </w:p>
    <w:p>
      <w:pPr>
        <w:pStyle w:val="5"/>
        <w:spacing w:before="0" w:after="0" w:line="360" w:lineRule="auto"/>
        <w:ind w:firstLine="0"/>
        <w:jc w:val="both"/>
        <w:rPr>
          <w:rFonts w:ascii="宋体" w:hAnsi="宋体" w:eastAsia="宋体"/>
          <w:color w:val="000000"/>
        </w:rPr>
      </w:pPr>
      <w:bookmarkStart w:id="3" w:name="_Toc126309118"/>
      <w:bookmarkStart w:id="4" w:name="_Toc183"/>
    </w:p>
    <w:p>
      <w:pPr>
        <w:pStyle w:val="5"/>
        <w:spacing w:before="0" w:after="0" w:line="360" w:lineRule="auto"/>
        <w:ind w:firstLine="0"/>
        <w:rPr>
          <w:rFonts w:ascii="宋体" w:hAnsi="宋体" w:eastAsia="宋体"/>
          <w:color w:val="000000"/>
        </w:rPr>
      </w:pPr>
      <w:bookmarkStart w:id="5" w:name="_Toc21424"/>
      <w:r>
        <w:rPr>
          <w:rFonts w:hint="eastAsia" w:ascii="宋体" w:hAnsi="宋体" w:eastAsia="宋体"/>
          <w:color w:val="000000"/>
        </w:rPr>
        <w:t>第一章 投标邀请（招标公告）</w:t>
      </w:r>
      <w:bookmarkEnd w:id="3"/>
      <w:bookmarkEnd w:id="4"/>
      <w:bookmarkEnd w:id="5"/>
    </w:p>
    <w:p>
      <w:pPr>
        <w:tabs>
          <w:tab w:val="left" w:pos="2410"/>
        </w:tabs>
        <w:autoSpaceDE w:val="0"/>
        <w:autoSpaceDN w:val="0"/>
        <w:adjustRightInd w:val="0"/>
        <w:snapToGrid w:val="0"/>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合肥文旅博览集团有限公司（以下简称：文旅集团）现对</w:t>
      </w:r>
      <w:r>
        <w:rPr>
          <w:rFonts w:hint="eastAsia" w:ascii="宋体" w:hAnsi="宋体"/>
          <w:color w:val="000000"/>
          <w:sz w:val="24"/>
          <w:szCs w:val="24"/>
          <w:lang w:val="en-US" w:eastAsia="zh-CN"/>
        </w:rPr>
        <w:t>投资大厦进行消防安全评估和建筑消防设施检测服务</w:t>
      </w:r>
      <w:r>
        <w:rPr>
          <w:rFonts w:hint="eastAsia" w:ascii="宋体" w:hAnsi="宋体"/>
          <w:color w:val="000000"/>
          <w:sz w:val="24"/>
          <w:szCs w:val="24"/>
        </w:rPr>
        <w:t>项目（以下简称“本项目”）进行竞价，欢迎具备条件的投标人参加投标。</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一、项目概况</w:t>
      </w:r>
    </w:p>
    <w:p>
      <w:pPr>
        <w:pStyle w:val="8"/>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color w:val="000000"/>
          <w:sz w:val="24"/>
          <w:szCs w:val="24"/>
          <w:lang w:val="en-US" w:eastAsia="zh-CN"/>
        </w:rPr>
      </w:pPr>
      <w:r>
        <w:rPr>
          <w:rFonts w:hint="eastAsia" w:ascii="宋体" w:hAnsi="宋体"/>
          <w:color w:val="000000"/>
          <w:sz w:val="24"/>
          <w:szCs w:val="24"/>
        </w:rPr>
        <w:t>（1）项目名称：</w:t>
      </w:r>
      <w:r>
        <w:rPr>
          <w:rFonts w:hint="eastAsia" w:ascii="宋体" w:hAnsi="宋体"/>
          <w:color w:val="000000"/>
          <w:sz w:val="24"/>
          <w:szCs w:val="24"/>
          <w:lang w:val="en-US" w:eastAsia="zh-CN"/>
        </w:rPr>
        <w:t>投资大厦消防安全评估和建筑消防设施检测服务</w:t>
      </w:r>
    </w:p>
    <w:p>
      <w:pPr>
        <w:pStyle w:val="8"/>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color w:val="000000"/>
          <w:sz w:val="24"/>
          <w:szCs w:val="24"/>
        </w:rPr>
      </w:pPr>
      <w:r>
        <w:rPr>
          <w:rFonts w:hint="eastAsia" w:ascii="宋体" w:hAnsi="宋体"/>
          <w:color w:val="000000"/>
          <w:sz w:val="24"/>
          <w:szCs w:val="24"/>
        </w:rPr>
        <w:t>（2）项目编号：2023WLBLZB000</w:t>
      </w:r>
      <w:r>
        <w:rPr>
          <w:rFonts w:hint="eastAsia" w:ascii="宋体" w:hAnsi="宋体"/>
          <w:color w:val="000000"/>
          <w:sz w:val="24"/>
          <w:szCs w:val="24"/>
          <w:lang w:val="en-US" w:eastAsia="zh-CN"/>
        </w:rPr>
        <w:t>96</w:t>
      </w:r>
      <w:r>
        <w:rPr>
          <w:rFonts w:hint="eastAsia" w:ascii="宋体" w:hAnsi="宋体"/>
          <w:color w:val="000000"/>
          <w:sz w:val="24"/>
          <w:szCs w:val="24"/>
        </w:rPr>
        <w:t>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（3）项目预算：</w:t>
      </w:r>
      <w:r>
        <w:rPr>
          <w:rFonts w:hint="eastAsia" w:ascii="宋体" w:hAnsi="宋体"/>
          <w:color w:val="000000"/>
          <w:sz w:val="24"/>
          <w:szCs w:val="24"/>
          <w:lang w:val="en-US" w:eastAsia="zh-CN"/>
        </w:rPr>
        <w:t>6.9万</w:t>
      </w:r>
      <w:r>
        <w:rPr>
          <w:rFonts w:hint="eastAsia" w:ascii="宋体" w:hAnsi="宋体"/>
          <w:color w:val="000000"/>
          <w:sz w:val="24"/>
          <w:szCs w:val="24"/>
        </w:rPr>
        <w:t>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w:t>
      </w:r>
      <w:r>
        <w:rPr>
          <w:rFonts w:hint="eastAsia" w:ascii="宋体" w:hAnsi="宋体" w:eastAsia="宋体" w:cs="Times New Roman"/>
          <w:color w:val="000000"/>
          <w:kern w:val="2"/>
          <w:sz w:val="24"/>
          <w:szCs w:val="24"/>
          <w:lang w:val="zh-CN" w:eastAsia="zh-CN" w:bidi="ar-SA"/>
        </w:rPr>
        <w:t>项目概况和范围：</w:t>
      </w:r>
      <w:r>
        <w:rPr>
          <w:rFonts w:hint="eastAsia" w:ascii="宋体" w:hAnsi="宋体" w:eastAsia="宋体" w:cs="Times New Roman"/>
          <w:color w:val="000000"/>
          <w:kern w:val="2"/>
          <w:sz w:val="24"/>
          <w:szCs w:val="24"/>
          <w:lang w:val="en-US" w:eastAsia="zh-CN" w:bidi="ar-SA"/>
        </w:rPr>
        <w:t>为配合推进投资大厦房屋备案及产权办理工作，经市城乡建设局指导，根据历史遗留房产项目消防确认工作机制，需要对投资大厦进行消防安全评估和建筑消防设施检测。投资大厦建筑面积为11567平米。</w:t>
      </w:r>
    </w:p>
    <w:p>
      <w:pPr>
        <w:pStyle w:val="8"/>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（5）项目类型：服务类</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二、投标人应具备的基本条件</w:t>
      </w:r>
    </w:p>
    <w:p>
      <w:pPr>
        <w:widowControl/>
        <w:spacing w:line="500" w:lineRule="exact"/>
        <w:ind w:firstLine="480" w:firstLineChars="200"/>
        <w:rPr>
          <w:rFonts w:hint="eastAsia" w:ascii="宋体" w:hAnsi="宋体"/>
          <w:color w:val="000000"/>
          <w:sz w:val="24"/>
          <w:szCs w:val="24"/>
          <w:lang w:val="zh-CN" w:eastAsia="zh-CN"/>
        </w:rPr>
      </w:pPr>
      <w:r>
        <w:rPr>
          <w:rFonts w:hint="eastAsia" w:ascii="宋体" w:hAnsi="宋体"/>
          <w:color w:val="000000"/>
          <w:sz w:val="24"/>
          <w:szCs w:val="24"/>
          <w:lang w:val="zh-CN" w:eastAsia="zh-CN"/>
        </w:rPr>
        <w:t>1.具有独立承担民事责任的能力；</w:t>
      </w:r>
    </w:p>
    <w:p>
      <w:pPr>
        <w:widowControl/>
        <w:spacing w:line="500" w:lineRule="exact"/>
        <w:ind w:firstLine="480" w:firstLineChars="200"/>
        <w:rPr>
          <w:rFonts w:hint="eastAsia" w:ascii="宋体" w:hAnsi="宋体"/>
          <w:color w:val="000000"/>
          <w:sz w:val="24"/>
          <w:szCs w:val="24"/>
          <w:lang w:val="zh-CN" w:eastAsia="zh-CN"/>
        </w:rPr>
      </w:pPr>
      <w:r>
        <w:rPr>
          <w:rFonts w:hint="eastAsia" w:ascii="宋体" w:hAnsi="宋体"/>
          <w:color w:val="000000"/>
          <w:sz w:val="24"/>
          <w:szCs w:val="24"/>
          <w:lang w:val="zh-CN" w:eastAsia="zh-CN"/>
        </w:rPr>
        <w:t>2.具有社会消防技术服务信息系统取得的消防设施维护保养检测和消防安全评估备案</w:t>
      </w:r>
      <w:r>
        <w:rPr>
          <w:rFonts w:hint="eastAsia" w:ascii="宋体" w:hAnsi="宋体"/>
          <w:color w:val="000000"/>
          <w:sz w:val="24"/>
          <w:szCs w:val="24"/>
          <w:lang w:val="en-US" w:eastAsia="zh-CN"/>
        </w:rPr>
        <w:t>,且为合肥市建设工程消防检测服务机构考核合格信息目录入库单位</w:t>
      </w:r>
      <w:r>
        <w:rPr>
          <w:rFonts w:hint="eastAsia" w:ascii="宋体" w:hAnsi="宋体"/>
          <w:color w:val="000000"/>
          <w:sz w:val="24"/>
          <w:szCs w:val="24"/>
          <w:lang w:val="zh-CN" w:eastAsia="zh-CN"/>
        </w:rPr>
        <w:t>；</w:t>
      </w:r>
    </w:p>
    <w:p>
      <w:pPr>
        <w:widowControl/>
        <w:spacing w:line="500" w:lineRule="exact"/>
        <w:ind w:firstLine="480" w:firstLineChars="200"/>
        <w:rPr>
          <w:rFonts w:hint="default" w:ascii="宋体" w:hAnsi="宋体"/>
          <w:color w:val="000000"/>
          <w:sz w:val="24"/>
          <w:szCs w:val="24"/>
          <w:lang w:val="en-US"/>
        </w:rPr>
      </w:pPr>
      <w:r>
        <w:rPr>
          <w:rFonts w:hint="eastAsia" w:ascii="宋体" w:hAnsi="宋体"/>
          <w:color w:val="000000"/>
          <w:sz w:val="24"/>
          <w:szCs w:val="24"/>
          <w:lang w:val="zh-CN" w:eastAsia="zh-CN"/>
        </w:rPr>
        <w:t>3.本项目不接受联合体投标；</w:t>
      </w:r>
      <w:r>
        <w:rPr>
          <w:rFonts w:hint="eastAsia" w:ascii="宋体" w:hAnsi="宋体"/>
          <w:color w:val="000000"/>
          <w:sz w:val="24"/>
          <w:szCs w:val="24"/>
          <w:lang w:val="en-US" w:eastAsia="zh-CN"/>
        </w:rPr>
        <w:t xml:space="preserve">     </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4.符合下列情形之一：</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（1）开标日前两年内未被合肥市及其所辖县（市）公共资源交易监督管理局记不良行为记录或记不良行为记录累计未满10分的。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（2）最近一次被合肥市及其所辖县（市）公共资源交易监督管理局记不良行为记录累计记分达10分(含10分)到15分且公布日距开标日超过6个月。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（3）最近一次被合肥市及其所辖县（市）公共资源交易监督管理局记不良行为记录累计记分达15分(含15分)到20分且公布日距开标日超过12个月。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（4）最近一次被合肥市及其所辖县（市）公共资源交易监督管理局记不良行为记录累计记分达20分(含20分)及以上且公布日距开标日超过24个月。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5.投标人存在以下不良信用记录情形之一的，不得推荐为中标候选人，不得确定为中标人：</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（1）投标人被人民法院列入失信被执行人的；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autoSpaceDE w:val="0"/>
        <w:autoSpaceDN w:val="0"/>
        <w:adjustRightInd w:val="0"/>
        <w:spacing w:line="500" w:lineRule="exact"/>
        <w:ind w:firstLine="241" w:firstLineChars="100"/>
        <w:jc w:val="left"/>
        <w:rPr>
          <w:rFonts w:ascii="宋体" w:hAnsi="宋体"/>
          <w:b/>
          <w:bCs/>
          <w:color w:val="000000"/>
          <w:sz w:val="24"/>
          <w:szCs w:val="24"/>
        </w:rPr>
      </w:pPr>
      <w:r>
        <w:rPr>
          <w:rFonts w:hint="eastAsia" w:ascii="宋体" w:hAnsi="宋体"/>
          <w:b/>
          <w:bCs/>
          <w:color w:val="000000"/>
          <w:sz w:val="24"/>
          <w:szCs w:val="24"/>
        </w:rPr>
        <w:t>三、投标报名</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bCs/>
          <w:color w:val="000000"/>
          <w:sz w:val="24"/>
          <w:szCs w:val="24"/>
        </w:rPr>
        <w:t>1.</w:t>
      </w:r>
      <w:r>
        <w:rPr>
          <w:rFonts w:hint="eastAsia" w:ascii="宋体" w:hAnsi="宋体" w:cs="宋体"/>
          <w:color w:val="000000"/>
          <w:kern w:val="0"/>
          <w:sz w:val="24"/>
          <w:szCs w:val="24"/>
        </w:rPr>
        <w:t>报名日期：</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12</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29</w:t>
      </w:r>
      <w:r>
        <w:rPr>
          <w:rFonts w:hint="eastAsia" w:ascii="宋体" w:hAnsi="宋体" w:cs="宋体"/>
          <w:color w:val="000000"/>
          <w:kern w:val="0"/>
          <w:sz w:val="24"/>
          <w:szCs w:val="24"/>
          <w:u w:val="single"/>
        </w:rPr>
        <w:t>日上午9:00至</w:t>
      </w:r>
      <w:r>
        <w:rPr>
          <w:rFonts w:ascii="宋体" w:hAnsi="宋体" w:cs="宋体"/>
          <w:color w:val="000000"/>
          <w:kern w:val="0"/>
          <w:sz w:val="24"/>
          <w:szCs w:val="24"/>
          <w:u w:val="single"/>
        </w:rPr>
        <w:t>202</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w:t>
      </w:r>
      <w:r>
        <w:rPr>
          <w:rFonts w:hint="eastAsia" w:ascii="宋体" w:hAnsi="宋体" w:cs="宋体"/>
          <w:color w:val="000000"/>
          <w:kern w:val="0"/>
          <w:sz w:val="24"/>
          <w:szCs w:val="24"/>
          <w:u w:val="single"/>
        </w:rPr>
        <w:t>日下午17:00</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2.领取方法：登录合肥文旅博览集团有限公司网站</w:t>
      </w:r>
      <w:r>
        <w:rPr>
          <w:rFonts w:ascii="宋体" w:hAnsi="宋体" w:cs="宋体"/>
          <w:color w:val="000000"/>
          <w:kern w:val="0"/>
          <w:sz w:val="24"/>
          <w:szCs w:val="24"/>
        </w:rPr>
        <w:t>http://www.zwzcgl.com</w:t>
      </w:r>
      <w:r>
        <w:rPr>
          <w:rFonts w:hint="eastAsia" w:ascii="宋体" w:hAnsi="宋体" w:cs="宋体"/>
          <w:color w:val="000000"/>
          <w:kern w:val="0"/>
          <w:sz w:val="24"/>
          <w:szCs w:val="24"/>
        </w:rPr>
        <w:t>下载标书</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color w:val="000000"/>
          <w:kern w:val="0"/>
          <w:sz w:val="24"/>
          <w:szCs w:val="24"/>
          <w:u w:val="single"/>
        </w:rPr>
        <w:t>361923526@qq.com</w:t>
      </w:r>
      <w:r>
        <w:rPr>
          <w:rFonts w:hint="eastAsia" w:cs="宋体"/>
          <w:color w:val="000000"/>
          <w:kern w:val="0"/>
          <w:sz w:val="24"/>
          <w:szCs w:val="24"/>
          <w:u w:val="single"/>
        </w:rPr>
        <w:fldChar w:fldCharType="end"/>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四、开标时间及地点</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rPr>
        <w:t>1.开标时间：</w:t>
      </w:r>
      <w:r>
        <w:rPr>
          <w:rFonts w:hint="eastAsia" w:ascii="宋体" w:hAnsi="宋体" w:cs="宋体"/>
          <w:color w:val="000000"/>
          <w:kern w:val="0"/>
          <w:sz w:val="24"/>
          <w:szCs w:val="24"/>
          <w:u w:val="single"/>
        </w:rPr>
        <w:t>202</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0</w:t>
      </w:r>
      <w:r>
        <w:rPr>
          <w:rFonts w:hint="eastAsia" w:ascii="宋体" w:hAnsi="宋体" w:cs="宋体"/>
          <w:color w:val="000000"/>
          <w:kern w:val="0"/>
          <w:sz w:val="24"/>
          <w:szCs w:val="24"/>
          <w:u w:val="single"/>
        </w:rPr>
        <w:t>0</w:t>
      </w:r>
    </w:p>
    <w:p>
      <w:pPr>
        <w:autoSpaceDE w:val="0"/>
        <w:autoSpaceDN w:val="0"/>
        <w:adjustRightInd w:val="0"/>
        <w:spacing w:line="500" w:lineRule="exact"/>
        <w:ind w:firstLine="200"/>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2.开标地点：合肥市蜀山区习友路与茂荫路交口投资大厦</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楼</w:t>
      </w:r>
      <w:r>
        <w:rPr>
          <w:rFonts w:hint="eastAsia" w:ascii="宋体" w:hAnsi="宋体" w:cs="宋体"/>
          <w:color w:val="000000"/>
          <w:kern w:val="0"/>
          <w:sz w:val="24"/>
          <w:szCs w:val="24"/>
          <w:lang w:val="en-US" w:eastAsia="zh-CN"/>
        </w:rPr>
        <w:t>多功能厅</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五、投标截止时间</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u w:val="single"/>
        </w:rPr>
        <w:t>202</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4</w:t>
      </w:r>
      <w:bookmarkStart w:id="118" w:name="_GoBack"/>
      <w:bookmarkEnd w:id="118"/>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0</w:t>
      </w:r>
      <w:r>
        <w:rPr>
          <w:rFonts w:hint="eastAsia" w:ascii="宋体" w:hAnsi="宋体" w:cs="宋体"/>
          <w:color w:val="000000"/>
          <w:kern w:val="0"/>
          <w:sz w:val="24"/>
          <w:szCs w:val="24"/>
          <w:u w:val="single"/>
        </w:rPr>
        <w:t>0</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六、联系方法</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招 标 人：合肥文旅博览集团有限公司</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地    址：合肥市蜀山区习友路与茂荫路交口投资大厦</w:t>
      </w:r>
    </w:p>
    <w:p>
      <w:pPr>
        <w:autoSpaceDE w:val="0"/>
        <w:autoSpaceDN w:val="0"/>
        <w:adjustRightInd w:val="0"/>
        <w:spacing w:line="500" w:lineRule="exact"/>
        <w:ind w:firstLine="200"/>
        <w:jc w:val="left"/>
        <w:rPr>
          <w:rFonts w:ascii="宋体" w:hAnsi="宋体" w:cs="宋体"/>
          <w:color w:val="000000"/>
          <w:kern w:val="0"/>
          <w:sz w:val="24"/>
        </w:rPr>
      </w:pPr>
      <w:r>
        <w:rPr>
          <w:rFonts w:hint="eastAsia" w:ascii="宋体" w:hAnsi="宋体" w:cs="宋体"/>
          <w:color w:val="000000"/>
          <w:kern w:val="0"/>
          <w:sz w:val="24"/>
          <w:szCs w:val="24"/>
        </w:rPr>
        <w:t>联 系 人：</w:t>
      </w:r>
      <w:r>
        <w:rPr>
          <w:rFonts w:hint="eastAsia" w:ascii="宋体" w:hAnsi="宋体" w:cs="宋体"/>
          <w:color w:val="000000"/>
          <w:kern w:val="0"/>
          <w:sz w:val="24"/>
        </w:rPr>
        <w:t xml:space="preserve">汪工 </w:t>
      </w:r>
      <w:r>
        <w:rPr>
          <w:rFonts w:hint="eastAsia" w:ascii="宋体" w:hAnsi="宋体" w:cs="宋体"/>
          <w:color w:val="000000"/>
          <w:kern w:val="0"/>
          <w:sz w:val="24"/>
          <w:szCs w:val="24"/>
        </w:rPr>
        <w:t>电话：</w:t>
      </w:r>
      <w:r>
        <w:rPr>
          <w:rFonts w:hint="eastAsia" w:ascii="宋体" w:hAnsi="宋体" w:cs="宋体"/>
          <w:color w:val="000000"/>
          <w:kern w:val="0"/>
          <w:sz w:val="24"/>
        </w:rPr>
        <w:t>0551-63530687</w:t>
      </w:r>
    </w:p>
    <w:p>
      <w:pPr>
        <w:widowControl/>
        <w:spacing w:line="500" w:lineRule="exact"/>
        <w:ind w:firstLine="241" w:firstLineChars="100"/>
        <w:rPr>
          <w:rFonts w:ascii="宋体" w:hAnsi="宋体" w:cs="宋体"/>
          <w:b/>
          <w:color w:val="000000"/>
          <w:kern w:val="0"/>
          <w:sz w:val="24"/>
          <w:szCs w:val="24"/>
        </w:rPr>
      </w:pPr>
      <w:r>
        <w:rPr>
          <w:rFonts w:hint="eastAsia" w:ascii="宋体" w:hAnsi="宋体" w:cs="宋体"/>
          <w:b/>
          <w:color w:val="000000"/>
          <w:kern w:val="0"/>
          <w:sz w:val="24"/>
          <w:szCs w:val="24"/>
        </w:rPr>
        <w:t>七、其他补充事宜</w:t>
      </w:r>
    </w:p>
    <w:p>
      <w:pPr>
        <w:widowControl/>
        <w:spacing w:line="500" w:lineRule="exact"/>
        <w:ind w:firstLine="560"/>
        <w:rPr>
          <w:rFonts w:ascii="宋体" w:hAnsi="宋体" w:cs="宋体"/>
          <w:color w:val="000000"/>
          <w:kern w:val="0"/>
          <w:sz w:val="24"/>
          <w:szCs w:val="24"/>
        </w:rPr>
      </w:pPr>
      <w:r>
        <w:rPr>
          <w:rFonts w:hint="eastAsia" w:ascii="宋体" w:hAnsi="宋体" w:cs="宋体"/>
          <w:color w:val="000000"/>
          <w:kern w:val="0"/>
          <w:sz w:val="24"/>
          <w:szCs w:val="24"/>
        </w:rPr>
        <w:t>有任何疑问或问题，请在工作时间（周一至周五，上午08:00-12:00，下午2:30-5:30，节假日休息）与项目联系人联系。</w:t>
      </w:r>
    </w:p>
    <w:p>
      <w:pPr>
        <w:autoSpaceDE w:val="0"/>
        <w:autoSpaceDN w:val="0"/>
        <w:adjustRightInd w:val="0"/>
        <w:spacing w:line="500" w:lineRule="exact"/>
        <w:ind w:firstLine="200"/>
        <w:rPr>
          <w:rFonts w:ascii="宋体" w:hAnsi="宋体" w:cs="宋体"/>
          <w:color w:val="000000"/>
          <w:kern w:val="0"/>
          <w:sz w:val="24"/>
          <w:szCs w:val="24"/>
        </w:rPr>
      </w:pPr>
    </w:p>
    <w:p>
      <w:pPr>
        <w:pStyle w:val="5"/>
        <w:spacing w:before="0" w:after="0" w:line="500" w:lineRule="exact"/>
        <w:ind w:firstLine="0"/>
        <w:jc w:val="both"/>
        <w:rPr>
          <w:rFonts w:ascii="宋体" w:hAnsi="宋体" w:eastAsia="宋体" w:cs="宋体"/>
          <w:b w:val="0"/>
          <w:bCs w:val="0"/>
          <w:color w:val="000000"/>
          <w:kern w:val="0"/>
          <w:sz w:val="24"/>
          <w:szCs w:val="24"/>
        </w:rPr>
      </w:pPr>
    </w:p>
    <w:p/>
    <w:p/>
    <w:p/>
    <w:p>
      <w:pPr>
        <w:pStyle w:val="5"/>
        <w:spacing w:before="0" w:after="0" w:line="360" w:lineRule="auto"/>
        <w:ind w:firstLine="0"/>
        <w:rPr>
          <w:rFonts w:hint="eastAsia" w:ascii="宋体" w:hAnsi="宋体" w:eastAsia="宋体"/>
          <w:color w:val="000000"/>
        </w:rPr>
      </w:pPr>
      <w:bookmarkStart w:id="6" w:name="_Toc11552"/>
      <w:r>
        <w:rPr>
          <w:rFonts w:hint="eastAsia" w:ascii="宋体" w:hAnsi="宋体" w:eastAsia="宋体"/>
          <w:color w:val="000000"/>
        </w:rPr>
        <w:t>第二章 投标人须知前附表</w:t>
      </w:r>
      <w:bookmarkEnd w:id="6"/>
    </w:p>
    <w:tbl>
      <w:tblPr>
        <w:tblStyle w:val="15"/>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18"/>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9"/>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pStyle w:val="18"/>
              <w:widowControl w:val="0"/>
              <w:spacing w:before="0" w:beforeAutospacing="0" w:after="0" w:afterAutospacing="0"/>
              <w:jc w:val="both"/>
              <w:rPr>
                <w:b w:val="0"/>
                <w:color w:val="000000"/>
                <w:kern w:val="2"/>
                <w:sz w:val="24"/>
                <w:szCs w:val="20"/>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bCs/>
                <w:color w:val="000000"/>
                <w:sz w:val="24"/>
              </w:rPr>
            </w:pPr>
            <w:r>
              <w:rPr>
                <w:rFonts w:hint="eastAsia" w:ascii="宋体" w:hAnsi="宋体"/>
                <w:bCs/>
                <w:color w:val="000000"/>
                <w:sz w:val="24"/>
              </w:rPr>
              <w:t>委托人</w:t>
            </w:r>
          </w:p>
        </w:tc>
        <w:tc>
          <w:tcPr>
            <w:tcW w:w="7077" w:type="dxa"/>
            <w:vAlign w:val="center"/>
          </w:tcPr>
          <w:p>
            <w:pPr>
              <w:pStyle w:val="18"/>
              <w:widowControl w:val="0"/>
              <w:spacing w:before="0" w:beforeAutospacing="0" w:after="0" w:afterAutospacing="0"/>
              <w:jc w:val="both"/>
              <w:rPr>
                <w:b w:val="0"/>
                <w:bCs w:val="0"/>
                <w:color w:val="000000"/>
                <w:sz w:val="24"/>
                <w:szCs w:val="18"/>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pStyle w:val="8"/>
              <w:keepNext w:val="0"/>
              <w:keepLines w:val="0"/>
              <w:pageBreakBefore w:val="0"/>
              <w:widowControl w:val="0"/>
              <w:kinsoku/>
              <w:wordWrap/>
              <w:overflowPunct/>
              <w:topLinePunct w:val="0"/>
              <w:bidi w:val="0"/>
              <w:adjustRightInd/>
              <w:snapToGrid/>
              <w:spacing w:line="360" w:lineRule="auto"/>
              <w:jc w:val="both"/>
              <w:textAlignment w:val="auto"/>
              <w:rPr>
                <w:rFonts w:ascii="宋体" w:hAnsi="宋体"/>
                <w:color w:val="000000"/>
                <w:sz w:val="24"/>
                <w:szCs w:val="24"/>
              </w:rPr>
            </w:pPr>
            <w:r>
              <w:rPr>
                <w:rFonts w:hint="eastAsia" w:ascii="宋体" w:hAnsi="宋体"/>
                <w:color w:val="000000"/>
                <w:sz w:val="24"/>
                <w:szCs w:val="24"/>
                <w:lang w:val="en-US" w:eastAsia="zh-CN"/>
              </w:rPr>
              <w:t>投资大厦消防安全评估和建筑消防设施检测服务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autoSpaceDE w:val="0"/>
              <w:autoSpaceDN w:val="0"/>
              <w:adjustRightInd w:val="0"/>
              <w:spacing w:line="360" w:lineRule="auto"/>
              <w:jc w:val="left"/>
              <w:rPr>
                <w:rFonts w:ascii="宋体" w:hAnsi="宋体"/>
                <w:color w:val="000000"/>
                <w:sz w:val="24"/>
                <w:szCs w:val="18"/>
              </w:rPr>
            </w:pPr>
            <w:r>
              <w:rPr>
                <w:rFonts w:hint="eastAsia" w:ascii="宋体" w:hAnsi="宋体"/>
                <w:color w:val="000000"/>
                <w:sz w:val="24"/>
                <w:szCs w:val="24"/>
              </w:rPr>
              <w:t>2023WLBLZB000</w:t>
            </w:r>
            <w:r>
              <w:rPr>
                <w:rFonts w:hint="eastAsia" w:ascii="宋体" w:hAnsi="宋体"/>
                <w:color w:val="000000"/>
                <w:sz w:val="24"/>
                <w:szCs w:val="24"/>
                <w:lang w:val="en-US" w:eastAsia="zh-CN"/>
              </w:rPr>
              <w:t>96</w:t>
            </w:r>
            <w:r>
              <w:rPr>
                <w:rFonts w:hint="eastAsia" w:ascii="宋体" w:hAnsi="宋体"/>
                <w:color w:val="00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18"/>
              <w:widowControl w:val="0"/>
              <w:spacing w:before="0" w:beforeAutospacing="0" w:after="0" w:afterAutospacing="0"/>
              <w:jc w:val="both"/>
              <w:rPr>
                <w:b w:val="0"/>
                <w:bCs w:val="0"/>
                <w:color w:val="000000"/>
                <w:sz w:val="24"/>
              </w:rPr>
            </w:pPr>
            <w:r>
              <w:rPr>
                <w:rFonts w:hint="eastAsia"/>
                <w:b w:val="0"/>
                <w:bCs w:val="0"/>
                <w:color w:val="00000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18"/>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委托人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7</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lang w:val="zh-CN"/>
              </w:rPr>
              <w:t>8</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lang w:val="zh-CN"/>
              </w:rPr>
              <w:t>付款方式</w:t>
            </w:r>
          </w:p>
        </w:tc>
        <w:tc>
          <w:tcPr>
            <w:tcW w:w="7077"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ascii="宋体" w:hAnsi="宋体"/>
                <w:bCs/>
                <w:color w:val="000000"/>
                <w:sz w:val="24"/>
                <w:szCs w:val="20"/>
              </w:rPr>
            </w:pPr>
            <w:r>
              <w:rPr>
                <w:rFonts w:hint="eastAsia" w:ascii="宋体" w:hAnsi="宋体" w:eastAsia="宋体" w:cs="Times New Roman"/>
                <w:color w:val="000000"/>
                <w:kern w:val="2"/>
                <w:sz w:val="24"/>
                <w:szCs w:val="24"/>
                <w:lang w:val="en-US" w:eastAsia="zh-CN" w:bidi="ar-SA"/>
              </w:rPr>
              <w:t>出具《消防安全评估报告》和《建筑消防设施检测报告》后一个月内付清。注：在委托人付款前，中标人需向委托人交付等额的增值税专用发票，否则委托人有权拒绝或者延迟付款，且不承担违约责任。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联合体投标</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w:t>
            </w:r>
            <w:r>
              <w:rPr>
                <w:rFonts w:hint="eastAsia" w:ascii="宋体" w:hAnsi="宋体"/>
                <w:color w:val="000000"/>
                <w:sz w:val="24"/>
                <w:lang w:val="zh-CN"/>
              </w:rPr>
              <w:t xml:space="preserve">接受  </w:t>
            </w:r>
            <w:r>
              <w:rPr>
                <w:b/>
                <w:bCs/>
                <w:color w:val="000000"/>
                <w:sz w:val="24"/>
              </w:rPr>
              <w:sym w:font="Wingdings" w:char="F0FE"/>
            </w:r>
            <w:r>
              <w:rPr>
                <w:rFonts w:hint="eastAsia" w:ascii="宋体" w:hAnsi="宋体"/>
                <w:color w:val="000000"/>
                <w:sz w:val="24"/>
              </w:rPr>
              <w:t>不</w:t>
            </w:r>
            <w:r>
              <w:rPr>
                <w:rFonts w:hint="eastAsia" w:ascii="宋体" w:hAnsi="宋体"/>
                <w:color w:val="000000"/>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投标有效期</w:t>
            </w:r>
          </w:p>
        </w:tc>
        <w:tc>
          <w:tcPr>
            <w:tcW w:w="7077" w:type="dxa"/>
            <w:vAlign w:val="center"/>
          </w:tcPr>
          <w:p>
            <w:pPr>
              <w:spacing w:line="500" w:lineRule="exact"/>
              <w:rPr>
                <w:rFonts w:ascii="宋体" w:hAnsi="宋体"/>
                <w:color w:val="000000"/>
                <w:sz w:val="24"/>
                <w:szCs w:val="24"/>
              </w:rPr>
            </w:pPr>
            <w:r>
              <w:rPr>
                <w:rFonts w:hint="eastAsia" w:ascii="宋体" w:hAnsi="宋体"/>
                <w:color w:val="000000"/>
                <w:sz w:val="24"/>
                <w:szCs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服务地点</w:t>
            </w:r>
          </w:p>
        </w:tc>
        <w:tc>
          <w:tcPr>
            <w:tcW w:w="7077" w:type="dxa"/>
            <w:vAlign w:val="center"/>
          </w:tcPr>
          <w:p>
            <w:pPr>
              <w:spacing w:line="360" w:lineRule="auto"/>
              <w:rPr>
                <w:rFonts w:ascii="宋体" w:hAnsi="宋体"/>
                <w:color w:val="000000"/>
                <w:sz w:val="24"/>
                <w:szCs w:val="24"/>
              </w:rPr>
            </w:pPr>
            <w:r>
              <w:rPr>
                <w:rFonts w:hint="eastAsia"/>
                <w:color w:val="000000"/>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服务期限</w:t>
            </w:r>
          </w:p>
        </w:tc>
        <w:tc>
          <w:tcPr>
            <w:tcW w:w="70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olor w:val="000000"/>
                <w:sz w:val="24"/>
                <w:lang w:val="en-US" w:eastAsia="zh-CN"/>
              </w:rPr>
            </w:pPr>
            <w:r>
              <w:rPr>
                <w:rFonts w:hint="eastAsia"/>
                <w:color w:val="000000"/>
                <w:sz w:val="24"/>
                <w:szCs w:val="20"/>
                <w:lang w:val="zh-CN"/>
              </w:rPr>
              <w:t>自合同签订之日起</w:t>
            </w:r>
            <w:r>
              <w:rPr>
                <w:rFonts w:hint="eastAsia"/>
                <w:color w:val="000000"/>
                <w:sz w:val="24"/>
                <w:szCs w:val="20"/>
                <w:lang w:val="en-US"/>
              </w:rPr>
              <w:t>七日内完成现场评估检查，排查消防安全隐患和风险，并提出整改方案；业主单位完成整改工作后七日内完成消防安全评估，并出具《消防安全评估报告》和《建筑消防设施检测报告》</w:t>
            </w:r>
            <w:r>
              <w:rPr>
                <w:rFonts w:hint="eastAsia"/>
                <w:color w:val="00000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有效最低价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7</w:t>
            </w:r>
          </w:p>
        </w:tc>
        <w:tc>
          <w:tcPr>
            <w:tcW w:w="1559" w:type="dxa"/>
            <w:vAlign w:val="center"/>
          </w:tcPr>
          <w:p>
            <w:pPr>
              <w:spacing w:line="500" w:lineRule="exact"/>
              <w:jc w:val="center"/>
              <w:rPr>
                <w:rFonts w:ascii="宋体" w:hAnsi="宋体"/>
                <w:bCs/>
                <w:color w:val="000000"/>
                <w:sz w:val="24"/>
                <w:szCs w:val="24"/>
              </w:rPr>
            </w:pPr>
            <w:r>
              <w:rPr>
                <w:rFonts w:hint="eastAsia" w:ascii="宋体" w:hAnsi="宋体"/>
                <w:color w:val="000000"/>
                <w:sz w:val="24"/>
                <w:szCs w:val="24"/>
              </w:rPr>
              <w:t>履约保证金</w:t>
            </w:r>
          </w:p>
        </w:tc>
        <w:tc>
          <w:tcPr>
            <w:tcW w:w="7077" w:type="dxa"/>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1.履约保证金数额：中标价的</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rPr>
              <w:t>％</w:t>
            </w:r>
          </w:p>
          <w:p>
            <w:pPr>
              <w:spacing w:line="360" w:lineRule="auto"/>
              <w:ind w:left="841" w:hanging="841"/>
              <w:rPr>
                <w:rFonts w:ascii="宋体" w:hAnsi="宋体"/>
                <w:color w:val="000000"/>
                <w:sz w:val="24"/>
                <w:szCs w:val="24"/>
              </w:rPr>
            </w:pPr>
            <w:r>
              <w:rPr>
                <w:rFonts w:hint="eastAsia" w:ascii="宋体" w:hAnsi="宋体"/>
                <w:color w:val="000000"/>
                <w:sz w:val="24"/>
                <w:szCs w:val="24"/>
              </w:rPr>
              <w:t>2.收受方式为：</w:t>
            </w:r>
            <w:r>
              <w:rPr>
                <w:rFonts w:hint="eastAsia" w:ascii="MS Mincho" w:hAnsi="MS Mincho" w:eastAsia="MS Mincho" w:cs="MS Mincho"/>
                <w:color w:val="000000"/>
                <w:sz w:val="24"/>
                <w:szCs w:val="24"/>
              </w:rPr>
              <w:t>□</w:t>
            </w:r>
            <w:r>
              <w:rPr>
                <w:rFonts w:hint="eastAsia" w:ascii="宋体" w:hAnsi="宋体" w:cs="宋体"/>
                <w:color w:val="000000"/>
                <w:sz w:val="24"/>
                <w:szCs w:val="24"/>
              </w:rPr>
              <w:t>现金保证</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现金支票</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银行汇</w:t>
            </w:r>
            <w:r>
              <w:rPr>
                <w:rFonts w:hint="eastAsia" w:ascii="宋体" w:hAnsi="宋体"/>
                <w:color w:val="000000"/>
                <w:sz w:val="24"/>
                <w:szCs w:val="24"/>
              </w:rPr>
              <w:t>票</w:t>
            </w:r>
          </w:p>
          <w:p>
            <w:pPr>
              <w:spacing w:line="360" w:lineRule="auto"/>
              <w:ind w:left="839" w:leftChars="114" w:hanging="600" w:hangingChars="250"/>
              <w:rPr>
                <w:rFonts w:ascii="宋体" w:hAnsi="宋体"/>
                <w:color w:val="000000"/>
                <w:sz w:val="24"/>
                <w:szCs w:val="24"/>
              </w:rPr>
            </w:pPr>
            <w:r>
              <w:rPr>
                <w:rFonts w:hint="eastAsia" w:ascii="MS Mincho" w:hAnsi="MS Mincho" w:eastAsia="MS Mincho" w:cs="MS Mincho"/>
                <w:color w:val="000000"/>
                <w:sz w:val="24"/>
                <w:szCs w:val="24"/>
              </w:rPr>
              <w:t>☑</w:t>
            </w:r>
            <w:r>
              <w:rPr>
                <w:rFonts w:hint="eastAsia" w:ascii="宋体" w:hAnsi="宋体" w:cs="宋体"/>
                <w:color w:val="000000"/>
                <w:sz w:val="24"/>
                <w:szCs w:val="24"/>
              </w:rPr>
              <w:t>银行保函</w:t>
            </w:r>
            <w:r>
              <w:rPr>
                <w:rFonts w:hint="eastAsia" w:ascii="宋体" w:hAnsi="宋体"/>
                <w:color w:val="000000"/>
                <w:sz w:val="24"/>
                <w:szCs w:val="24"/>
              </w:rPr>
              <w:t xml:space="preserve">  </w:t>
            </w:r>
            <w:r>
              <w:rPr>
                <w:rFonts w:hint="eastAsia" w:ascii="MS Mincho" w:hAnsi="MS Mincho" w:eastAsia="MS Mincho" w:cs="MS Mincho"/>
                <w:color w:val="000000"/>
                <w:sz w:val="24"/>
                <w:szCs w:val="24"/>
              </w:rPr>
              <w:t>☑</w:t>
            </w:r>
            <w:r>
              <w:rPr>
                <w:rFonts w:hint="eastAsia" w:ascii="宋体" w:hAnsi="宋体" w:cs="宋体"/>
                <w:color w:val="000000"/>
                <w:sz w:val="24"/>
                <w:szCs w:val="24"/>
              </w:rPr>
              <w:t>银行转账</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工程担保</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保证保</w:t>
            </w:r>
            <w:r>
              <w:rPr>
                <w:rFonts w:hint="eastAsia" w:ascii="宋体" w:hAnsi="宋体"/>
                <w:color w:val="000000"/>
                <w:sz w:val="24"/>
                <w:szCs w:val="24"/>
              </w:rPr>
              <w:t>险</w:t>
            </w:r>
          </w:p>
          <w:p>
            <w:pPr>
              <w:spacing w:line="360" w:lineRule="auto"/>
              <w:rPr>
                <w:rFonts w:ascii="宋体" w:hAnsi="宋体"/>
                <w:color w:val="000000"/>
                <w:sz w:val="24"/>
                <w:szCs w:val="24"/>
              </w:rPr>
            </w:pPr>
            <w:r>
              <w:rPr>
                <w:rFonts w:hint="eastAsia" w:ascii="宋体" w:hAnsi="宋体"/>
                <w:color w:val="000000"/>
                <w:sz w:val="24"/>
                <w:szCs w:val="24"/>
              </w:rPr>
              <w:t>3.收受人为:□招标人、</w:t>
            </w:r>
            <w:r>
              <w:rPr>
                <w:rFonts w:ascii="宋体" w:hAnsi="宋体"/>
                <w:color w:val="000000"/>
                <w:sz w:val="24"/>
                <w:szCs w:val="24"/>
              </w:rPr>
              <w:sym w:font="Wingdings" w:char="F0FE"/>
            </w:r>
            <w:r>
              <w:rPr>
                <w:rFonts w:hint="eastAsia" w:ascii="宋体" w:hAnsi="宋体"/>
                <w:color w:val="000000"/>
                <w:sz w:val="24"/>
                <w:szCs w:val="24"/>
              </w:rPr>
              <w:t>委托人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5.退还：</w:t>
            </w:r>
            <w:r>
              <w:rPr>
                <w:rFonts w:hint="eastAsia" w:ascii="宋体" w:hAnsi="宋体"/>
                <w:color w:val="000000"/>
                <w:sz w:val="24"/>
                <w:szCs w:val="24"/>
                <w:u w:val="single"/>
              </w:rPr>
              <w:t>合同履约完成后30日内一次性无息退还。</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6.如采用银行保函，银行保函由合肥本地银行或在合肥具有分支机构的银行出具的见索即付无条件保函。</w:t>
            </w:r>
          </w:p>
          <w:p>
            <w:pPr>
              <w:spacing w:line="360" w:lineRule="auto"/>
              <w:rPr>
                <w:rFonts w:ascii="宋体" w:hAnsi="宋体"/>
                <w:color w:val="000000"/>
                <w:sz w:val="24"/>
                <w:szCs w:val="24"/>
              </w:rPr>
            </w:pPr>
            <w:r>
              <w:rPr>
                <w:rFonts w:hint="eastAsia" w:ascii="宋体" w:hAnsi="宋体"/>
                <w:color w:val="000000"/>
                <w:sz w:val="24"/>
                <w:szCs w:val="24"/>
              </w:rPr>
              <w:t>7.如采用工程担保，工程担保由注册地在合肥市或在合肥具有分支机构的国有担保公司出具的无条件担保。</w:t>
            </w:r>
          </w:p>
        </w:tc>
      </w:tr>
    </w:tbl>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pStyle w:val="5"/>
        <w:spacing w:line="500" w:lineRule="exact"/>
        <w:ind w:firstLine="0"/>
        <w:rPr>
          <w:rFonts w:ascii="宋体" w:hAnsi="宋体" w:eastAsia="宋体"/>
          <w:color w:val="000000"/>
          <w:szCs w:val="36"/>
        </w:rPr>
      </w:pPr>
      <w:bookmarkStart w:id="7" w:name="_Toc136500647"/>
      <w:bookmarkStart w:id="8" w:name="_Toc6622"/>
      <w:r>
        <w:rPr>
          <w:rFonts w:hint="eastAsia" w:ascii="宋体" w:hAnsi="宋体" w:eastAsia="宋体"/>
          <w:color w:val="000000"/>
        </w:rPr>
        <w:t>第</w:t>
      </w:r>
      <w:bookmarkStart w:id="9" w:name="_Hlt240110027"/>
      <w:bookmarkEnd w:id="9"/>
      <w:r>
        <w:rPr>
          <w:rFonts w:hint="eastAsia" w:ascii="宋体" w:hAnsi="宋体" w:eastAsia="宋体"/>
          <w:color w:val="000000"/>
        </w:rPr>
        <w:t>三章</w:t>
      </w:r>
      <w:bookmarkStart w:id="10" w:name="_Hlt509716920"/>
      <w:bookmarkEnd w:id="10"/>
      <w:r>
        <w:rPr>
          <w:rFonts w:hint="eastAsia" w:ascii="宋体" w:hAnsi="宋体" w:eastAsia="宋体"/>
          <w:color w:val="000000"/>
        </w:rPr>
        <w:t xml:space="preserve"> </w:t>
      </w:r>
      <w:r>
        <w:rPr>
          <w:rFonts w:hint="eastAsia" w:ascii="宋体" w:hAnsi="宋体" w:eastAsia="宋体"/>
          <w:color w:val="000000"/>
          <w:szCs w:val="36"/>
        </w:rPr>
        <w:t>招标需求</w:t>
      </w:r>
      <w:bookmarkEnd w:id="7"/>
      <w:bookmarkEnd w:id="8"/>
    </w:p>
    <w:p>
      <w:pPr>
        <w:spacing w:line="360" w:lineRule="auto"/>
        <w:ind w:firstLine="562" w:firstLineChars="200"/>
        <w:rPr>
          <w:rFonts w:hint="eastAsia" w:ascii="宋体" w:hAnsi="宋体" w:cs="宋体"/>
          <w:b/>
          <w:sz w:val="28"/>
          <w:szCs w:val="28"/>
          <w:lang w:val="zh-CN" w:eastAsia="zh-CN"/>
        </w:rPr>
      </w:pPr>
      <w:r>
        <w:rPr>
          <w:rFonts w:hint="eastAsia" w:ascii="宋体" w:hAnsi="宋体" w:cs="宋体"/>
          <w:b/>
          <w:sz w:val="28"/>
          <w:szCs w:val="28"/>
          <w:lang w:val="en-US" w:eastAsia="zh-CN"/>
        </w:rPr>
        <w:t>一、项目概况</w:t>
      </w:r>
      <w:r>
        <w:rPr>
          <w:rFonts w:hint="eastAsia" w:ascii="宋体" w:hAnsi="宋体" w:cs="宋体"/>
          <w:b/>
          <w:sz w:val="28"/>
          <w:szCs w:val="28"/>
          <w:lang w:val="zh-CN" w:eastAsia="zh-CN"/>
        </w:rPr>
        <w:t>和范围：</w:t>
      </w:r>
    </w:p>
    <w:p>
      <w:pPr>
        <w:spacing w:line="360" w:lineRule="auto"/>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为配合推进投资大厦房屋备案及产权办理工作，经市城乡建设局指导，根据历史遗留房产项目消防确认工作机制，需要对投资大厦进行消防安全评估和建筑消防设施检测。投资大厦建筑面积为11567平米。</w:t>
      </w:r>
    </w:p>
    <w:p>
      <w:pPr>
        <w:spacing w:line="360" w:lineRule="auto"/>
        <w:ind w:firstLine="562" w:firstLineChars="200"/>
        <w:rPr>
          <w:rFonts w:hint="eastAsia" w:ascii="宋体" w:hAnsi="宋体" w:eastAsia="宋体" w:cs="宋体"/>
          <w:b/>
          <w:sz w:val="28"/>
          <w:szCs w:val="28"/>
          <w:lang w:val="en-US" w:eastAsia="zh-CN"/>
        </w:rPr>
      </w:pPr>
      <w:r>
        <w:rPr>
          <w:rFonts w:hint="eastAsia" w:ascii="宋体" w:hAnsi="宋体" w:cs="宋体"/>
          <w:b/>
          <w:sz w:val="28"/>
          <w:szCs w:val="28"/>
          <w:lang w:val="en-US" w:eastAsia="zh-CN"/>
        </w:rPr>
        <w:t>二</w:t>
      </w:r>
      <w:r>
        <w:rPr>
          <w:rFonts w:hint="eastAsia" w:ascii="宋体" w:hAnsi="宋体" w:cs="宋体"/>
          <w:b/>
          <w:sz w:val="28"/>
          <w:szCs w:val="28"/>
        </w:rPr>
        <w:t>、服务</w:t>
      </w:r>
      <w:r>
        <w:rPr>
          <w:rFonts w:hint="eastAsia" w:ascii="宋体" w:hAnsi="宋体" w:cs="宋体"/>
          <w:b/>
          <w:sz w:val="28"/>
          <w:szCs w:val="28"/>
          <w:lang w:val="en-US" w:eastAsia="zh-CN"/>
        </w:rPr>
        <w:t>内容</w:t>
      </w:r>
    </w:p>
    <w:p>
      <w:pPr>
        <w:spacing w:line="360" w:lineRule="auto"/>
        <w:ind w:firstLine="480" w:firstLineChars="200"/>
        <w:rPr>
          <w:rFonts w:hint="eastAsia" w:ascii="宋体" w:hAnsi="宋体" w:eastAsia="宋体" w:cs="Times New Roman"/>
          <w:color w:val="000000" w:themeColor="text1"/>
          <w:kern w:val="2"/>
          <w:sz w:val="24"/>
          <w:szCs w:val="22"/>
          <w:lang w:val="zh-CN"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zh-CN" w:eastAsia="zh-CN" w:bidi="ar-SA"/>
          <w14:textFill>
            <w14:solidFill>
              <w14:schemeClr w14:val="tx1"/>
            </w14:solidFill>
          </w14:textFill>
        </w:rPr>
        <w:t>完成本次招标范围内</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场地的现场评估检查，排查消防安全隐患和风险，并提出整改方案；出具《消防安全评估报告》和《建筑消防设施检测报告》</w:t>
      </w:r>
      <w:r>
        <w:rPr>
          <w:rFonts w:hint="eastAsia" w:ascii="宋体" w:hAnsi="宋体" w:eastAsia="宋体" w:cs="Times New Roman"/>
          <w:color w:val="000000" w:themeColor="text1"/>
          <w:kern w:val="2"/>
          <w:sz w:val="24"/>
          <w:szCs w:val="22"/>
          <w:lang w:val="zh-CN" w:eastAsia="zh-CN" w:bidi="ar-SA"/>
          <w14:textFill>
            <w14:solidFill>
              <w14:schemeClr w14:val="tx1"/>
            </w14:solidFill>
          </w14:textFill>
        </w:rPr>
        <w:t>。</w:t>
      </w:r>
    </w:p>
    <w:p>
      <w:pPr>
        <w:spacing w:line="360" w:lineRule="auto"/>
        <w:ind w:firstLine="562" w:firstLineChars="200"/>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、报价方式：</w:t>
      </w:r>
    </w:p>
    <w:p>
      <w:pPr>
        <w:spacing w:line="360" w:lineRule="auto"/>
        <w:ind w:firstLine="480" w:firstLineChars="200"/>
        <w:rPr>
          <w:rFonts w:hint="eastAsia" w:ascii="宋体" w:hAnsi="宋体" w:eastAsia="宋体" w:cs="Times New Roman"/>
          <w:color w:val="000000" w:themeColor="text1"/>
          <w:kern w:val="2"/>
          <w:sz w:val="24"/>
          <w:szCs w:val="22"/>
          <w:lang w:val="zh-CN"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zh-CN" w:eastAsia="zh-CN" w:bidi="ar-SA"/>
          <w14:textFill>
            <w14:solidFill>
              <w14:schemeClr w14:val="tx1"/>
            </w14:solidFill>
          </w14:textFill>
        </w:rPr>
        <w:t>（1）</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本项目</w:t>
      </w:r>
      <w:r>
        <w:rPr>
          <w:rFonts w:hint="eastAsia" w:ascii="宋体" w:hAnsi="宋体" w:eastAsia="宋体" w:cs="Times New Roman"/>
          <w:color w:val="000000" w:themeColor="text1"/>
          <w:kern w:val="2"/>
          <w:sz w:val="24"/>
          <w:szCs w:val="22"/>
          <w:lang w:val="zh-CN" w:eastAsia="zh-CN" w:bidi="ar-SA"/>
          <w14:textFill>
            <w14:solidFill>
              <w14:schemeClr w14:val="tx1"/>
            </w14:solidFill>
          </w14:textFill>
        </w:rPr>
        <w:t>报投标总价，</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该总价包含但不仅限于人员工资、管理费用、测绘费、施工费、办公费、交通费、通讯费、培训费、税金、利润、劳动保险费、合同工期内的风险费用等为完成本次项目招标内容所发生的一切费用，请投标人谨慎报价。</w:t>
      </w:r>
    </w:p>
    <w:p>
      <w:pPr>
        <w:spacing w:line="360" w:lineRule="auto"/>
        <w:ind w:firstLine="480" w:firstLineChars="200"/>
        <w:rPr>
          <w:rFonts w:hint="eastAsia" w:ascii="宋体" w:hAnsi="宋体" w:eastAsia="宋体" w:cs="Times New Roman"/>
          <w:color w:val="000000" w:themeColor="text1"/>
          <w:kern w:val="2"/>
          <w:sz w:val="24"/>
          <w:szCs w:val="22"/>
          <w:lang w:val="zh-CN"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zh-CN" w:eastAsia="zh-CN" w:bidi="ar-SA"/>
          <w14:textFill>
            <w14:solidFill>
              <w14:schemeClr w14:val="tx1"/>
            </w14:solidFill>
          </w14:textFill>
        </w:rPr>
        <w:t>（2）本项目采取两轮报价，第一轮报价需在投标文件中填写。通过资格审查后的投标人需在开标现场进行第二轮报价，投标人下轮报价不得高于上一轮报价，第二轮报价为本项目最终投标报价。若</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报价</w:t>
      </w:r>
      <w:r>
        <w:rPr>
          <w:rFonts w:hint="eastAsia" w:ascii="宋体" w:hAnsi="宋体" w:eastAsia="宋体" w:cs="Times New Roman"/>
          <w:color w:val="000000" w:themeColor="text1"/>
          <w:kern w:val="2"/>
          <w:sz w:val="24"/>
          <w:szCs w:val="22"/>
          <w:lang w:val="zh-CN" w:eastAsia="zh-CN" w:bidi="ar-SA"/>
          <w14:textFill>
            <w14:solidFill>
              <w14:schemeClr w14:val="tx1"/>
            </w14:solidFill>
          </w14:textFill>
        </w:rPr>
        <w:t>相同的，</w:t>
      </w:r>
      <w:bookmarkStart w:id="11" w:name="_Hlk514735510"/>
      <w:r>
        <w:rPr>
          <w:rFonts w:hint="eastAsia" w:ascii="宋体" w:hAnsi="宋体" w:eastAsia="宋体" w:cs="Times New Roman"/>
          <w:color w:val="000000" w:themeColor="text1"/>
          <w:kern w:val="2"/>
          <w:sz w:val="24"/>
          <w:szCs w:val="22"/>
          <w:lang w:val="zh-CN" w:eastAsia="zh-CN" w:bidi="ar-SA"/>
          <w14:textFill>
            <w14:solidFill>
              <w14:schemeClr w14:val="tx1"/>
            </w14:solidFill>
          </w14:textFill>
        </w:rPr>
        <w:t>则采取评标委员会抽签方式确定中标单位。</w:t>
      </w:r>
      <w:bookmarkEnd w:id="11"/>
    </w:p>
    <w:p>
      <w:pPr>
        <w:spacing w:line="360" w:lineRule="auto"/>
        <w:ind w:firstLine="480" w:firstLineChars="200"/>
        <w:rPr>
          <w:rFonts w:hint="eastAsia" w:ascii="宋体" w:hAnsi="宋体" w:eastAsia="宋体" w:cs="Times New Roman"/>
          <w:color w:val="000000" w:themeColor="text1"/>
          <w:kern w:val="2"/>
          <w:sz w:val="24"/>
          <w:szCs w:val="22"/>
          <w:lang w:val="zh-CN"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zh-CN" w:eastAsia="zh-CN" w:bidi="ar-SA"/>
          <w14:textFill>
            <w14:solidFill>
              <w14:schemeClr w14:val="tx1"/>
            </w14:solidFill>
          </w14:textFill>
        </w:rPr>
        <w:t>（3）最终投标报价是投标人投标文件的有效组成部分，最终投标报价也是签订合同的依据。</w:t>
      </w:r>
    </w:p>
    <w:p>
      <w:pPr>
        <w:spacing w:line="360" w:lineRule="auto"/>
        <w:ind w:firstLine="560" w:firstLineChars="200"/>
        <w:outlineLvl w:val="0"/>
        <w:rPr>
          <w:rFonts w:ascii="宋体" w:hAnsi="宋体"/>
          <w:sz w:val="28"/>
          <w:szCs w:val="28"/>
        </w:rPr>
      </w:pPr>
    </w:p>
    <w:p>
      <w:pPr>
        <w:pStyle w:val="6"/>
        <w:rPr>
          <w:rFonts w:ascii="宋体" w:hAnsi="宋体"/>
          <w:color w:val="000000"/>
          <w:sz w:val="24"/>
          <w:szCs w:val="24"/>
        </w:rPr>
      </w:pPr>
    </w:p>
    <w:p>
      <w:pPr>
        <w:rPr>
          <w:rFonts w:ascii="宋体" w:hAnsi="宋体"/>
          <w:color w:val="000000"/>
          <w:sz w:val="24"/>
          <w:szCs w:val="24"/>
        </w:rPr>
      </w:pPr>
    </w:p>
    <w:p>
      <w:pPr>
        <w:rPr>
          <w:rFonts w:ascii="宋体" w:hAnsi="宋体" w:eastAsia="宋体"/>
          <w:color w:val="000000"/>
        </w:rPr>
      </w:pPr>
      <w:bookmarkStart w:id="12" w:name="_Toc111099545"/>
      <w:bookmarkStart w:id="13" w:name="_Toc136500652"/>
      <w:bookmarkStart w:id="14" w:name="_Toc38783646"/>
      <w:r>
        <w:rPr>
          <w:rFonts w:ascii="宋体" w:hAnsi="宋体" w:eastAsia="宋体"/>
          <w:color w:val="000000"/>
        </w:rPr>
        <w:br w:type="page"/>
      </w:r>
    </w:p>
    <w:p/>
    <w:p>
      <w:pPr>
        <w:pStyle w:val="5"/>
        <w:spacing w:line="500" w:lineRule="exact"/>
        <w:ind w:firstLine="0"/>
        <w:rPr>
          <w:rFonts w:ascii="宋体" w:hAnsi="宋体" w:eastAsia="宋体"/>
          <w:color w:val="000000"/>
        </w:rPr>
      </w:pPr>
      <w:bookmarkStart w:id="15" w:name="_Toc22437"/>
      <w:r>
        <w:rPr>
          <w:rFonts w:hint="eastAsia" w:ascii="宋体" w:hAnsi="宋体" w:eastAsia="宋体"/>
          <w:color w:val="000000"/>
        </w:rPr>
        <w:t>第四章 评标办法</w:t>
      </w:r>
      <w:bookmarkEnd w:id="12"/>
      <w:bookmarkEnd w:id="15"/>
    </w:p>
    <w:p>
      <w:pPr>
        <w:pStyle w:val="8"/>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w:t>
      </w:r>
      <w:r>
        <w:rPr>
          <w:rFonts w:hint="eastAsia" w:ascii="宋体" w:hAnsi="宋体"/>
          <w:color w:val="000000"/>
          <w:sz w:val="24"/>
          <w:szCs w:val="24"/>
          <w:u w:val="single"/>
          <w:lang w:val="en-US" w:eastAsia="zh-CN"/>
        </w:rPr>
        <w:t>投资大厦消防安全评估和建筑消防设施检测服务</w:t>
      </w:r>
      <w:r>
        <w:rPr>
          <w:rFonts w:hint="eastAsia" w:ascii="宋体" w:hAnsi="宋体"/>
          <w:color w:val="000000" w:themeColor="text1"/>
          <w:sz w:val="24"/>
          <w:u w:val="single"/>
          <w14:textFill>
            <w14:solidFill>
              <w14:schemeClr w14:val="tx1"/>
            </w14:solidFill>
          </w14:textFill>
        </w:rPr>
        <w:t>（项目编号：2023WLBLZB000</w:t>
      </w:r>
      <w:r>
        <w:rPr>
          <w:rFonts w:hint="eastAsia" w:ascii="宋体" w:hAnsi="宋体"/>
          <w:color w:val="000000" w:themeColor="text1"/>
          <w:sz w:val="24"/>
          <w:u w:val="single"/>
          <w:lang w:val="en-US" w:eastAsia="zh-CN"/>
          <w14:textFill>
            <w14:solidFill>
              <w14:schemeClr w14:val="tx1"/>
            </w14:solidFill>
          </w14:textFill>
        </w:rPr>
        <w:t>96</w:t>
      </w:r>
      <w:r>
        <w:rPr>
          <w:rFonts w:hint="eastAsia" w:ascii="宋体" w:hAnsi="宋体"/>
          <w:color w:val="000000" w:themeColor="text1"/>
          <w:sz w:val="24"/>
          <w:u w:val="single"/>
          <w14:textFill>
            <w14:solidFill>
              <w14:schemeClr w14:val="tx1"/>
            </w14:solidFill>
          </w14:textFill>
        </w:rPr>
        <w:t>号）</w:t>
      </w:r>
      <w:r>
        <w:rPr>
          <w:rFonts w:hint="eastAsia" w:ascii="宋体" w:hAnsi="宋体"/>
          <w:color w:val="000000" w:themeColor="text1"/>
          <w:sz w:val="24"/>
          <w14:textFill>
            <w14:solidFill>
              <w14:schemeClr w14:val="tx1"/>
            </w14:solidFill>
          </w14:textFill>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本次项目评标采用</w:t>
      </w:r>
      <w:r>
        <w:rPr>
          <w:rFonts w:hint="eastAsia" w:ascii="宋体" w:hAnsi="宋体"/>
          <w:b w:val="0"/>
          <w:bCs w:val="0"/>
          <w:color w:val="000000" w:themeColor="text1"/>
          <w:sz w:val="24"/>
          <w:u w:val="single"/>
          <w14:textFill>
            <w14:solidFill>
              <w14:schemeClr w14:val="tx1"/>
            </w14:solidFill>
          </w14:textFill>
        </w:rPr>
        <w:t>有效最低价法</w:t>
      </w:r>
      <w:r>
        <w:rPr>
          <w:rFonts w:hint="eastAsia" w:ascii="宋体" w:hAnsi="宋体"/>
          <w:color w:val="000000" w:themeColor="text1"/>
          <w:sz w:val="24"/>
          <w14:textFill>
            <w14:solidFill>
              <w14:schemeClr w14:val="tx1"/>
            </w14:solidFill>
          </w14:textFill>
        </w:rPr>
        <w:t>作为对投标人标书的比较方法。</w:t>
      </w:r>
    </w:p>
    <w:p>
      <w:pPr>
        <w:keepNext w:val="0"/>
        <w:keepLines w:val="0"/>
        <w:pageBreakBefore w:val="0"/>
        <w:widowControl w:val="0"/>
        <w:kinsoku/>
        <w:wordWrap/>
        <w:overflowPunct/>
        <w:topLinePunct w:val="0"/>
        <w:autoSpaceDE/>
        <w:autoSpaceDN/>
        <w:bidi w:val="0"/>
        <w:adjustRightInd w:val="0"/>
        <w:snapToGrid w:val="0"/>
        <w:spacing w:line="360" w:lineRule="auto"/>
        <w:ind w:left="-61" w:leftChars="-29" w:right="-10" w:firstLine="482" w:firstLineChars="200"/>
        <w:textAlignment w:val="auto"/>
        <w:rPr>
          <w:rFonts w:ascii="宋体" w:hAnsi="宋体"/>
          <w:color w:val="000000"/>
          <w:sz w:val="24"/>
        </w:rPr>
      </w:pPr>
      <w:r>
        <w:rPr>
          <w:rFonts w:hint="eastAsia" w:ascii="宋体" w:hAnsi="宋体"/>
          <w:b/>
          <w:bCs/>
          <w:color w:val="000000"/>
          <w:sz w:val="24"/>
        </w:rPr>
        <w:t>3.</w:t>
      </w:r>
      <w:r>
        <w:rPr>
          <w:rFonts w:hint="eastAsia" w:ascii="宋体" w:hAnsi="宋体"/>
          <w:color w:val="000000"/>
          <w:sz w:val="24"/>
        </w:rPr>
        <w:t>本项目将依法组建不少于</w:t>
      </w:r>
      <w:r>
        <w:rPr>
          <w:rFonts w:ascii="宋体" w:hAnsi="宋体"/>
          <w:b/>
          <w:color w:val="000000"/>
          <w:sz w:val="24"/>
          <w:u w:val="single"/>
        </w:rPr>
        <w:t>3</w:t>
      </w:r>
      <w:r>
        <w:rPr>
          <w:rFonts w:hint="eastAsia" w:ascii="宋体" w:hAnsi="宋体"/>
          <w:color w:val="000000"/>
          <w:sz w:val="24"/>
        </w:rPr>
        <w:t>人的评标委员会，负责本项目的评标工作。</w:t>
      </w:r>
    </w:p>
    <w:p>
      <w:pPr>
        <w:keepNext w:val="0"/>
        <w:keepLines w:val="0"/>
        <w:pageBreakBefore w:val="0"/>
        <w:widowControl w:val="0"/>
        <w:kinsoku/>
        <w:wordWrap/>
        <w:overflowPunct/>
        <w:topLinePunct w:val="0"/>
        <w:autoSpaceDE/>
        <w:autoSpaceDN/>
        <w:bidi w:val="0"/>
        <w:adjustRightInd w:val="0"/>
        <w:snapToGrid w:val="0"/>
        <w:spacing w:line="360" w:lineRule="auto"/>
        <w:ind w:left="-61" w:leftChars="-29" w:right="-10" w:firstLine="482" w:firstLineChars="200"/>
        <w:textAlignment w:val="auto"/>
        <w:rPr>
          <w:rFonts w:ascii="宋体" w:hAnsi="宋体"/>
          <w:color w:val="000000"/>
          <w:sz w:val="24"/>
        </w:rPr>
      </w:pPr>
      <w:r>
        <w:rPr>
          <w:rFonts w:hint="eastAsia" w:ascii="宋体" w:hAnsi="宋体"/>
          <w:b/>
          <w:color w:val="000000"/>
          <w:sz w:val="24"/>
        </w:rPr>
        <w:t>4.</w:t>
      </w:r>
      <w:r>
        <w:rPr>
          <w:rFonts w:hint="eastAsia" w:ascii="宋体" w:hAnsi="宋体"/>
          <w:color w:val="000000"/>
          <w:sz w:val="24"/>
        </w:rPr>
        <w:t>评标委员会按照“客观公正，实事求是”的原则，评价参加本次招标的投标人所提供的产品或服务价格、性能、质量、服务及对招标文件的符合性及响应性。</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2" w:firstLineChars="200"/>
        <w:textAlignment w:val="auto"/>
        <w:rPr>
          <w:rFonts w:ascii="宋体" w:hAnsi="宋体"/>
          <w:color w:val="000000"/>
          <w:sz w:val="24"/>
        </w:rPr>
      </w:pPr>
      <w:r>
        <w:rPr>
          <w:rFonts w:hint="eastAsia" w:ascii="宋体" w:hAnsi="宋体"/>
          <w:b/>
          <w:color w:val="000000"/>
          <w:sz w:val="24"/>
        </w:rPr>
        <w:t>5.</w:t>
      </w:r>
      <w:r>
        <w:rPr>
          <w:rFonts w:hint="eastAsia" w:ascii="宋体" w:hAnsi="宋体"/>
          <w:color w:val="000000"/>
          <w:sz w:val="24"/>
        </w:rPr>
        <w:t>有效投标应符合以下原则：</w:t>
      </w:r>
    </w:p>
    <w:p>
      <w:pPr>
        <w:keepNext w:val="0"/>
        <w:keepLines w:val="0"/>
        <w:pageBreakBefore w:val="0"/>
        <w:widowControl w:val="0"/>
        <w:kinsoku/>
        <w:wordWrap/>
        <w:overflowPunct/>
        <w:topLinePunct w:val="0"/>
        <w:autoSpaceDE/>
        <w:autoSpaceDN/>
        <w:bidi w:val="0"/>
        <w:spacing w:line="360" w:lineRule="auto"/>
        <w:ind w:left="480" w:right="-10"/>
        <w:textAlignment w:val="auto"/>
        <w:rPr>
          <w:rFonts w:ascii="宋体" w:hAnsi="宋体"/>
          <w:color w:val="000000"/>
          <w:sz w:val="24"/>
        </w:rPr>
      </w:pPr>
      <w:r>
        <w:rPr>
          <w:rFonts w:hint="eastAsia" w:ascii="宋体" w:hAnsi="宋体"/>
          <w:color w:val="000000"/>
          <w:sz w:val="24"/>
        </w:rPr>
        <w:t>5.1满足招标文件的实质性要求；</w:t>
      </w:r>
    </w:p>
    <w:p>
      <w:pPr>
        <w:keepNext w:val="0"/>
        <w:keepLines w:val="0"/>
        <w:pageBreakBefore w:val="0"/>
        <w:widowControl w:val="0"/>
        <w:kinsoku/>
        <w:wordWrap/>
        <w:overflowPunct/>
        <w:topLinePunct w:val="0"/>
        <w:autoSpaceDE/>
        <w:autoSpaceDN/>
        <w:bidi w:val="0"/>
        <w:spacing w:line="360" w:lineRule="auto"/>
        <w:ind w:left="480" w:right="-10"/>
        <w:textAlignment w:val="auto"/>
        <w:rPr>
          <w:rFonts w:ascii="宋体" w:hAnsi="宋体"/>
          <w:color w:val="000000"/>
          <w:sz w:val="24"/>
        </w:rPr>
      </w:pPr>
      <w:r>
        <w:rPr>
          <w:rFonts w:hint="eastAsia" w:ascii="宋体" w:hAnsi="宋体"/>
          <w:color w:val="000000"/>
          <w:sz w:val="24"/>
        </w:rPr>
        <w:t>5.2无重大偏离、保留或招标人不能接受的附加条件；</w:t>
      </w:r>
    </w:p>
    <w:p>
      <w:pPr>
        <w:keepNext w:val="0"/>
        <w:keepLines w:val="0"/>
        <w:pageBreakBefore w:val="0"/>
        <w:widowControl w:val="0"/>
        <w:kinsoku/>
        <w:wordWrap/>
        <w:overflowPunct/>
        <w:topLinePunct w:val="0"/>
        <w:autoSpaceDE/>
        <w:autoSpaceDN/>
        <w:bidi w:val="0"/>
        <w:spacing w:line="360" w:lineRule="auto"/>
        <w:ind w:left="480" w:right="-10"/>
        <w:textAlignment w:val="auto"/>
        <w:rPr>
          <w:rFonts w:ascii="宋体" w:hAnsi="宋体"/>
          <w:color w:val="000000"/>
          <w:sz w:val="24"/>
        </w:rPr>
      </w:pPr>
      <w:r>
        <w:rPr>
          <w:rFonts w:hint="eastAsia" w:ascii="宋体" w:hAnsi="宋体"/>
          <w:color w:val="000000"/>
          <w:sz w:val="24"/>
        </w:rPr>
        <w:t>5.3通过初审；</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color w:val="000000"/>
          <w:sz w:val="24"/>
        </w:rPr>
      </w:pPr>
      <w:r>
        <w:rPr>
          <w:rFonts w:hint="eastAsia" w:ascii="宋体" w:hAnsi="宋体"/>
          <w:color w:val="000000"/>
          <w:sz w:val="24"/>
        </w:rPr>
        <w:t>5.4评标委员会依据招标文件认定的其他原则。</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2" w:firstLineChars="200"/>
        <w:textAlignment w:val="auto"/>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color w:val="000000"/>
          <w:sz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color w:val="000000"/>
          <w:sz w:val="24"/>
        </w:rPr>
      </w:pPr>
      <w:r>
        <w:rPr>
          <w:rFonts w:hint="eastAsia" w:ascii="宋体" w:hAnsi="宋体"/>
          <w:color w:val="000000"/>
          <w:sz w:val="24"/>
        </w:rPr>
        <w:t>8. 评标委员会按下表内容进行投标有效性评审。</w:t>
      </w: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rPr>
          <w:color w:val="000000" w:themeColor="text1"/>
          <w14:textFill>
            <w14:solidFill>
              <w14:schemeClr w14:val="tx1"/>
            </w14:solidFill>
          </w14:textFill>
        </w:rPr>
      </w:pPr>
    </w:p>
    <w:tbl>
      <w:tblPr>
        <w:tblStyle w:val="15"/>
        <w:tblW w:w="556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82"/>
        <w:gridCol w:w="2851"/>
        <w:gridCol w:w="1309"/>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adjustRightInd w:val="0"/>
              <w:snapToGrid w:val="0"/>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72"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实质性指标名称</w:t>
            </w:r>
          </w:p>
        </w:tc>
        <w:tc>
          <w:tcPr>
            <w:tcW w:w="133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指标要求</w:t>
            </w:r>
          </w:p>
        </w:tc>
        <w:tc>
          <w:tcPr>
            <w:tcW w:w="61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173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6"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972"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1331"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投标人名称与营业执照单位名称一致</w:t>
            </w:r>
          </w:p>
        </w:tc>
        <w:tc>
          <w:tcPr>
            <w:tcW w:w="61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c>
          <w:tcPr>
            <w:tcW w:w="173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6"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972"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1331"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611"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p>
        </w:tc>
        <w:tc>
          <w:tcPr>
            <w:tcW w:w="1736"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7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7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投标授权书</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详见第五章响应文件格式“投标授权书”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7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投标人信用记录证明材料</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提供信用记录证明材料扫描件，详见第五章响应文件格式“投标人信用承诺”</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7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7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1331" w:type="pct"/>
            <w:vAlign w:val="center"/>
          </w:tcPr>
          <w:p>
            <w:pPr>
              <w:spacing w:after="50"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72"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1331"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详见第一章投标邀请“投标人资格”</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pct"/>
            <w:vAlign w:val="center"/>
          </w:tcPr>
          <w:p>
            <w:pPr>
              <w:adjustRightInd w:val="0"/>
              <w:snapToGrid w:val="0"/>
              <w:spacing w:line="360" w:lineRule="auto"/>
              <w:ind w:right="-10"/>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97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标书响应情况</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付款响应、完工期响应、质保期响应等</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46" w:type="pct"/>
            <w:vAlign w:val="center"/>
          </w:tcPr>
          <w:p>
            <w:pPr>
              <w:adjustRightInd w:val="0"/>
              <w:snapToGrid w:val="0"/>
              <w:spacing w:line="360" w:lineRule="auto"/>
              <w:ind w:right="-10"/>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p>
        </w:tc>
        <w:tc>
          <w:tcPr>
            <w:tcW w:w="97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标书规范性</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无严重的编排混乱、内容不全或字迹模糊辨认不清、前后矛盾情况，对评标无实质性影响的</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trPr>
        <w:tc>
          <w:tcPr>
            <w:tcW w:w="346" w:type="pct"/>
            <w:vAlign w:val="center"/>
          </w:tcPr>
          <w:p>
            <w:pPr>
              <w:adjustRightInd w:val="0"/>
              <w:snapToGrid w:val="0"/>
              <w:spacing w:line="360" w:lineRule="auto"/>
              <w:ind w:right="-10"/>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p>
        </w:tc>
        <w:tc>
          <w:tcPr>
            <w:tcW w:w="97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其他要求</w:t>
            </w:r>
          </w:p>
        </w:tc>
        <w:tc>
          <w:tcPr>
            <w:tcW w:w="133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上述指标中未列出，但国家相关法律法规或谈判文件有明确规定的</w:t>
            </w:r>
          </w:p>
        </w:tc>
        <w:tc>
          <w:tcPr>
            <w:tcW w:w="61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000" w:type="pct"/>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500" w:lineRule="exact"/>
        <w:ind w:left="143" w:leftChars="68" w:firstLine="361" w:firstLineChars="150"/>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价格评审:</w:t>
      </w:r>
      <w:r>
        <w:rPr>
          <w:rFonts w:hint="eastAsia" w:ascii="宋体" w:hAnsi="宋体"/>
          <w:color w:val="000000"/>
          <w:sz w:val="24"/>
        </w:rPr>
        <w:t xml:space="preserve"> </w:t>
      </w:r>
      <w:r>
        <w:rPr>
          <w:rFonts w:hint="eastAsia" w:ascii="宋体" w:hAnsi="宋体"/>
          <w:bCs/>
          <w:color w:val="000000"/>
          <w:sz w:val="24"/>
        </w:rPr>
        <w:t>对通过</w:t>
      </w:r>
      <w:r>
        <w:rPr>
          <w:rFonts w:hint="eastAsia" w:ascii="宋体" w:hAnsi="宋体"/>
          <w:color w:val="000000"/>
          <w:sz w:val="24"/>
        </w:rPr>
        <w:t>有效性评审</w:t>
      </w:r>
      <w:r>
        <w:rPr>
          <w:rFonts w:hint="eastAsia" w:ascii="宋体" w:hAnsi="宋体"/>
          <w:bCs/>
          <w:color w:val="000000"/>
          <w:sz w:val="24"/>
        </w:rPr>
        <w:t>的有效投标人，按其最终报价（评标价）由低到高的顺序选出中标候选人。</w:t>
      </w:r>
    </w:p>
    <w:p>
      <w:pPr>
        <w:pStyle w:val="3"/>
        <w:spacing w:line="500" w:lineRule="exact"/>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在评标过程中，评委及其他评标工作人员必须对评标情况严格保密，任何人不得将评标情况透露给与投标人有关的单位和个人。</w:t>
      </w:r>
    </w:p>
    <w:p>
      <w:pPr>
        <w:pStyle w:val="20"/>
        <w:rPr>
          <w:color w:val="000000"/>
        </w:rPr>
      </w:pPr>
    </w:p>
    <w:p>
      <w:pPr>
        <w:pStyle w:val="9"/>
        <w:spacing w:line="360" w:lineRule="auto"/>
        <w:rPr>
          <w:rFonts w:hAnsi="宋体" w:cs="黑体"/>
          <w:b/>
          <w:color w:val="000000"/>
          <w:sz w:val="24"/>
          <w:szCs w:val="24"/>
        </w:rPr>
      </w:pPr>
      <w:r>
        <w:rPr>
          <w:rFonts w:hint="eastAsia" w:hAnsi="宋体" w:cs="黑体"/>
          <w:b/>
          <w:color w:val="000000"/>
          <w:sz w:val="24"/>
          <w:szCs w:val="24"/>
        </w:rPr>
        <w:t>17. 其他</w:t>
      </w:r>
    </w:p>
    <w:p>
      <w:pPr>
        <w:pStyle w:val="21"/>
        <w:spacing w:line="360" w:lineRule="auto"/>
        <w:ind w:firstLine="482" w:firstLineChars="200"/>
        <w:rPr>
          <w:rFonts w:ascii="宋体" w:hAnsi="宋体"/>
          <w:b/>
          <w:color w:val="000000"/>
          <w:sz w:val="24"/>
        </w:rPr>
      </w:pPr>
      <w:r>
        <w:rPr>
          <w:rFonts w:hint="eastAsia" w:ascii="宋体" w:hAnsi="宋体"/>
          <w:b/>
          <w:bCs/>
          <w:color w:val="000000"/>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sz w:val="24"/>
        </w:rPr>
        <w:t>。</w:t>
      </w:r>
    </w:p>
    <w:p>
      <w:pPr>
        <w:pStyle w:val="20"/>
        <w:rPr>
          <w:color w:val="000000"/>
        </w:rPr>
      </w:pPr>
    </w:p>
    <w:p>
      <w:pPr>
        <w:pStyle w:val="20"/>
        <w:rPr>
          <w:color w:val="000000"/>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5"/>
        <w:spacing w:line="500" w:lineRule="exact"/>
        <w:rPr>
          <w:rFonts w:ascii="宋体" w:hAnsi="宋体" w:eastAsia="宋体"/>
          <w:color w:val="000000"/>
        </w:rPr>
      </w:pPr>
    </w:p>
    <w:p>
      <w:pPr>
        <w:pStyle w:val="5"/>
        <w:spacing w:line="500" w:lineRule="exact"/>
        <w:rPr>
          <w:rFonts w:ascii="宋体" w:hAnsi="宋体" w:eastAsia="宋体"/>
          <w:color w:val="000000"/>
        </w:rPr>
      </w:pPr>
      <w:bookmarkStart w:id="16" w:name="_Toc29597"/>
      <w:r>
        <w:rPr>
          <w:rFonts w:hint="eastAsia" w:ascii="宋体" w:hAnsi="宋体" w:eastAsia="宋体"/>
          <w:color w:val="000000"/>
        </w:rPr>
        <w:t>第五章 投标文件格式</w:t>
      </w:r>
      <w:bookmarkEnd w:id="13"/>
      <w:bookmarkEnd w:id="16"/>
    </w:p>
    <w:p>
      <w:pPr>
        <w:keepNext/>
        <w:keepLines/>
        <w:spacing w:before="120" w:after="120" w:line="500" w:lineRule="exact"/>
        <w:jc w:val="center"/>
        <w:outlineLvl w:val="1"/>
        <w:rPr>
          <w:rFonts w:ascii="Arial" w:hAnsi="Arial" w:cs="Calibri"/>
          <w:b/>
          <w:bCs/>
          <w:color w:val="000000"/>
          <w:sz w:val="32"/>
          <w:szCs w:val="32"/>
        </w:rPr>
      </w:pPr>
      <w:bookmarkStart w:id="17" w:name="_Toc23803"/>
      <w:r>
        <w:rPr>
          <w:rFonts w:hint="eastAsia" w:ascii="Arial" w:hAnsi="Arial" w:cs="Calibri"/>
          <w:b/>
          <w:bCs/>
          <w:color w:val="000000"/>
          <w:sz w:val="32"/>
          <w:szCs w:val="32"/>
        </w:rPr>
        <w:t>评审因素索引表</w:t>
      </w:r>
      <w:bookmarkEnd w:id="17"/>
    </w:p>
    <w:tbl>
      <w:tblPr>
        <w:tblStyle w:val="1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bookmarkStart w:id="18" w:name="_Toc256695443"/>
            <w:bookmarkStart w:id="19" w:name="_Toc256691567"/>
            <w:r>
              <w:rPr>
                <w:rFonts w:hint="eastAsia"/>
                <w:color w:val="000000"/>
                <w:sz w:val="28"/>
                <w:szCs w:val="28"/>
              </w:rPr>
              <w:t>序号</w:t>
            </w:r>
            <w:bookmarkEnd w:id="18"/>
            <w:bookmarkEnd w:id="19"/>
          </w:p>
        </w:tc>
        <w:tc>
          <w:tcPr>
            <w:tcW w:w="4820" w:type="dxa"/>
            <w:vAlign w:val="center"/>
          </w:tcPr>
          <w:p>
            <w:pPr>
              <w:spacing w:line="500" w:lineRule="exact"/>
              <w:jc w:val="center"/>
              <w:rPr>
                <w:color w:val="000000"/>
                <w:sz w:val="28"/>
                <w:szCs w:val="28"/>
              </w:rPr>
            </w:pPr>
            <w:bookmarkStart w:id="20" w:name="_Toc256695444"/>
            <w:bookmarkStart w:id="21" w:name="_Toc256691568"/>
            <w:r>
              <w:rPr>
                <w:rFonts w:hint="eastAsia"/>
                <w:color w:val="000000"/>
                <w:sz w:val="28"/>
                <w:szCs w:val="28"/>
              </w:rPr>
              <w:t>评审因素</w:t>
            </w:r>
            <w:bookmarkEnd w:id="20"/>
            <w:bookmarkEnd w:id="21"/>
          </w:p>
        </w:tc>
        <w:tc>
          <w:tcPr>
            <w:tcW w:w="3649" w:type="dxa"/>
            <w:vAlign w:val="center"/>
          </w:tcPr>
          <w:p>
            <w:pPr>
              <w:spacing w:line="500" w:lineRule="exact"/>
              <w:jc w:val="center"/>
              <w:rPr>
                <w:color w:val="000000"/>
                <w:sz w:val="28"/>
                <w:szCs w:val="28"/>
              </w:rPr>
            </w:pPr>
            <w:bookmarkStart w:id="22" w:name="_Toc256691569"/>
            <w:bookmarkStart w:id="23" w:name="_Toc256695445"/>
            <w:r>
              <w:rPr>
                <w:rFonts w:hint="eastAsia"/>
                <w:color w:val="000000"/>
                <w:sz w:val="28"/>
                <w:szCs w:val="28"/>
              </w:rPr>
              <w:t>投标文件页码范围</w:t>
            </w:r>
            <w:bookmarkEnd w:id="22"/>
            <w:bookmarkEnd w:id="2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4" w:name="_Toc256695446"/>
            <w:bookmarkStart w:id="25" w:name="_Toc256691570"/>
            <w:r>
              <w:rPr>
                <w:rFonts w:hint="eastAsia"/>
                <w:color w:val="000000"/>
                <w:sz w:val="28"/>
                <w:szCs w:val="28"/>
              </w:rPr>
              <w:t>P---  P</w:t>
            </w:r>
            <w:bookmarkEnd w:id="24"/>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6" w:name="_Toc256691571"/>
            <w:bookmarkStart w:id="27" w:name="_Toc256695447"/>
            <w:r>
              <w:rPr>
                <w:rFonts w:hint="eastAsia"/>
                <w:color w:val="000000"/>
                <w:sz w:val="28"/>
                <w:szCs w:val="28"/>
              </w:rPr>
              <w:t>P---  P</w:t>
            </w:r>
            <w:bookmarkEnd w:id="26"/>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8" w:name="_Toc256691572"/>
            <w:bookmarkStart w:id="29" w:name="_Toc256695448"/>
            <w:r>
              <w:rPr>
                <w:rFonts w:hint="eastAsia"/>
                <w:color w:val="000000"/>
                <w:sz w:val="28"/>
                <w:szCs w:val="28"/>
              </w:rPr>
              <w:t>P---  P</w:t>
            </w:r>
            <w:bookmarkEnd w:id="28"/>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0" w:name="_Toc256691573"/>
            <w:bookmarkStart w:id="31" w:name="_Toc256695449"/>
            <w:r>
              <w:rPr>
                <w:rFonts w:hint="eastAsia"/>
                <w:color w:val="000000"/>
                <w:sz w:val="28"/>
                <w:szCs w:val="28"/>
              </w:rPr>
              <w:t>P---  P</w:t>
            </w:r>
            <w:bookmarkEnd w:id="30"/>
            <w:bookmarkEnd w:id="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2" w:name="_Toc256691574"/>
            <w:bookmarkStart w:id="33" w:name="_Toc256695450"/>
            <w:r>
              <w:rPr>
                <w:rFonts w:hint="eastAsia"/>
                <w:color w:val="000000"/>
                <w:sz w:val="28"/>
                <w:szCs w:val="28"/>
              </w:rPr>
              <w:t>P---  P</w:t>
            </w:r>
            <w:bookmarkEnd w:id="32"/>
            <w:bookmark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4" w:name="_Toc256695451"/>
            <w:bookmarkStart w:id="35" w:name="_Toc256691575"/>
            <w:r>
              <w:rPr>
                <w:rFonts w:hint="eastAsia"/>
                <w:color w:val="000000"/>
                <w:sz w:val="28"/>
                <w:szCs w:val="28"/>
              </w:rPr>
              <w:t>P---  P</w:t>
            </w:r>
            <w:bookmarkEnd w:id="34"/>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6" w:name="_Toc256691576"/>
            <w:bookmarkStart w:id="37" w:name="_Toc256695452"/>
            <w:r>
              <w:rPr>
                <w:rFonts w:hint="eastAsia"/>
                <w:color w:val="000000"/>
                <w:sz w:val="28"/>
                <w:szCs w:val="28"/>
              </w:rPr>
              <w:t>P---  P</w:t>
            </w:r>
            <w:bookmarkEnd w:id="36"/>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8" w:name="_Toc256695453"/>
            <w:bookmarkStart w:id="39" w:name="_Toc256691577"/>
            <w:r>
              <w:rPr>
                <w:rFonts w:hint="eastAsia"/>
                <w:color w:val="000000"/>
                <w:sz w:val="28"/>
                <w:szCs w:val="28"/>
              </w:rPr>
              <w:t>P---  P</w:t>
            </w:r>
            <w:bookmarkEnd w:id="38"/>
            <w:bookmarkEnd w:id="3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0" w:name="_Toc256691578"/>
            <w:bookmarkStart w:id="41" w:name="_Toc256695454"/>
            <w:r>
              <w:rPr>
                <w:rFonts w:hint="eastAsia"/>
                <w:color w:val="000000"/>
                <w:sz w:val="28"/>
                <w:szCs w:val="28"/>
              </w:rPr>
              <w:t>P---  P</w:t>
            </w:r>
            <w:bookmarkEnd w:id="40"/>
            <w:bookmarkEnd w:id="4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2" w:name="_Toc256695455"/>
            <w:bookmarkStart w:id="43" w:name="_Toc256691579"/>
            <w:r>
              <w:rPr>
                <w:rFonts w:hint="eastAsia"/>
                <w:color w:val="000000"/>
                <w:sz w:val="28"/>
                <w:szCs w:val="28"/>
              </w:rPr>
              <w:t>P---  P</w:t>
            </w:r>
            <w:bookmarkEnd w:id="42"/>
            <w:bookmarkEnd w:id="4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4" w:name="_Toc256695456"/>
            <w:bookmarkStart w:id="45" w:name="_Toc256691580"/>
            <w:r>
              <w:rPr>
                <w:rFonts w:hint="eastAsia"/>
                <w:color w:val="000000"/>
                <w:sz w:val="28"/>
                <w:szCs w:val="28"/>
              </w:rPr>
              <w:t>P---  P</w:t>
            </w:r>
            <w:bookmarkEnd w:id="44"/>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6" w:name="_Toc256695457"/>
            <w:bookmarkStart w:id="47" w:name="_Toc256691581"/>
            <w:r>
              <w:rPr>
                <w:rFonts w:hint="eastAsia"/>
                <w:color w:val="000000"/>
                <w:sz w:val="28"/>
                <w:szCs w:val="28"/>
              </w:rPr>
              <w:t>P---  P</w:t>
            </w:r>
            <w:bookmarkEnd w:id="46"/>
            <w:bookmarkEnd w:id="4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8" w:name="_Toc256691582"/>
            <w:bookmarkStart w:id="49" w:name="_Toc256695458"/>
            <w:r>
              <w:rPr>
                <w:rFonts w:hint="eastAsia"/>
                <w:color w:val="000000"/>
                <w:sz w:val="28"/>
                <w:szCs w:val="28"/>
              </w:rPr>
              <w:t>P---  P</w:t>
            </w:r>
            <w:bookmarkEnd w:id="48"/>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bookmarkStart w:id="50" w:name="_Toc256695459"/>
            <w:bookmarkStart w:id="51" w:name="_Toc256691583"/>
            <w:r>
              <w:rPr>
                <w:rFonts w:hint="eastAsia"/>
                <w:color w:val="000000"/>
                <w:sz w:val="28"/>
                <w:szCs w:val="28"/>
              </w:rPr>
              <w:t>……</w:t>
            </w:r>
            <w:bookmarkEnd w:id="50"/>
            <w:bookmarkEnd w:id="51"/>
          </w:p>
        </w:tc>
        <w:tc>
          <w:tcPr>
            <w:tcW w:w="3649" w:type="dxa"/>
            <w:vAlign w:val="center"/>
          </w:tcPr>
          <w:p>
            <w:pPr>
              <w:spacing w:line="500" w:lineRule="exact"/>
              <w:jc w:val="center"/>
              <w:rPr>
                <w:color w:val="000000"/>
                <w:sz w:val="28"/>
                <w:szCs w:val="28"/>
              </w:rPr>
            </w:pPr>
            <w:bookmarkStart w:id="52" w:name="_Toc256695460"/>
            <w:bookmarkStart w:id="53" w:name="_Toc256691584"/>
            <w:r>
              <w:rPr>
                <w:rFonts w:hint="eastAsia"/>
                <w:color w:val="000000"/>
                <w:sz w:val="28"/>
                <w:szCs w:val="28"/>
              </w:rPr>
              <w:t>……</w:t>
            </w:r>
            <w:bookmarkEnd w:id="52"/>
            <w:bookmarkEnd w:id="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bl>
    <w:p>
      <w:r>
        <w:rPr>
          <w:rFonts w:ascii="黑体" w:eastAsia="黑体"/>
          <w:color w:val="000000"/>
          <w:sz w:val="28"/>
          <w:szCs w:val="28"/>
        </w:rPr>
        <w:br w:type="page"/>
      </w:r>
    </w:p>
    <w:p>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bookmarkStart w:id="54" w:name="_Toc29052"/>
      <w:r>
        <w:rPr>
          <w:rFonts w:hint="eastAsia" w:ascii="宋体" w:hAnsi="宋体"/>
          <w:b/>
          <w:bCs/>
          <w:color w:val="000000" w:themeColor="text1"/>
          <w:sz w:val="32"/>
          <w:szCs w:val="32"/>
          <w14:textFill>
            <w14:solidFill>
              <w14:schemeClr w14:val="tx1"/>
            </w14:solidFill>
          </w14:textFill>
        </w:rPr>
        <w:t>投标文件格式</w:t>
      </w:r>
      <w:bookmarkEnd w:id="14"/>
      <w:r>
        <w:rPr>
          <w:rFonts w:hint="eastAsia" w:ascii="宋体" w:hAnsi="宋体"/>
          <w:b/>
          <w:bCs/>
          <w:color w:val="000000" w:themeColor="text1"/>
          <w:sz w:val="32"/>
          <w:szCs w:val="32"/>
          <w14:textFill>
            <w14:solidFill>
              <w14:schemeClr w14:val="tx1"/>
            </w14:solidFill>
          </w14:textFill>
        </w:rPr>
        <w:t>及资料清单</w:t>
      </w:r>
      <w:bookmarkEnd w:id="54"/>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p>
        </w:tc>
        <w:tc>
          <w:tcPr>
            <w:tcW w:w="5376" w:type="dxa"/>
            <w:vAlign w:val="center"/>
          </w:tcPr>
          <w:p>
            <w:pPr>
              <w:rPr>
                <w:color w:val="000000" w:themeColor="text1"/>
                <w:u w:val="single"/>
                <w14:textFill>
                  <w14:solidFill>
                    <w14:schemeClr w14:val="tx1"/>
                  </w14:solidFill>
                </w14:textFill>
              </w:rPr>
            </w:pPr>
            <w:r>
              <w:rPr>
                <w:rFonts w:hint="eastAsia"/>
                <w:bCs/>
                <w:color w:val="000000" w:themeColor="text1"/>
                <w:sz w:val="24"/>
                <w14:textFill>
                  <w14:solidFill>
                    <w14:schemeClr w14:val="tx1"/>
                  </w14:solidFill>
                </w14:textFill>
              </w:rPr>
              <w:t>投标函</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p>
        </w:tc>
        <w:tc>
          <w:tcPr>
            <w:tcW w:w="5376" w:type="dxa"/>
            <w:vAlign w:val="center"/>
          </w:tcPr>
          <w:p>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拟投标人情况综合简介</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开标一览表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单项报价表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p>
        </w:tc>
        <w:tc>
          <w:tcPr>
            <w:tcW w:w="5376" w:type="dxa"/>
            <w:vAlign w:val="center"/>
          </w:tcPr>
          <w:p>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14:textFill>
                  <w14:solidFill>
                    <w14:schemeClr w14:val="tx1"/>
                  </w14:solidFill>
                </w14:textFill>
              </w:rPr>
              <w:t>投标人信用承诺</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投标业绩</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拟投标本项目的人员情况</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投标授权书</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投标人认为需提供的其他资料</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b/>
                <w:color w:val="000000" w:themeColor="text1"/>
                <w:sz w:val="28"/>
                <w14:textFill>
                  <w14:solidFill>
                    <w14:schemeClr w14:val="tx1"/>
                  </w14:solidFill>
                </w14:textFill>
              </w:rPr>
            </w:pPr>
          </w:p>
        </w:tc>
      </w:tr>
    </w:tbl>
    <w:p>
      <w:pPr>
        <w:rPr>
          <w:color w:val="000000" w:themeColor="text1"/>
          <w14:textFill>
            <w14:solidFill>
              <w14:schemeClr w14:val="tx1"/>
            </w14:solidFill>
          </w14:textFill>
        </w:rPr>
      </w:pPr>
      <w:bookmarkStart w:id="55" w:name="_Toc471736407"/>
      <w:bookmarkStart w:id="56" w:name="_Toc197934561"/>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57" w:name="_Toc38783647"/>
      <w:bookmarkStart w:id="58" w:name="_Toc471736410"/>
      <w:bookmarkStart w:id="59" w:name="_Toc516969098"/>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0" w:name="_Toc26843"/>
      <w:r>
        <w:rPr>
          <w:rFonts w:hint="eastAsia" w:ascii="宋体" w:hAnsi="宋体"/>
          <w:b/>
          <w:bCs/>
          <w:color w:val="000000" w:themeColor="text1"/>
          <w:sz w:val="28"/>
          <w:szCs w:val="32"/>
          <w14:textFill>
            <w14:solidFill>
              <w14:schemeClr w14:val="tx1"/>
            </w14:solidFill>
          </w14:textFill>
        </w:rPr>
        <w:t>一．投标函</w:t>
      </w:r>
      <w:bookmarkEnd w:id="57"/>
      <w:bookmarkEnd w:id="58"/>
      <w:bookmarkEnd w:id="59"/>
      <w:bookmarkEnd w:id="60"/>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spacing w:line="480" w:lineRule="exact"/>
        <w:ind w:left="101" w:leftChars="48" w:firstLine="480" w:firstLineChars="200"/>
        <w:jc w:val="left"/>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b/>
          <w:bCs/>
          <w:color w:val="000000" w:themeColor="text1"/>
          <w:sz w:val="24"/>
          <w:szCs w:val="24"/>
          <w:u w:val="single"/>
          <w:lang w:val="en-US" w:eastAsia="zh-CN"/>
          <w14:textFill>
            <w14:solidFill>
              <w14:schemeClr w14:val="tx1"/>
            </w14:solidFill>
          </w14:textFill>
        </w:rPr>
        <w:t>投资大厦消防安全评估和建筑消防设施检测服务</w:t>
      </w:r>
      <w:r>
        <w:rPr>
          <w:rFonts w:hint="eastAsia" w:ascii="宋体" w:hAnsi="宋体"/>
          <w:b/>
          <w:bCs/>
          <w:color w:val="000000" w:themeColor="text1"/>
          <w:sz w:val="24"/>
          <w:szCs w:val="24"/>
          <w:u w:val="single"/>
          <w14:textFill>
            <w14:solidFill>
              <w14:schemeClr w14:val="tx1"/>
            </w14:solidFill>
          </w14:textFill>
        </w:rPr>
        <w:t>项目”</w:t>
      </w:r>
      <w:r>
        <w:rPr>
          <w:rFonts w:hint="eastAsia" w:ascii="宋体" w:hAnsi="宋体"/>
          <w:b/>
          <w:bCs/>
          <w:color w:val="000000" w:themeColor="text1"/>
          <w:sz w:val="24"/>
          <w:szCs w:val="24"/>
          <w:u w:val="single"/>
          <w:lang w:eastAsia="zh-CN"/>
          <w14:textFill>
            <w14:solidFill>
              <w14:schemeClr w14:val="tx1"/>
            </w14:solidFill>
          </w14:textFill>
        </w:rPr>
        <w:t>（</w:t>
      </w:r>
      <w:r>
        <w:rPr>
          <w:rFonts w:hint="eastAsia" w:ascii="宋体" w:hAnsi="宋体"/>
          <w:b/>
          <w:bCs/>
          <w:color w:val="000000" w:themeColor="text1"/>
          <w:sz w:val="24"/>
          <w:szCs w:val="24"/>
          <w:u w:val="single"/>
          <w:lang w:val="en-US" w:eastAsia="zh-CN"/>
          <w14:textFill>
            <w14:solidFill>
              <w14:schemeClr w14:val="tx1"/>
            </w14:solidFill>
          </w14:textFill>
        </w:rPr>
        <w:t>项目编号：</w:t>
      </w:r>
      <w:r>
        <w:rPr>
          <w:rFonts w:hint="eastAsia" w:ascii="宋体" w:hAnsi="宋体"/>
          <w:b/>
          <w:bCs/>
          <w:color w:val="000000" w:themeColor="text1"/>
          <w:sz w:val="24"/>
          <w:szCs w:val="24"/>
          <w:u w:val="single"/>
          <w14:textFill>
            <w14:solidFill>
              <w14:schemeClr w14:val="tx1"/>
            </w14:solidFill>
          </w14:textFill>
        </w:rPr>
        <w:t>2023WLBLZB000</w:t>
      </w:r>
      <w:r>
        <w:rPr>
          <w:rFonts w:hint="eastAsia" w:ascii="宋体" w:hAnsi="宋体"/>
          <w:b/>
          <w:bCs/>
          <w:color w:val="000000" w:themeColor="text1"/>
          <w:sz w:val="24"/>
          <w:szCs w:val="24"/>
          <w:u w:val="single"/>
          <w:lang w:val="en-US" w:eastAsia="zh-CN"/>
          <w14:textFill>
            <w14:solidFill>
              <w14:schemeClr w14:val="tx1"/>
            </w14:solidFill>
          </w14:textFill>
        </w:rPr>
        <w:t>96</w:t>
      </w:r>
      <w:r>
        <w:rPr>
          <w:rFonts w:hint="eastAsia" w:ascii="宋体" w:hAnsi="宋体"/>
          <w:b/>
          <w:bCs/>
          <w:color w:val="000000" w:themeColor="text1"/>
          <w:sz w:val="24"/>
          <w:szCs w:val="24"/>
          <w:u w:val="single"/>
          <w:lang w:eastAsia="zh-CN"/>
          <w14:textFill>
            <w14:solidFill>
              <w14:schemeClr w14:val="tx1"/>
            </w14:solidFill>
          </w14:textFill>
        </w:rPr>
        <w:t>）</w:t>
      </w:r>
      <w:r>
        <w:rPr>
          <w:rFonts w:hint="eastAsia" w:ascii="宋体" w:hAnsi="宋体"/>
          <w:b/>
          <w:bCs/>
          <w:color w:val="000000" w:themeColor="text1"/>
          <w:sz w:val="24"/>
          <w:szCs w:val="24"/>
          <w:u w:val="none"/>
          <w14:textFill>
            <w14:solidFill>
              <w14:schemeClr w14:val="tx1"/>
            </w14:solidFill>
          </w14:textFill>
        </w:rPr>
        <w:t>招标邀请书，正式授权　</w:t>
      </w:r>
      <w:r>
        <w:rPr>
          <w:rFonts w:hint="eastAsia" w:ascii="宋体" w:hAnsi="宋体"/>
          <w:b/>
          <w:bCs/>
          <w:color w:val="000000" w:themeColor="text1"/>
          <w:sz w:val="24"/>
          <w:szCs w:val="24"/>
          <w:u w:val="none"/>
          <w:lang w:val="en-US" w:eastAsia="zh-CN"/>
          <w14:textFill>
            <w14:solidFill>
              <w14:schemeClr w14:val="tx1"/>
            </w14:solidFill>
          </w14:textFill>
        </w:rPr>
        <w:t xml:space="preserve">     </w:t>
      </w:r>
      <w:r>
        <w:rPr>
          <w:rFonts w:hint="eastAsia" w:ascii="宋体" w:hAnsi="宋体"/>
          <w:b/>
          <w:bCs/>
          <w:color w:val="000000" w:themeColor="text1"/>
          <w:sz w:val="24"/>
          <w:szCs w:val="24"/>
          <w:u w:val="none"/>
          <w14:textFill>
            <w14:solidFill>
              <w14:schemeClr w14:val="tx1"/>
            </w14:solidFill>
          </w14:textFill>
        </w:rPr>
        <w:t>（姓名、身份证号）代</w:t>
      </w:r>
      <w:r>
        <w:rPr>
          <w:rFonts w:hint="eastAsia" w:ascii="宋体" w:hAnsi="宋体"/>
          <w:color w:val="000000" w:themeColor="text1"/>
          <w:sz w:val="24"/>
          <w14:textFill>
            <w14:solidFill>
              <w14:schemeClr w14:val="tx1"/>
            </w14:solidFill>
          </w14:textFill>
        </w:rPr>
        <w:t>表投标人</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（投标人全称），提交规定形式的投标文件。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据此函，我方兹宣布同意如下：</w:t>
      </w:r>
    </w:p>
    <w:p>
      <w:pPr>
        <w:spacing w:line="360" w:lineRule="auto"/>
        <w:ind w:firstLine="628" w:firstLineChars="26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并保证于买方要求的日期内完成服务，并通过买方验收。</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同类服务的市场平均价格。</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（7）我方完全理解贵方不一定接受最低报价的投标。</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投标人基本账户开户名：账号：开户行：</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投标人章：日期：</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pacing w:line="480" w:lineRule="exact"/>
        <w:ind w:left="840" w:leftChars="400"/>
        <w:jc w:val="left"/>
        <w:rPr>
          <w:rFonts w:ascii="宋体" w:hAnsi="宋体" w:cs="宋体"/>
          <w:color w:val="000000" w:themeColor="text1"/>
          <w:kern w:val="0"/>
          <w:sz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投标人（公章）：</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企业法人（签字）：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55"/>
    <w:bookmarkEnd w:id="56"/>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1" w:name="_Toc38783648"/>
      <w:bookmarkStart w:id="62" w:name="_Toc516969097"/>
      <w:bookmarkStart w:id="63" w:name="_Toc12295"/>
      <w:bookmarkStart w:id="64" w:name="_Toc471736409"/>
      <w:r>
        <w:rPr>
          <w:rFonts w:hint="eastAsia" w:ascii="宋体" w:hAnsi="宋体"/>
          <w:b/>
          <w:bCs/>
          <w:color w:val="000000" w:themeColor="text1"/>
          <w:sz w:val="28"/>
          <w:szCs w:val="32"/>
          <w14:textFill>
            <w14:solidFill>
              <w14:schemeClr w14:val="tx1"/>
            </w14:solidFill>
          </w14:textFill>
        </w:rPr>
        <w:t>二．投标人情况综合简介</w:t>
      </w:r>
      <w:bookmarkEnd w:id="61"/>
      <w:bookmarkEnd w:id="62"/>
      <w:bookmarkEnd w:id="63"/>
      <w:bookmarkEnd w:id="64"/>
    </w:p>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5" w:name="_Toc38783649"/>
      <w:r>
        <w:rPr>
          <w:rFonts w:hint="eastAsia" w:cs="@仿宋_GB2312" w:asciiTheme="minorEastAsia" w:hAnsiTheme="minorEastAsia" w:eastAsiaTheme="minorEastAsia"/>
          <w:b/>
          <w:sz w:val="24"/>
          <w:szCs w:val="24"/>
        </w:rPr>
        <w:t xml:space="preserve"> </w:t>
      </w: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6" w:name="_Toc1583"/>
      <w:bookmarkStart w:id="67" w:name="_Toc11993"/>
      <w:r>
        <w:rPr>
          <w:rFonts w:hint="eastAsia" w:cs="@仿宋_GB2312" w:asciiTheme="minorEastAsia" w:hAnsiTheme="minorEastAsia" w:eastAsiaTheme="minorEastAsia"/>
          <w:b/>
          <w:sz w:val="24"/>
          <w:szCs w:val="24"/>
        </w:rPr>
        <w:t>第一轮报价</w:t>
      </w:r>
      <w:bookmarkEnd w:id="66"/>
      <w:bookmarkEnd w:id="67"/>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8" w:name="_Toc24791"/>
      <w:r>
        <w:rPr>
          <w:rFonts w:hint="eastAsia" w:ascii="宋体" w:hAnsi="宋体"/>
          <w:b/>
          <w:bCs/>
          <w:color w:val="000000" w:themeColor="text1"/>
          <w:sz w:val="28"/>
          <w:szCs w:val="32"/>
          <w14:textFill>
            <w14:solidFill>
              <w14:schemeClr w14:val="tx1"/>
            </w14:solidFill>
          </w14:textFill>
        </w:rPr>
        <w:t>三．开标一览表</w:t>
      </w:r>
      <w:bookmarkEnd w:id="65"/>
      <w:bookmarkEnd w:id="6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r>
              <w:rPr>
                <w:rFonts w:hint="eastAsia" w:ascii="宋体" w:hAnsi="宋体"/>
                <w:color w:val="000000"/>
                <w:sz w:val="24"/>
                <w:szCs w:val="24"/>
                <w:lang w:val="en-US" w:eastAsia="zh-CN"/>
              </w:rPr>
              <w:t>投资大厦消防安全评估和建筑消防设施检测服务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元</w:t>
            </w:r>
            <w:r>
              <w:rPr>
                <w:rFonts w:hint="eastAsia" w:ascii="宋体" w:hAnsi="宋体" w:cs="宋体"/>
                <w:b/>
                <w:color w:val="000000" w:themeColor="text1"/>
                <w:sz w:val="24"/>
                <w:lang w:eastAsia="zh-CN"/>
                <w14:textFill>
                  <w14:solidFill>
                    <w14:schemeClr w14:val="tx1"/>
                  </w14:solidFill>
                </w14:textFill>
              </w:rPr>
              <w:t>）</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9" w:name="_Toc27108"/>
      <w:bookmarkStart w:id="70" w:name="_Toc471736413"/>
      <w:bookmarkStart w:id="71" w:name="_Toc528276345"/>
      <w:bookmarkStart w:id="72" w:name="_Toc36563030"/>
      <w:bookmarkStart w:id="73" w:name="_Toc220232409"/>
      <w:bookmarkStart w:id="74" w:name="_Toc29288"/>
      <w:bookmarkStart w:id="75" w:name="_Toc536542358"/>
      <w:bookmarkStart w:id="76" w:name="_Toc20723"/>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77" w:name="_Toc3131"/>
      <w:bookmarkStart w:id="78" w:name="_Toc32049"/>
      <w:r>
        <w:rPr>
          <w:rFonts w:hint="eastAsia" w:ascii="宋体" w:hAnsi="宋体"/>
          <w:b/>
          <w:bCs/>
          <w:color w:val="000000" w:themeColor="text1"/>
          <w:sz w:val="28"/>
          <w:szCs w:val="32"/>
          <w14:textFill>
            <w14:solidFill>
              <w14:schemeClr w14:val="tx1"/>
            </w14:solidFill>
          </w14:textFill>
        </w:rPr>
        <w:t>第二轮报价表（最终报价）</w:t>
      </w:r>
      <w:bookmarkEnd w:id="77"/>
      <w:bookmarkEnd w:id="7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r>
              <w:rPr>
                <w:rFonts w:hint="eastAsia" w:ascii="宋体" w:hAnsi="宋体"/>
                <w:color w:val="000000"/>
                <w:sz w:val="24"/>
                <w:szCs w:val="24"/>
                <w:lang w:val="en-US" w:eastAsia="zh-CN"/>
              </w:rPr>
              <w:t>投资大厦消防安全评估和建筑消防设施检测服务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val="en-US" w:eastAsia="zh-CN"/>
                <w14:textFill>
                  <w14:solidFill>
                    <w14:schemeClr w14:val="tx1"/>
                  </w14:solidFill>
                </w14:textFill>
              </w:rPr>
              <w:t>元</w:t>
            </w:r>
            <w:r>
              <w:rPr>
                <w:rFonts w:hint="eastAsia" w:ascii="宋体" w:hAnsi="宋体" w:cs="宋体"/>
                <w:b/>
                <w:color w:val="000000" w:themeColor="text1"/>
                <w:sz w:val="24"/>
                <w14:textFill>
                  <w14:solidFill>
                    <w14:schemeClr w14:val="tx1"/>
                  </w14:solidFill>
                </w14:textFill>
              </w:rPr>
              <w:t>）</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4"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授权人签字</w:t>
      </w:r>
      <w:r>
        <w:rPr>
          <w:rFonts w:hint="eastAsia" w:ascii="宋体" w:hAnsi="宋体" w:cs="宋体"/>
          <w:b/>
          <w:color w:val="000000" w:themeColor="text1"/>
          <w:sz w:val="24"/>
          <w14:textFill>
            <w14:solidFill>
              <w14:schemeClr w14:val="tx1"/>
            </w14:solidFill>
          </w14:textFill>
        </w:rPr>
        <w:t>：</w:t>
      </w:r>
    </w:p>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spacing w:line="360" w:lineRule="auto"/>
        <w:rPr>
          <w:rFonts w:hint="eastAsia" w:ascii="宋体" w:hAnsi="宋体" w:cs="宋体"/>
          <w:b/>
          <w:color w:val="000000" w:themeColor="text1"/>
          <w:sz w:val="24"/>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79" w:name="_Toc6163"/>
      <w:r>
        <w:rPr>
          <w:rFonts w:hint="eastAsia" w:ascii="宋体" w:hAnsi="宋体"/>
          <w:b/>
          <w:bCs/>
          <w:color w:val="000000" w:themeColor="text1"/>
          <w:sz w:val="28"/>
          <w:szCs w:val="32"/>
          <w14:textFill>
            <w14:solidFill>
              <w14:schemeClr w14:val="tx1"/>
            </w14:solidFill>
          </w14:textFill>
        </w:rPr>
        <w:t>四．单项报价表</w:t>
      </w:r>
      <w:bookmarkEnd w:id="69"/>
      <w:bookmarkEnd w:id="70"/>
      <w:bookmarkEnd w:id="71"/>
      <w:bookmarkEnd w:id="72"/>
      <w:bookmarkEnd w:id="73"/>
      <w:bookmarkEnd w:id="74"/>
      <w:bookmarkEnd w:id="75"/>
      <w:bookmarkEnd w:id="76"/>
      <w:r>
        <w:rPr>
          <w:rFonts w:hint="eastAsia" w:ascii="宋体" w:hAnsi="宋体"/>
          <w:b/>
          <w:bCs/>
          <w:color w:val="000000" w:themeColor="text1"/>
          <w:sz w:val="28"/>
          <w:szCs w:val="32"/>
          <w14:textFill>
            <w14:solidFill>
              <w14:schemeClr w14:val="tx1"/>
            </w14:solidFill>
          </w14:textFill>
        </w:rPr>
        <w:t>（如有）</w:t>
      </w:r>
      <w:bookmarkEnd w:id="79"/>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812"/>
        <w:gridCol w:w="1560"/>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spacing w:before="120" w:after="12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281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服务项目名称</w:t>
            </w:r>
          </w:p>
        </w:tc>
        <w:tc>
          <w:tcPr>
            <w:tcW w:w="156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2126"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226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vAlign w:val="center"/>
          </w:tcPr>
          <w:p>
            <w:pP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其他费用</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vAlign w:val="center"/>
          </w:tcPr>
          <w:p>
            <w:pP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合计</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bl>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投标人公章：</w:t>
      </w:r>
    </w:p>
    <w:p>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pPr>
        <w:adjustRightInd w:val="0"/>
        <w:snapToGrid w:val="0"/>
        <w:spacing w:line="360" w:lineRule="auto"/>
        <w:ind w:firstLine="482" w:firstLineChars="200"/>
        <w:rPr>
          <w:rFonts w:ascii="Times New Roman" w:hAnsi="Times New Roman"/>
          <w:color w:val="000000" w:themeColor="text1"/>
          <w:sz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1.表中所列服务内容为对应本项目需求包含但不限于咨询服务费、报告编制费、文本制作费、现场调研勘察费、数据采集费、人工费、差旅费、利润、税金等完成项目服务的全部费用。如有漏项或缺项，投标人承担全部责任。</w:t>
      </w:r>
    </w:p>
    <w:p>
      <w:pPr>
        <w:adjustRightInd w:val="0"/>
        <w:snapToGrid w:val="0"/>
        <w:spacing w:line="360" w:lineRule="auto"/>
        <w:ind w:firstLine="482" w:firstLineChars="200"/>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2.表中须明确列出清单中所有内容，否则可能导致投标无效。</w:t>
      </w:r>
    </w:p>
    <w:p>
      <w:pPr>
        <w:spacing w:line="360" w:lineRule="auto"/>
        <w:rPr>
          <w:rFonts w:ascii="宋体" w:hAnsi="宋体" w:cs="宋体"/>
          <w:b/>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0" w:name="_Toc461103234"/>
      <w:bookmarkStart w:id="81" w:name="_Toc471736411"/>
      <w:bookmarkStart w:id="82" w:name="_Toc38783650"/>
      <w:bookmarkStart w:id="83" w:name="_Toc8906"/>
      <w:bookmarkStart w:id="84" w:name="_Toc197934563"/>
      <w:r>
        <w:rPr>
          <w:rFonts w:hint="eastAsia" w:ascii="宋体" w:hAnsi="宋体"/>
          <w:b/>
          <w:bCs/>
          <w:color w:val="000000" w:themeColor="text1"/>
          <w:sz w:val="28"/>
          <w:szCs w:val="32"/>
          <w14:textFill>
            <w14:solidFill>
              <w14:schemeClr w14:val="tx1"/>
            </w14:solidFill>
          </w14:textFill>
        </w:rPr>
        <w:t>五．投标人信用承诺</w:t>
      </w:r>
      <w:bookmarkEnd w:id="80"/>
      <w:bookmarkEnd w:id="81"/>
      <w:bookmarkEnd w:id="82"/>
      <w:bookmarkEnd w:id="83"/>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参加本次投标活动前三年内，在服务活动中没有重大违法及安全事故记录</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我公司已就上述不良信用行为按照招标文件规定进行了查询。我公司承诺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bookmarkEnd w:id="84"/>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5" w:name="_Toc496587831"/>
      <w:bookmarkStart w:id="86" w:name="_Toc12032"/>
      <w:bookmarkStart w:id="87" w:name="_Toc38783651"/>
      <w:r>
        <w:rPr>
          <w:rFonts w:hint="eastAsia" w:ascii="宋体" w:hAnsi="宋体"/>
          <w:b/>
          <w:bCs/>
          <w:color w:val="000000" w:themeColor="text1"/>
          <w:sz w:val="28"/>
          <w:szCs w:val="32"/>
          <w14:textFill>
            <w14:solidFill>
              <w14:schemeClr w14:val="tx1"/>
            </w14:solidFill>
          </w14:textFill>
        </w:rPr>
        <w:t>六.</w:t>
      </w:r>
      <w:bookmarkEnd w:id="85"/>
      <w:r>
        <w:rPr>
          <w:rFonts w:hint="eastAsia" w:ascii="宋体" w:hAnsi="宋体"/>
          <w:b/>
          <w:bCs/>
          <w:color w:val="000000" w:themeColor="text1"/>
          <w:sz w:val="28"/>
          <w:szCs w:val="32"/>
          <w14:textFill>
            <w14:solidFill>
              <w14:schemeClr w14:val="tx1"/>
            </w14:solidFill>
          </w14:textFill>
        </w:rPr>
        <w:t>投标业绩</w:t>
      </w:r>
      <w:bookmarkEnd w:id="86"/>
      <w:bookmarkEnd w:id="87"/>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15"/>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olor w:val="000000" w:themeColor="text1"/>
          <w:sz w:val="28"/>
          <w14:textFill>
            <w14:solidFill>
              <w14:schemeClr w14:val="tx1"/>
            </w14:solidFill>
          </w14:textFill>
        </w:rPr>
      </w:pPr>
    </w:p>
    <w:p>
      <w:pPr>
        <w:spacing w:before="48" w:beforeLines="20" w:after="48"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88" w:name="_Toc38783652"/>
      <w:bookmarkStart w:id="89" w:name="_Toc496587832"/>
      <w:bookmarkStart w:id="90" w:name="_Toc471675527"/>
      <w:bookmarkStart w:id="91" w:name="_Toc2562"/>
      <w:r>
        <w:rPr>
          <w:rFonts w:hint="eastAsia" w:ascii="宋体" w:hAnsi="宋体"/>
          <w:b/>
          <w:bCs/>
          <w:color w:val="000000" w:themeColor="text1"/>
          <w:sz w:val="28"/>
          <w:szCs w:val="32"/>
          <w14:textFill>
            <w14:solidFill>
              <w14:schemeClr w14:val="tx1"/>
            </w14:solidFill>
          </w14:textFill>
        </w:rPr>
        <w:t>七．拟投入本项目的人员情况</w:t>
      </w:r>
      <w:bookmarkEnd w:id="88"/>
      <w:bookmarkEnd w:id="89"/>
      <w:bookmarkEnd w:id="90"/>
      <w:r>
        <w:rPr>
          <w:rFonts w:hint="eastAsia" w:ascii="宋体" w:hAnsi="宋体"/>
          <w:b/>
          <w:bCs/>
          <w:color w:val="000000" w:themeColor="text1"/>
          <w:sz w:val="28"/>
          <w:szCs w:val="32"/>
          <w14:textFill>
            <w14:solidFill>
              <w14:schemeClr w14:val="tx1"/>
            </w14:solidFill>
          </w14:textFill>
        </w:rPr>
        <w:t>（如有）</w:t>
      </w:r>
      <w:bookmarkEnd w:id="91"/>
    </w:p>
    <w:p>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color w:val="000000" w:themeColor="text1"/>
          <w:sz w:val="24"/>
          <w14:textFill>
            <w14:solidFill>
              <w14:schemeClr w14:val="tx1"/>
            </w14:solidFill>
          </w14:textFill>
        </w:rPr>
        <w:t>，应能体现出所有招标文件要求的内容，并附相关证明材料（扫描件）。</w:t>
      </w:r>
    </w:p>
    <w:p>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p>
    <w:p>
      <w:pPr>
        <w:tabs>
          <w:tab w:val="left" w:pos="4620"/>
        </w:tabs>
        <w:spacing w:line="360" w:lineRule="auto"/>
        <w:ind w:firstLine="480" w:firstLineChars="200"/>
        <w:rPr>
          <w:rFonts w:hint="eastAsia"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2" w:name="_Toc38783653"/>
      <w:bookmarkStart w:id="93" w:name="_Toc496587833"/>
      <w:bookmarkStart w:id="94" w:name="_Toc471675528"/>
      <w:bookmarkStart w:id="95" w:name="_Toc11263"/>
      <w:r>
        <w:rPr>
          <w:rFonts w:hint="eastAsia" w:ascii="宋体" w:hAnsi="宋体"/>
          <w:b/>
          <w:bCs/>
          <w:color w:val="000000" w:themeColor="text1"/>
          <w:sz w:val="28"/>
          <w:szCs w:val="32"/>
          <w14:textFill>
            <w14:solidFill>
              <w14:schemeClr w14:val="tx1"/>
            </w14:solidFill>
          </w14:textFill>
        </w:rPr>
        <w:t>八．服务方案</w:t>
      </w:r>
      <w:bookmarkEnd w:id="92"/>
      <w:bookmarkEnd w:id="93"/>
      <w:bookmarkEnd w:id="94"/>
      <w:bookmarkEnd w:id="95"/>
    </w:p>
    <w:p>
      <w:pPr>
        <w:spacing w:before="48" w:beforeLines="20" w:after="48"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6" w:name="_Toc38783654"/>
      <w:bookmarkStart w:id="97" w:name="_Toc22313"/>
      <w:bookmarkStart w:id="98" w:name="_Toc496587834"/>
      <w:r>
        <w:rPr>
          <w:rFonts w:hint="eastAsia" w:ascii="宋体" w:hAnsi="宋体"/>
          <w:b/>
          <w:bCs/>
          <w:color w:val="000000" w:themeColor="text1"/>
          <w:sz w:val="28"/>
          <w:szCs w:val="32"/>
          <w14:textFill>
            <w14:solidFill>
              <w14:schemeClr w14:val="tx1"/>
            </w14:solidFill>
          </w14:textFill>
        </w:rPr>
        <w:t>九．有关证明文件</w:t>
      </w:r>
      <w:bookmarkEnd w:id="96"/>
      <w:bookmarkEnd w:id="97"/>
      <w:bookmarkEnd w:id="98"/>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7"/>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99" w:name="_Toc38783655"/>
      <w:bookmarkStart w:id="100" w:name="_Toc25527"/>
      <w:bookmarkStart w:id="101" w:name="_Toc471736417"/>
      <w:bookmarkStart w:id="102" w:name="_Toc516969104"/>
      <w:bookmarkStart w:id="103" w:name="_Toc220232401"/>
      <w:bookmarkStart w:id="104" w:name="_Toc508363608"/>
      <w:r>
        <w:rPr>
          <w:rFonts w:hint="eastAsia" w:ascii="宋体" w:hAnsi="宋体"/>
          <w:b/>
          <w:bCs/>
          <w:color w:val="000000" w:themeColor="text1"/>
          <w:sz w:val="28"/>
          <w:szCs w:val="32"/>
          <w14:textFill>
            <w14:solidFill>
              <w14:schemeClr w14:val="tx1"/>
            </w14:solidFill>
          </w14:textFill>
        </w:rPr>
        <w:t>十．投标授权书</w:t>
      </w:r>
      <w:bookmarkEnd w:id="99"/>
      <w:bookmarkEnd w:id="100"/>
    </w:p>
    <w:p>
      <w:pPr>
        <w:snapToGrid w:val="0"/>
        <w:spacing w:line="360" w:lineRule="auto"/>
        <w:ind w:firstLine="480" w:firstLineChars="200"/>
        <w:jc w:val="left"/>
        <w:rPr>
          <w:rFonts w:ascii="宋体" w:hAnsi="宋体"/>
          <w:i/>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本授权书声明：公司授权（投标人授权代表姓名、职务，手机号码）代表本公司参加合肥文旅博览集团有限公司</w:t>
      </w:r>
      <w:r>
        <w:rPr>
          <w:rFonts w:hint="eastAsia" w:ascii="宋体" w:hAnsi="宋体"/>
          <w:bCs/>
          <w:color w:val="000000" w:themeColor="text1"/>
          <w:sz w:val="24"/>
          <w:szCs w:val="28"/>
          <w14:textFill>
            <w14:solidFill>
              <w14:schemeClr w14:val="tx1"/>
            </w14:solidFill>
          </w14:textFill>
        </w:rPr>
        <w:t>招标活动（项目编号：）</w:t>
      </w:r>
      <w:r>
        <w:rPr>
          <w:rFonts w:hint="eastAsia" w:ascii="宋体"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2"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4"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QbbD2QAAAAoBAAAPAAAA&#10;AAAAAAEAIAAAACIAAABkcnMvZG93bnJldi54bWxQSwECFAAUAAAACACHTuJAggAgu78CAAAqCAAA&#10;DgAAAAAAAAABACAAAAAoAQAAZHJzL2Uyb0RvYy54bWxQSwUGAAAAAAYABgBZAQAAWQY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日期：</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pPr>
        <w:snapToGrid w:val="0"/>
        <w:spacing w:line="360" w:lineRule="auto"/>
        <w:jc w:val="left"/>
        <w:rPr>
          <w:rFonts w:ascii="宋体" w:hAnsi="宋体"/>
          <w:color w:val="000000" w:themeColor="text1"/>
          <w:sz w:val="24"/>
          <w:szCs w:val="28"/>
          <w14:textFill>
            <w14:solidFill>
              <w14:schemeClr w14:val="tx1"/>
            </w14:solidFill>
          </w14:textFill>
        </w:rPr>
      </w:pPr>
      <w:bookmarkStart w:id="105" w:name="_Toc471736421"/>
      <w:bookmarkStart w:id="106" w:name="_Toc220232403"/>
      <w:r>
        <w:rPr>
          <w:rFonts w:hint="eastAsia" w:ascii="宋体"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14:textFill>
            <w14:solidFill>
              <w14:schemeClr w14:val="tx1"/>
            </w14:solidFill>
          </w14:textFill>
        </w:rPr>
        <w:t>扫描件</w:t>
      </w:r>
      <w:r>
        <w:rPr>
          <w:rFonts w:hint="eastAsia" w:ascii="宋体" w:hAnsi="宋体"/>
          <w:color w:val="000000" w:themeColor="text1"/>
          <w:sz w:val="24"/>
          <w:szCs w:val="28"/>
          <w14:textFill>
            <w14:solidFill>
              <w14:schemeClr w14:val="tx1"/>
            </w14:solidFill>
          </w14:textFill>
        </w:rPr>
        <w:t>。</w:t>
      </w:r>
    </w:p>
    <w:p>
      <w:pPr>
        <w:snapToGri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2.法定代表人参加投标的无需此件，</w:t>
      </w:r>
      <w:r>
        <w:rPr>
          <w:rFonts w:hint="eastAsia" w:ascii="宋体" w:hAnsi="宋体"/>
          <w:color w:val="000000" w:themeColor="text1"/>
          <w:sz w:val="24"/>
          <w:szCs w:val="20"/>
          <w14:textFill>
            <w14:solidFill>
              <w14:schemeClr w14:val="tx1"/>
            </w14:solidFill>
          </w14:textFill>
        </w:rPr>
        <w:t>但投标文件中须提供身份证扫描件。</w:t>
      </w:r>
      <w:bookmarkEnd w:id="101"/>
      <w:bookmarkEnd w:id="102"/>
      <w:bookmarkEnd w:id="103"/>
      <w:bookmarkEnd w:id="104"/>
      <w:bookmarkEnd w:id="105"/>
      <w:bookmarkEnd w:id="106"/>
    </w:p>
    <w:p>
      <w:pPr>
        <w:snapToGrid w:val="0"/>
        <w:spacing w:line="360" w:lineRule="auto"/>
        <w:jc w:val="left"/>
        <w:rPr>
          <w:rFonts w:ascii="宋体" w:hAnsi="宋体"/>
          <w:color w:val="000000" w:themeColor="text1"/>
          <w:sz w:val="24"/>
          <w:szCs w:val="20"/>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sectPr>
          <w:footerReference r:id="rId7" w:type="default"/>
          <w:footerReference r:id="rId8" w:type="even"/>
          <w:pgSz w:w="11907" w:h="16840"/>
          <w:pgMar w:top="1440" w:right="1247" w:bottom="1440" w:left="1247" w:header="851" w:footer="992" w:gutter="0"/>
          <w:cols w:space="425" w:num="1"/>
          <w:docGrid w:linePitch="303" w:charSpace="0"/>
        </w:sectPr>
      </w:pPr>
      <w:bookmarkStart w:id="107" w:name="_Toc420342108"/>
      <w:bookmarkStart w:id="108" w:name="_Toc471736427"/>
      <w:bookmarkStart w:id="109" w:name="_Toc390243258"/>
      <w:bookmarkStart w:id="110" w:name="_Toc459990157"/>
      <w:bookmarkStart w:id="111" w:name="_Toc391040781"/>
      <w:bookmarkStart w:id="112" w:name="_Toc3996"/>
      <w:bookmarkStart w:id="113" w:name="_Toc517681252"/>
      <w:bookmarkStart w:id="114" w:name="_Toc38783656"/>
      <w:r>
        <w:rPr>
          <w:rFonts w:hint="eastAsia" w:ascii="宋体" w:hAnsi="宋体"/>
          <w:b/>
          <w:bCs/>
          <w:color w:val="000000" w:themeColor="text1"/>
          <w:sz w:val="28"/>
          <w:szCs w:val="32"/>
          <w14:textFill>
            <w14:solidFill>
              <w14:schemeClr w14:val="tx1"/>
            </w14:solidFill>
          </w14:textFill>
        </w:rPr>
        <w:t>十一．</w:t>
      </w:r>
      <w:bookmarkEnd w:id="107"/>
      <w:bookmarkEnd w:id="108"/>
      <w:bookmarkEnd w:id="109"/>
      <w:bookmarkEnd w:id="110"/>
      <w:bookmarkEnd w:id="111"/>
      <w:bookmarkStart w:id="115" w:name="_Toc471733801"/>
      <w:bookmarkStart w:id="116" w:name="_Toc389124158"/>
      <w:bookmarkStart w:id="117" w:name="_Toc471736430"/>
      <w:r>
        <w:rPr>
          <w:rFonts w:hint="eastAsia" w:ascii="宋体" w:hAnsi="宋体"/>
          <w:b/>
          <w:bCs/>
          <w:color w:val="000000" w:themeColor="text1"/>
          <w:sz w:val="28"/>
          <w:szCs w:val="32"/>
          <w14:textFill>
            <w14:solidFill>
              <w14:schemeClr w14:val="tx1"/>
            </w14:solidFill>
          </w14:textFill>
        </w:rPr>
        <w:t>投标人认为需提供的其他</w:t>
      </w:r>
      <w:bookmarkEnd w:id="112"/>
      <w:bookmarkEnd w:id="113"/>
      <w:bookmarkEnd w:id="114"/>
      <w:bookmarkEnd w:id="115"/>
      <w:bookmarkEnd w:id="116"/>
      <w:bookmarkEnd w:id="117"/>
    </w:p>
    <w:p>
      <w:pPr>
        <w:ind w:left="420"/>
        <w:jc w:val="center"/>
        <w:rPr>
          <w:b/>
          <w:color w:val="000000"/>
          <w:sz w:val="48"/>
          <w:szCs w:val="48"/>
        </w:rPr>
      </w:pPr>
    </w:p>
    <w:p>
      <w:pPr>
        <w:ind w:left="420"/>
        <w:jc w:val="center"/>
        <w:rPr>
          <w:b/>
          <w:color w:val="000000"/>
          <w:sz w:val="48"/>
          <w:szCs w:val="48"/>
        </w:rPr>
      </w:pPr>
    </w:p>
    <w:p>
      <w:pPr>
        <w:rPr>
          <w:b/>
          <w:color w:val="000000"/>
          <w:sz w:val="48"/>
          <w:szCs w:val="48"/>
        </w:rPr>
      </w:pPr>
    </w:p>
    <w:p>
      <w:pPr>
        <w:ind w:left="420"/>
        <w:jc w:val="center"/>
        <w:rPr>
          <w:b/>
          <w:color w:val="000000"/>
          <w:sz w:val="48"/>
          <w:szCs w:val="48"/>
          <w:highlight w:val="none"/>
        </w:rPr>
      </w:pPr>
    </w:p>
    <w:p>
      <w:pPr>
        <w:ind w:left="420"/>
        <w:jc w:val="center"/>
        <w:rPr>
          <w:b/>
          <w:color w:val="000000"/>
          <w:sz w:val="48"/>
          <w:szCs w:val="48"/>
          <w:highlight w:val="none"/>
        </w:rPr>
      </w:pPr>
      <w:r>
        <w:rPr>
          <w:rFonts w:hint="eastAsia"/>
          <w:b/>
          <w:color w:val="000000"/>
          <w:sz w:val="48"/>
          <w:szCs w:val="48"/>
          <w:highlight w:val="none"/>
          <w:lang w:val="en-US" w:eastAsia="zh-CN"/>
        </w:rPr>
        <w:t>投资大厦消防安全评估和建筑消防设施检测服务</w:t>
      </w:r>
      <w:r>
        <w:rPr>
          <w:rFonts w:hint="eastAsia"/>
          <w:b/>
          <w:color w:val="000000"/>
          <w:sz w:val="48"/>
          <w:szCs w:val="48"/>
          <w:highlight w:val="none"/>
        </w:rPr>
        <w:t>合同</w:t>
      </w:r>
    </w:p>
    <w:p>
      <w:pPr>
        <w:rPr>
          <w:b/>
          <w:color w:val="000000"/>
          <w:sz w:val="52"/>
          <w:szCs w:val="52"/>
          <w:highlight w:val="none"/>
        </w:rPr>
      </w:pPr>
    </w:p>
    <w:p>
      <w:pPr>
        <w:widowControl/>
        <w:spacing w:before="109" w:line="440" w:lineRule="atLeast"/>
        <w:ind w:firstLine="640"/>
        <w:rPr>
          <w:rFonts w:ascii="黑体" w:hAnsi="Times New Roman" w:eastAsia="黑体"/>
          <w:color w:val="000000"/>
          <w:kern w:val="0"/>
          <w:sz w:val="32"/>
          <w:szCs w:val="32"/>
          <w:highlight w:val="none"/>
        </w:rPr>
      </w:pPr>
    </w:p>
    <w:p>
      <w:pPr>
        <w:ind w:firstLine="199" w:firstLineChars="95"/>
        <w:rPr>
          <w:rFonts w:ascii="宋体" w:hAnsi="宋体"/>
          <w:color w:val="000000"/>
          <w:highlight w:val="none"/>
        </w:rPr>
      </w:pPr>
    </w:p>
    <w:p>
      <w:pPr>
        <w:ind w:firstLine="199" w:firstLineChars="95"/>
        <w:rPr>
          <w:rFonts w:ascii="宋体" w:hAnsi="宋体"/>
          <w:color w:val="000000"/>
          <w:highlight w:val="none"/>
        </w:rPr>
      </w:pPr>
    </w:p>
    <w:p>
      <w:pPr>
        <w:ind w:firstLine="199" w:firstLineChars="95"/>
        <w:rPr>
          <w:rFonts w:ascii="宋体" w:hAnsi="宋体"/>
          <w:color w:val="000000"/>
          <w:highlight w:val="none"/>
        </w:rPr>
      </w:pPr>
    </w:p>
    <w:p>
      <w:pPr>
        <w:ind w:firstLine="199" w:firstLineChars="95"/>
        <w:rPr>
          <w:rFonts w:ascii="宋体" w:hAnsi="宋体"/>
          <w:color w:val="000000"/>
          <w:highlight w:val="none"/>
        </w:rPr>
      </w:pPr>
    </w:p>
    <w:p>
      <w:pPr>
        <w:ind w:firstLine="199" w:firstLineChars="95"/>
        <w:rPr>
          <w:rFonts w:ascii="宋体" w:hAnsi="宋体"/>
          <w:color w:val="000000"/>
          <w:highlight w:val="none"/>
        </w:rPr>
      </w:pPr>
    </w:p>
    <w:p>
      <w:pPr>
        <w:ind w:firstLine="199" w:firstLineChars="95"/>
        <w:rPr>
          <w:rFonts w:ascii="宋体" w:hAnsi="宋体"/>
          <w:color w:val="000000"/>
          <w:highlight w:val="none"/>
        </w:rPr>
      </w:pPr>
    </w:p>
    <w:p>
      <w:pPr>
        <w:ind w:firstLine="199" w:firstLineChars="95"/>
        <w:rPr>
          <w:rFonts w:ascii="宋体" w:hAnsi="宋体"/>
          <w:color w:val="000000"/>
          <w:highlight w:val="none"/>
        </w:rPr>
      </w:pPr>
    </w:p>
    <w:p>
      <w:pPr>
        <w:ind w:firstLine="199" w:firstLineChars="95"/>
        <w:rPr>
          <w:rFonts w:ascii="宋体" w:hAnsi="宋体"/>
          <w:color w:val="000000"/>
          <w:highlight w:val="none"/>
        </w:rPr>
      </w:pPr>
    </w:p>
    <w:p>
      <w:pPr>
        <w:ind w:firstLine="199" w:firstLineChars="95"/>
        <w:rPr>
          <w:rFonts w:ascii="宋体" w:hAnsi="宋体"/>
          <w:color w:val="000000"/>
          <w:highlight w:val="none"/>
        </w:rPr>
      </w:pPr>
    </w:p>
    <w:p>
      <w:pPr>
        <w:ind w:firstLine="199" w:firstLineChars="95"/>
        <w:rPr>
          <w:rFonts w:hint="eastAsia" w:ascii="宋体" w:hAnsi="宋体"/>
          <w:color w:val="000000"/>
          <w:highlight w:val="none"/>
        </w:rPr>
      </w:pPr>
    </w:p>
    <w:p>
      <w:pPr>
        <w:pStyle w:val="9"/>
        <w:ind w:firstLine="266" w:firstLineChars="95"/>
        <w:rPr>
          <w:rFonts w:ascii="宋体" w:hAnsi="宋体"/>
          <w:color w:val="000000"/>
          <w:highlight w:val="none"/>
        </w:rPr>
      </w:pPr>
    </w:p>
    <w:p>
      <w:pPr>
        <w:jc w:val="left"/>
        <w:rPr>
          <w:rFonts w:hint="eastAsia" w:ascii="宋体" w:hAnsi="宋体"/>
          <w:color w:val="000000"/>
          <w:highlight w:val="none"/>
        </w:rPr>
      </w:pPr>
    </w:p>
    <w:p>
      <w:pPr>
        <w:jc w:val="left"/>
        <w:rPr>
          <w:rFonts w:ascii="宋体" w:hAnsi="宋体"/>
          <w:color w:val="000000"/>
          <w:highlight w:val="none"/>
        </w:rPr>
      </w:pPr>
    </w:p>
    <w:p>
      <w:pPr>
        <w:ind w:firstLine="562" w:firstLineChars="200"/>
        <w:jc w:val="left"/>
        <w:rPr>
          <w:rFonts w:ascii="宋体" w:hAnsi="宋体"/>
          <w:b/>
          <w:color w:val="000000"/>
          <w:sz w:val="28"/>
          <w:szCs w:val="28"/>
          <w:highlight w:val="none"/>
        </w:rPr>
      </w:pPr>
      <w:r>
        <w:rPr>
          <w:rFonts w:hint="eastAsia" w:ascii="宋体" w:hAnsi="宋体"/>
          <w:b/>
          <w:color w:val="000000"/>
          <w:sz w:val="28"/>
          <w:szCs w:val="28"/>
          <w:highlight w:val="none"/>
        </w:rPr>
        <w:t>委托人：</w:t>
      </w:r>
      <w:r>
        <w:rPr>
          <w:rFonts w:hint="eastAsia" w:ascii="宋体" w:hAnsi="宋体"/>
          <w:color w:val="000000"/>
          <w:sz w:val="28"/>
          <w:szCs w:val="28"/>
          <w:highlight w:val="none"/>
        </w:rPr>
        <w:t>合肥文旅博览集团有限公司</w:t>
      </w:r>
      <w:r>
        <w:rPr>
          <w:rFonts w:hint="eastAsia" w:ascii="宋体" w:hAnsi="宋体"/>
          <w:b/>
          <w:color w:val="000000"/>
          <w:sz w:val="28"/>
          <w:szCs w:val="28"/>
          <w:highlight w:val="none"/>
        </w:rPr>
        <w:t xml:space="preserve"> </w:t>
      </w:r>
    </w:p>
    <w:p>
      <w:pPr>
        <w:ind w:firstLine="562" w:firstLineChars="200"/>
        <w:jc w:val="left"/>
        <w:rPr>
          <w:rFonts w:ascii="宋体" w:hAnsi="宋体"/>
          <w:color w:val="000000"/>
          <w:sz w:val="28"/>
          <w:szCs w:val="28"/>
          <w:highlight w:val="none"/>
          <w:u w:val="single"/>
        </w:rPr>
      </w:pPr>
      <w:r>
        <w:rPr>
          <w:rFonts w:hint="eastAsia" w:ascii="宋体" w:hAnsi="宋体"/>
          <w:b/>
          <w:color w:val="000000"/>
          <w:sz w:val="28"/>
          <w:szCs w:val="28"/>
          <w:highlight w:val="none"/>
        </w:rPr>
        <w:t>受托人：</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p>
    <w:p>
      <w:pPr>
        <w:ind w:firstLine="551" w:firstLineChars="196"/>
        <w:rPr>
          <w:rFonts w:ascii="宋体" w:hAnsi="宋体" w:cs="宋体"/>
          <w:color w:val="000000"/>
          <w:kern w:val="0"/>
          <w:sz w:val="20"/>
          <w:szCs w:val="20"/>
          <w:highlight w:val="none"/>
        </w:rPr>
      </w:pPr>
      <w:r>
        <w:rPr>
          <w:rFonts w:hint="eastAsia" w:ascii="宋体" w:hAnsi="宋体"/>
          <w:b/>
          <w:color w:val="000000"/>
          <w:sz w:val="28"/>
          <w:szCs w:val="28"/>
          <w:highlight w:val="none"/>
        </w:rPr>
        <w:t>合同编号：</w:t>
      </w:r>
      <w:r>
        <w:rPr>
          <w:rFonts w:hint="eastAsia" w:ascii="宋体" w:hAnsi="宋体"/>
          <w:color w:val="000000"/>
          <w:sz w:val="28"/>
          <w:szCs w:val="28"/>
          <w:highlight w:val="none"/>
        </w:rPr>
        <w:t>文旅博览（2023）第   号合同</w:t>
      </w:r>
    </w:p>
    <w:p>
      <w:pPr>
        <w:ind w:firstLine="562" w:firstLineChars="200"/>
        <w:rPr>
          <w:rFonts w:ascii="宋体" w:hAnsi="宋体"/>
          <w:b/>
          <w:color w:val="000000"/>
          <w:sz w:val="28"/>
          <w:szCs w:val="28"/>
          <w:highlight w:val="none"/>
          <w:u w:val="single"/>
        </w:rPr>
      </w:pPr>
    </w:p>
    <w:p>
      <w:pPr>
        <w:rPr>
          <w:highlight w:val="none"/>
        </w:rPr>
        <w:sectPr>
          <w:footerReference r:id="rId9" w:type="default"/>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color w:val="000000"/>
          <w:sz w:val="24"/>
          <w:szCs w:val="24"/>
          <w:highlight w:val="none"/>
        </w:rPr>
        <w:sectPr>
          <w:type w:val="continuous"/>
          <w:pgSz w:w="11906" w:h="16838"/>
          <w:pgMar w:top="1440" w:right="1800" w:bottom="1440" w:left="1800" w:header="851" w:footer="992" w:gutter="0"/>
          <w:cols w:space="425" w:num="1"/>
          <w:docGrid w:type="lines" w:linePitch="312" w:charSpace="0"/>
        </w:sectPr>
      </w:pPr>
    </w:p>
    <w:p>
      <w:pPr>
        <w:pStyle w:val="22"/>
        <w:spacing w:line="531" w:lineRule="exact"/>
        <w:ind w:left="0" w:leftChars="0" w:firstLine="0" w:firstLineChars="0"/>
        <w:jc w:val="both"/>
        <w:rPr>
          <w:kern w:val="0"/>
          <w:sz w:val="28"/>
          <w:szCs w:val="28"/>
          <w:highlight w:val="none"/>
          <w:lang w:eastAsia="zh-CN"/>
        </w:rPr>
      </w:pPr>
      <w:r>
        <w:rPr>
          <w:rFonts w:hint="eastAsia"/>
          <w:kern w:val="0"/>
          <w:sz w:val="28"/>
          <w:szCs w:val="28"/>
          <w:highlight w:val="none"/>
          <w:lang w:eastAsia="zh-CN"/>
        </w:rPr>
        <w:t>委托方（甲方）：</w:t>
      </w:r>
      <w:r>
        <w:rPr>
          <w:rFonts w:hint="eastAsia"/>
          <w:kern w:val="0"/>
          <w:sz w:val="28"/>
          <w:szCs w:val="28"/>
          <w:highlight w:val="none"/>
          <w:lang w:val="en-US" w:eastAsia="zh-CN"/>
        </w:rPr>
        <w:t>合肥文旅博览集团有限公司</w:t>
      </w:r>
    </w:p>
    <w:p>
      <w:pPr>
        <w:pStyle w:val="22"/>
        <w:spacing w:line="531" w:lineRule="exact"/>
        <w:ind w:left="0" w:leftChars="0" w:firstLine="0" w:firstLineChars="0"/>
        <w:jc w:val="both"/>
        <w:rPr>
          <w:rFonts w:hint="default"/>
          <w:kern w:val="0"/>
          <w:highlight w:val="none"/>
          <w:lang w:val="en-US" w:eastAsia="zh-CN"/>
        </w:rPr>
      </w:pPr>
      <w:r>
        <w:rPr>
          <w:rFonts w:hint="eastAsia"/>
          <w:kern w:val="0"/>
          <w:sz w:val="28"/>
          <w:szCs w:val="28"/>
          <w:highlight w:val="none"/>
          <w:lang w:eastAsia="zh-CN"/>
        </w:rPr>
        <w:t>受托方（乙方）：</w:t>
      </w:r>
      <w:r>
        <w:rPr>
          <w:rFonts w:hint="eastAsia"/>
          <w:kern w:val="0"/>
          <w:sz w:val="28"/>
          <w:szCs w:val="28"/>
          <w:highlight w:val="none"/>
          <w:lang w:val="en-US" w:eastAsia="zh-CN"/>
        </w:rPr>
        <w:t xml:space="preserve">    </w:t>
      </w:r>
    </w:p>
    <w:p>
      <w:pPr>
        <w:pStyle w:val="22"/>
        <w:spacing w:line="531" w:lineRule="exact"/>
        <w:ind w:firstLine="620"/>
        <w:jc w:val="both"/>
        <w:rPr>
          <w:rFonts w:hint="default"/>
          <w:kern w:val="0"/>
          <w:highlight w:val="none"/>
          <w:lang w:val="en-US" w:eastAsia="zh-CN"/>
        </w:rPr>
      </w:pPr>
    </w:p>
    <w:p>
      <w:pPr>
        <w:pStyle w:val="22"/>
        <w:spacing w:line="531" w:lineRule="exact"/>
        <w:ind w:firstLine="620"/>
        <w:jc w:val="both"/>
        <w:rPr>
          <w:rFonts w:hint="eastAsia"/>
          <w:color w:val="auto"/>
          <w:kern w:val="0"/>
          <w:sz w:val="21"/>
          <w:szCs w:val="21"/>
          <w:highlight w:val="none"/>
          <w:lang w:val="en-US" w:eastAsia="zh-CN" w:bidi="ar-SA"/>
        </w:rPr>
      </w:pPr>
      <w:r>
        <w:rPr>
          <w:rFonts w:hint="eastAsia"/>
          <w:color w:val="auto"/>
          <w:kern w:val="0"/>
          <w:sz w:val="21"/>
          <w:szCs w:val="21"/>
          <w:highlight w:val="none"/>
          <w:lang w:val="en-US" w:eastAsia="zh-CN" w:bidi="ar-SA"/>
        </w:rPr>
        <w:t>依据《中华人民共和国民法典》及相关法律法规之规定，在甲、乙双方保证其主体资格合法的基础上，兹由甲方委托乙方对</w:t>
      </w:r>
      <w:r>
        <w:rPr>
          <w:rFonts w:hint="eastAsia" w:ascii="宋体" w:hAnsi="宋体"/>
          <w:color w:val="auto"/>
          <w:sz w:val="21"/>
          <w:szCs w:val="21"/>
          <w:highlight w:val="none"/>
          <w:lang w:val="en-US" w:eastAsia="zh-CN" w:bidi="ar-SA"/>
        </w:rPr>
        <w:t>投资大厦</w:t>
      </w:r>
      <w:r>
        <w:rPr>
          <w:rFonts w:hint="eastAsia"/>
          <w:color w:val="auto"/>
          <w:sz w:val="21"/>
          <w:szCs w:val="21"/>
          <w:highlight w:val="none"/>
          <w:lang w:val="en-US" w:eastAsia="zh-CN" w:bidi="ar-SA"/>
        </w:rPr>
        <w:t>进行</w:t>
      </w:r>
      <w:r>
        <w:rPr>
          <w:rFonts w:hint="eastAsia" w:ascii="宋体" w:hAnsi="宋体"/>
          <w:color w:val="auto"/>
          <w:sz w:val="21"/>
          <w:szCs w:val="21"/>
          <w:highlight w:val="none"/>
          <w:lang w:val="en-US" w:eastAsia="zh-CN" w:bidi="ar-SA"/>
        </w:rPr>
        <w:t>消防安全评估和建筑消防设施检测</w:t>
      </w:r>
      <w:r>
        <w:rPr>
          <w:rFonts w:hint="eastAsia"/>
          <w:color w:val="auto"/>
          <w:kern w:val="0"/>
          <w:sz w:val="21"/>
          <w:szCs w:val="21"/>
          <w:highlight w:val="none"/>
          <w:lang w:val="en-US" w:eastAsia="zh-CN" w:bidi="ar-SA"/>
        </w:rPr>
        <w:t>，双方约定如下：</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一、服务名称、内容</w:t>
      </w:r>
    </w:p>
    <w:p>
      <w:pPr>
        <w:pStyle w:val="24"/>
        <w:shd w:val="clear" w:color="auto" w:fill="FFFFFF"/>
        <w:spacing w:after="0" w:line="360" w:lineRule="auto"/>
        <w:ind w:right="40" w:firstLine="420" w:firstLineChars="200"/>
        <w:jc w:val="left"/>
        <w:rPr>
          <w:rFonts w:hint="eastAsia" w:hAnsi="宋体" w:eastAsia="宋体"/>
          <w:sz w:val="21"/>
          <w:szCs w:val="21"/>
        </w:rPr>
      </w:pPr>
      <w:r>
        <w:rPr>
          <w:rFonts w:hint="eastAsia" w:hAnsi="宋体" w:eastAsia="宋体"/>
          <w:sz w:val="21"/>
          <w:szCs w:val="21"/>
        </w:rPr>
        <w:t>（一）服务名称：投资大厦</w:t>
      </w:r>
      <w:r>
        <w:rPr>
          <w:rFonts w:hint="eastAsia" w:hAnsi="宋体" w:eastAsia="宋体"/>
          <w:sz w:val="21"/>
          <w:szCs w:val="21"/>
          <w:lang w:val="en-US" w:eastAsia="zh-CN"/>
        </w:rPr>
        <w:t>消防安全评估和建筑消防设施检测</w:t>
      </w:r>
      <w:r>
        <w:rPr>
          <w:rFonts w:hint="eastAsia" w:hAnsi="宋体" w:eastAsia="宋体"/>
          <w:sz w:val="21"/>
          <w:szCs w:val="21"/>
        </w:rPr>
        <w:t>。</w:t>
      </w:r>
    </w:p>
    <w:p>
      <w:pPr>
        <w:pStyle w:val="24"/>
        <w:shd w:val="clear" w:color="auto" w:fill="FFFFFF"/>
        <w:spacing w:after="0" w:line="360" w:lineRule="auto"/>
        <w:ind w:right="40" w:firstLine="420" w:firstLineChars="200"/>
        <w:jc w:val="left"/>
        <w:rPr>
          <w:rFonts w:hint="eastAsia" w:hAnsi="宋体" w:eastAsia="宋体"/>
          <w:sz w:val="21"/>
          <w:szCs w:val="21"/>
          <w:lang w:val="zh-CN" w:eastAsia="zh-CN"/>
        </w:rPr>
      </w:pPr>
      <w:r>
        <w:rPr>
          <w:rFonts w:hint="eastAsia" w:hAnsi="宋体" w:eastAsia="宋体"/>
          <w:sz w:val="21"/>
          <w:szCs w:val="21"/>
        </w:rPr>
        <w:t>（二）</w:t>
      </w:r>
      <w:r>
        <w:rPr>
          <w:rFonts w:hint="eastAsia" w:hAnsi="宋体" w:eastAsia="宋体"/>
          <w:sz w:val="21"/>
          <w:szCs w:val="21"/>
          <w:lang w:val="en-US" w:eastAsia="zh-CN"/>
        </w:rPr>
        <w:t>服务内容:</w:t>
      </w:r>
      <w:r>
        <w:rPr>
          <w:rFonts w:hint="eastAsia" w:hAnsi="宋体" w:eastAsia="宋体"/>
          <w:sz w:val="21"/>
          <w:szCs w:val="21"/>
          <w:lang w:val="zh-CN" w:eastAsia="zh-CN"/>
        </w:rPr>
        <w:t>完成本次招标范围内</w:t>
      </w:r>
      <w:r>
        <w:rPr>
          <w:rFonts w:hint="eastAsia" w:hAnsi="宋体" w:eastAsia="宋体"/>
          <w:sz w:val="21"/>
          <w:szCs w:val="21"/>
          <w:lang w:val="en-US" w:eastAsia="zh-CN"/>
        </w:rPr>
        <w:t>场地的现场评估检查，排查消防安全隐患和风险，并提出整改方案；出具《消防安全评估报告》和《建筑消防设施检测报告》</w:t>
      </w:r>
      <w:r>
        <w:rPr>
          <w:rFonts w:hint="eastAsia" w:hAnsi="宋体" w:eastAsia="宋体"/>
          <w:sz w:val="21"/>
          <w:szCs w:val="21"/>
          <w:lang w:val="zh-CN" w:eastAsia="zh-CN"/>
        </w:rPr>
        <w:t>。</w:t>
      </w:r>
    </w:p>
    <w:p>
      <w:pPr>
        <w:numPr>
          <w:ilvl w:val="0"/>
          <w:numId w:val="1"/>
        </w:numPr>
        <w:spacing w:line="360" w:lineRule="auto"/>
        <w:ind w:firstLine="422" w:firstLineChars="200"/>
        <w:rPr>
          <w:rFonts w:ascii="宋体" w:hAnsi="宋体"/>
          <w:b/>
          <w:bCs/>
          <w:szCs w:val="21"/>
        </w:rPr>
      </w:pPr>
      <w:r>
        <w:rPr>
          <w:rFonts w:hint="eastAsia" w:ascii="宋体" w:hAnsi="宋体"/>
          <w:b/>
          <w:bCs/>
          <w:szCs w:val="21"/>
        </w:rPr>
        <w:t>检测费用及支付方式</w:t>
      </w:r>
    </w:p>
    <w:p>
      <w:pPr>
        <w:spacing w:line="360" w:lineRule="auto"/>
        <w:ind w:firstLine="420" w:firstLineChars="200"/>
        <w:rPr>
          <w:rFonts w:ascii="宋体" w:hAnsi="宋体"/>
          <w:szCs w:val="21"/>
        </w:rPr>
      </w:pPr>
      <w:r>
        <w:rPr>
          <w:rFonts w:hint="eastAsia" w:ascii="宋体" w:hAnsi="宋体"/>
          <w:szCs w:val="21"/>
        </w:rPr>
        <w:t>1、检测费用：</w:t>
      </w:r>
    </w:p>
    <w:p>
      <w:pPr>
        <w:spacing w:line="360" w:lineRule="auto"/>
        <w:ind w:firstLine="420" w:firstLineChars="200"/>
        <w:rPr>
          <w:rFonts w:ascii="宋体" w:hAnsi="宋体" w:cs="宋体"/>
          <w:kern w:val="0"/>
          <w:szCs w:val="21"/>
        </w:rPr>
      </w:pPr>
      <w:r>
        <w:rPr>
          <w:rFonts w:ascii="宋体" w:hAnsi="宋体" w:cs="宋体"/>
          <w:kern w:val="0"/>
          <w:szCs w:val="21"/>
        </w:rPr>
        <w:t>本次项目建筑面积约</w:t>
      </w:r>
      <w:r>
        <w:rPr>
          <w:rFonts w:hint="eastAsia" w:ascii="宋体" w:hAnsi="宋体" w:cs="宋体"/>
          <w:kern w:val="0"/>
          <w:szCs w:val="21"/>
        </w:rPr>
        <w:t>11567m</w:t>
      </w:r>
      <w:r>
        <w:rPr>
          <w:rFonts w:hint="eastAsia" w:ascii="宋体" w:hAnsi="宋体" w:cs="宋体"/>
          <w:kern w:val="0"/>
          <w:szCs w:val="21"/>
          <w:vertAlign w:val="superscript"/>
        </w:rPr>
        <w:t>2</w:t>
      </w:r>
      <w:r>
        <w:rPr>
          <w:rFonts w:hint="eastAsia" w:ascii="宋体" w:hAnsi="宋体" w:cs="宋体"/>
          <w:kern w:val="0"/>
          <w:szCs w:val="21"/>
        </w:rPr>
        <w:t>，</w:t>
      </w:r>
      <w:r>
        <w:rPr>
          <w:rFonts w:hint="eastAsia" w:ascii="宋体" w:hAnsi="宋体" w:eastAsia="宋体" w:cs="宋体"/>
          <w:kern w:val="0"/>
          <w:szCs w:val="21"/>
          <w:lang w:val="en-US" w:eastAsia="zh-CN"/>
        </w:rPr>
        <w:t>消防安全评估和建筑消防设施检测</w:t>
      </w:r>
      <w:r>
        <w:rPr>
          <w:rFonts w:ascii="宋体" w:hAnsi="宋体" w:cs="宋体"/>
          <w:kern w:val="0"/>
          <w:szCs w:val="21"/>
        </w:rPr>
        <w:t>费用优惠后总价为</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u w:val="single"/>
        </w:rPr>
        <w:t>元</w:t>
      </w:r>
      <w:r>
        <w:rPr>
          <w:rFonts w:ascii="宋体" w:hAnsi="宋体" w:cs="宋体"/>
          <w:kern w:val="0"/>
          <w:szCs w:val="21"/>
        </w:rPr>
        <w:t>（大写：</w:t>
      </w:r>
      <w:r>
        <w:rPr>
          <w:rFonts w:hint="eastAsia" w:ascii="宋体" w:hAnsi="宋体" w:cs="宋体"/>
          <w:kern w:val="0"/>
          <w:szCs w:val="21"/>
        </w:rPr>
        <w:t>元整</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含税</w:t>
      </w:r>
      <w:r>
        <w:rPr>
          <w:rFonts w:hint="eastAsia" w:ascii="宋体" w:hAnsi="宋体" w:cs="宋体"/>
          <w:kern w:val="0"/>
          <w:szCs w:val="21"/>
        </w:rPr>
        <w:t>6％增值税专用发票。</w:t>
      </w:r>
      <w:r>
        <w:rPr>
          <w:rFonts w:hint="eastAsia" w:ascii="宋体" w:hAnsi="宋体" w:cs="宋体"/>
          <w:kern w:val="0"/>
          <w:szCs w:val="21"/>
          <w:lang w:val="en-US" w:eastAsia="zh-CN"/>
        </w:rPr>
        <w:t>前述</w:t>
      </w:r>
      <w:r>
        <w:rPr>
          <w:rFonts w:hint="eastAsia" w:ascii="宋体" w:hAnsi="宋体" w:cs="宋体"/>
          <w:kern w:val="0"/>
          <w:szCs w:val="21"/>
        </w:rPr>
        <w:t>总价一次性包死，中标后不予调整。为完成</w:t>
      </w:r>
      <w:r>
        <w:rPr>
          <w:rFonts w:hint="eastAsia" w:ascii="宋体" w:hAnsi="宋体" w:eastAsia="宋体" w:cs="宋体"/>
          <w:kern w:val="0"/>
          <w:sz w:val="21"/>
          <w:szCs w:val="21"/>
        </w:rPr>
        <w:t>投资大厦</w:t>
      </w:r>
      <w:r>
        <w:rPr>
          <w:rFonts w:hint="eastAsia" w:ascii="宋体" w:hAnsi="宋体" w:cs="宋体"/>
          <w:color w:val="auto"/>
          <w:kern w:val="0"/>
          <w:sz w:val="21"/>
          <w:szCs w:val="21"/>
          <w:lang w:val="en-US" w:eastAsia="zh-CN"/>
        </w:rPr>
        <w:t>消防安全评估和建筑消防设施检测</w:t>
      </w:r>
      <w:r>
        <w:rPr>
          <w:rFonts w:hint="eastAsia" w:ascii="宋体" w:hAnsi="宋体" w:cs="宋体"/>
          <w:kern w:val="0"/>
          <w:szCs w:val="21"/>
        </w:rPr>
        <w:t>及成果提交所涉及的所有材料、资料、劳务、利润、税金、政策性文件规定及合同包含的所有风险、责任、义务等一切应有费用。除本合同另有约定外，甲方无需向乙方</w:t>
      </w:r>
      <w:r>
        <w:rPr>
          <w:rFonts w:hint="eastAsia" w:ascii="宋体" w:hAnsi="宋体" w:cs="宋体"/>
          <w:kern w:val="0"/>
          <w:szCs w:val="21"/>
          <w:lang w:val="en-US" w:eastAsia="zh-CN"/>
        </w:rPr>
        <w:t>或其他第三方</w:t>
      </w:r>
      <w:r>
        <w:rPr>
          <w:rFonts w:hint="eastAsia" w:ascii="宋体" w:hAnsi="宋体" w:cs="宋体"/>
          <w:kern w:val="0"/>
          <w:szCs w:val="21"/>
        </w:rPr>
        <w:t>支付任何其他费用。</w:t>
      </w:r>
    </w:p>
    <w:p>
      <w:pPr>
        <w:spacing w:line="360" w:lineRule="auto"/>
        <w:ind w:firstLine="420" w:firstLineChars="200"/>
        <w:rPr>
          <w:rFonts w:ascii="宋体" w:hAnsi="宋体" w:cs="宋体"/>
          <w:kern w:val="0"/>
          <w:szCs w:val="21"/>
        </w:rPr>
      </w:pPr>
      <w:r>
        <w:rPr>
          <w:rFonts w:hint="eastAsia" w:ascii="宋体" w:hAnsi="宋体" w:cs="宋体"/>
          <w:kern w:val="0"/>
          <w:szCs w:val="21"/>
        </w:rPr>
        <w:t>2、支付方式</w:t>
      </w:r>
    </w:p>
    <w:p>
      <w:pPr>
        <w:spacing w:line="360" w:lineRule="auto"/>
        <w:ind w:firstLine="420" w:firstLineChars="200"/>
      </w:pPr>
      <w:commentRangeStart w:id="0"/>
      <w:r>
        <w:rPr>
          <w:rFonts w:hint="default" w:ascii="宋体" w:hAnsi="宋体" w:eastAsia="宋体" w:cs="宋体"/>
          <w:b w:val="0"/>
          <w:bCs w:val="0"/>
          <w:kern w:val="0"/>
          <w:szCs w:val="21"/>
          <w:lang w:val="en-US" w:eastAsia="zh-CN"/>
        </w:rPr>
        <w:t>在乙方完成投资大厦项目</w:t>
      </w:r>
      <w:r>
        <w:rPr>
          <w:rFonts w:hint="eastAsia" w:ascii="宋体" w:hAnsi="宋体" w:eastAsia="宋体" w:cs="宋体"/>
          <w:b w:val="0"/>
          <w:bCs w:val="0"/>
          <w:kern w:val="0"/>
          <w:szCs w:val="21"/>
          <w:lang w:val="en-US" w:eastAsia="zh-CN"/>
        </w:rPr>
        <w:t>消防安全评估和建筑消防设施检测</w:t>
      </w:r>
      <w:r>
        <w:rPr>
          <w:rFonts w:hint="default" w:ascii="宋体" w:hAnsi="宋体" w:eastAsia="宋体" w:cs="宋体"/>
          <w:b w:val="0"/>
          <w:bCs w:val="0"/>
          <w:kern w:val="0"/>
          <w:szCs w:val="21"/>
          <w:lang w:val="en-US" w:eastAsia="zh-CN"/>
        </w:rPr>
        <w:t>并出具</w:t>
      </w:r>
      <w:r>
        <w:rPr>
          <w:rFonts w:hint="eastAsia" w:ascii="宋体" w:hAnsi="宋体" w:eastAsia="宋体" w:cs="宋体"/>
          <w:b w:val="0"/>
          <w:bCs w:val="0"/>
          <w:kern w:val="0"/>
          <w:szCs w:val="21"/>
          <w:lang w:val="en-US" w:eastAsia="zh-CN"/>
        </w:rPr>
        <w:t>《消防安全评估报告》和《建筑消防设施检测报告》</w:t>
      </w:r>
      <w:r>
        <w:rPr>
          <w:rFonts w:hint="default" w:ascii="宋体" w:hAnsi="宋体" w:eastAsia="宋体" w:cs="宋体"/>
          <w:b w:val="0"/>
          <w:bCs w:val="0"/>
          <w:kern w:val="0"/>
          <w:szCs w:val="21"/>
          <w:lang w:val="en-US" w:eastAsia="zh-CN"/>
        </w:rPr>
        <w:t>，</w:t>
      </w:r>
      <w:r>
        <w:rPr>
          <w:rFonts w:hint="default" w:ascii="宋体" w:hAnsi="宋体" w:cs="宋体"/>
          <w:b w:val="0"/>
          <w:bCs w:val="0"/>
          <w:kern w:val="0"/>
          <w:szCs w:val="21"/>
          <w:lang w:val="en-US" w:eastAsia="zh-CN"/>
        </w:rPr>
        <w:t>且</w:t>
      </w:r>
      <w:r>
        <w:rPr>
          <w:rFonts w:hint="eastAsia" w:ascii="宋体" w:hAnsi="宋体" w:cs="宋体"/>
          <w:b w:val="0"/>
          <w:bCs w:val="0"/>
          <w:kern w:val="0"/>
          <w:szCs w:val="21"/>
          <w:lang w:val="en-US" w:eastAsia="zh-CN"/>
        </w:rPr>
        <w:t>乙方</w:t>
      </w:r>
      <w:r>
        <w:rPr>
          <w:rFonts w:hint="default" w:ascii="宋体" w:hAnsi="宋体" w:cs="宋体"/>
          <w:b w:val="0"/>
          <w:bCs w:val="0"/>
          <w:kern w:val="0"/>
          <w:szCs w:val="21"/>
          <w:lang w:val="en-US" w:eastAsia="zh-CN"/>
        </w:rPr>
        <w:t>提供相应金额的增值税专用发票后</w:t>
      </w:r>
      <w:r>
        <w:rPr>
          <w:rFonts w:hint="eastAsia" w:ascii="宋体" w:hAnsi="宋体" w:cs="宋体"/>
          <w:b w:val="0"/>
          <w:bCs w:val="0"/>
          <w:kern w:val="0"/>
          <w:szCs w:val="21"/>
          <w:lang w:val="en-US" w:eastAsia="zh-CN"/>
        </w:rPr>
        <w:t>，甲方30日内</w:t>
      </w:r>
      <w:r>
        <w:rPr>
          <w:rFonts w:hint="default" w:ascii="宋体" w:hAnsi="宋体" w:cs="宋体"/>
          <w:b w:val="0"/>
          <w:bCs w:val="0"/>
          <w:kern w:val="0"/>
          <w:szCs w:val="21"/>
          <w:lang w:val="en-US" w:eastAsia="zh-CN"/>
        </w:rPr>
        <w:t>支付全部合同价款。</w:t>
      </w:r>
      <w:commentRangeEnd w:id="0"/>
      <w:r>
        <w:commentReference w:id="0"/>
      </w:r>
    </w:p>
    <w:p>
      <w:pPr>
        <w:spacing w:line="360" w:lineRule="auto"/>
        <w:ind w:firstLine="422" w:firstLineChars="200"/>
        <w:rPr>
          <w:rFonts w:ascii="宋体" w:hAnsi="宋体"/>
          <w:b/>
          <w:bCs/>
          <w:szCs w:val="21"/>
        </w:rPr>
      </w:pPr>
      <w:r>
        <w:rPr>
          <w:rFonts w:hint="eastAsia" w:ascii="宋体" w:hAnsi="宋体"/>
          <w:b/>
          <w:bCs/>
          <w:szCs w:val="21"/>
        </w:rPr>
        <w:t>三、</w:t>
      </w:r>
      <w:r>
        <w:rPr>
          <w:rFonts w:hint="eastAsia" w:ascii="宋体" w:hAnsi="宋体"/>
          <w:b/>
          <w:bCs/>
          <w:szCs w:val="21"/>
          <w:lang w:val="en-US" w:eastAsia="zh-CN"/>
        </w:rPr>
        <w:t>服务期限</w:t>
      </w:r>
      <w:r>
        <w:rPr>
          <w:rFonts w:hint="eastAsia" w:ascii="宋体" w:hAnsi="宋体"/>
          <w:b/>
          <w:bCs/>
          <w:szCs w:val="21"/>
        </w:rPr>
        <w:t>：</w:t>
      </w:r>
    </w:p>
    <w:p>
      <w:pPr>
        <w:spacing w:line="360" w:lineRule="auto"/>
        <w:ind w:firstLine="420" w:firstLineChars="200"/>
        <w:rPr>
          <w:rFonts w:hint="eastAsia" w:ascii="宋体" w:hAnsi="宋体" w:eastAsia="宋体" w:cs="宋体"/>
          <w:b w:val="0"/>
          <w:bCs w:val="0"/>
          <w:kern w:val="0"/>
          <w:szCs w:val="21"/>
          <w:lang w:val="zh-CN" w:eastAsia="zh-CN"/>
        </w:rPr>
      </w:pPr>
      <w:r>
        <w:rPr>
          <w:rFonts w:hint="eastAsia" w:ascii="宋体" w:hAnsi="宋体" w:eastAsia="宋体" w:cs="宋体"/>
          <w:b w:val="0"/>
          <w:bCs w:val="0"/>
          <w:kern w:val="0"/>
          <w:szCs w:val="21"/>
          <w:lang w:val="zh-CN" w:eastAsia="zh-CN"/>
        </w:rPr>
        <w:t>自合同签订之日起</w:t>
      </w:r>
      <w:r>
        <w:rPr>
          <w:rFonts w:hint="eastAsia" w:ascii="宋体" w:hAnsi="宋体" w:eastAsia="宋体" w:cs="宋体"/>
          <w:b w:val="0"/>
          <w:bCs w:val="0"/>
          <w:kern w:val="0"/>
          <w:szCs w:val="21"/>
          <w:lang w:val="en-US" w:eastAsia="zh-CN"/>
        </w:rPr>
        <w:t>七日内完成现场评估检查，排查消防安全隐患和风险，并提出整改方案；业主单位完成整改工作后七日内完成消防安全评估，并出具《消防安全评估报告》和《建筑消防设施检测报告》</w:t>
      </w:r>
      <w:r>
        <w:rPr>
          <w:rFonts w:hint="eastAsia" w:ascii="宋体" w:hAnsi="宋体" w:eastAsia="宋体" w:cs="宋体"/>
          <w:b w:val="0"/>
          <w:bCs w:val="0"/>
          <w:kern w:val="0"/>
          <w:szCs w:val="21"/>
          <w:lang w:val="zh-CN" w:eastAsia="zh-CN"/>
        </w:rPr>
        <w:t>。</w:t>
      </w:r>
    </w:p>
    <w:p>
      <w:pPr>
        <w:autoSpaceDE w:val="0"/>
        <w:autoSpaceDN w:val="0"/>
        <w:adjustRightInd w:val="0"/>
        <w:spacing w:line="360" w:lineRule="auto"/>
        <w:ind w:left="480"/>
        <w:rPr>
          <w:rFonts w:ascii="宋体" w:hAnsi="宋体"/>
          <w:b/>
          <w:bCs/>
          <w:spacing w:val="2"/>
          <w:szCs w:val="21"/>
        </w:rPr>
      </w:pPr>
      <w:r>
        <w:rPr>
          <w:rFonts w:hint="eastAsia" w:ascii="宋体" w:hAnsi="宋体"/>
          <w:b/>
          <w:bCs/>
          <w:szCs w:val="21"/>
        </w:rPr>
        <w:t>四、履约保证金</w:t>
      </w:r>
    </w:p>
    <w:p>
      <w:pPr>
        <w:spacing w:line="360" w:lineRule="auto"/>
        <w:ind w:firstLine="428" w:firstLineChars="200"/>
        <w:rPr>
          <w:rFonts w:hint="eastAsia" w:ascii="宋体" w:hAnsi="宋体"/>
          <w:spacing w:val="2"/>
          <w:szCs w:val="21"/>
        </w:rPr>
      </w:pPr>
      <w:r>
        <w:rPr>
          <w:rFonts w:hint="eastAsia" w:ascii="宋体" w:hAnsi="宋体"/>
          <w:spacing w:val="2"/>
          <w:szCs w:val="21"/>
        </w:rPr>
        <w:t>合同履约保证金为人民币</w:t>
      </w:r>
      <w:r>
        <w:rPr>
          <w:rFonts w:hint="eastAsia" w:ascii="宋体" w:hAnsi="宋体"/>
          <w:spacing w:val="2"/>
          <w:szCs w:val="21"/>
          <w:u w:val="single"/>
        </w:rPr>
        <w:t xml:space="preserve"> 零元</w:t>
      </w:r>
      <w:r>
        <w:rPr>
          <w:rFonts w:hint="eastAsia" w:ascii="宋体" w:hAnsi="宋体"/>
          <w:spacing w:val="2"/>
          <w:szCs w:val="21"/>
        </w:rPr>
        <w:t>整（¥</w:t>
      </w:r>
      <w:r>
        <w:rPr>
          <w:rFonts w:hint="eastAsia" w:ascii="宋体" w:hAnsi="宋体"/>
          <w:spacing w:val="2"/>
          <w:szCs w:val="21"/>
          <w:u w:val="single"/>
        </w:rPr>
        <w:t xml:space="preserve"> 0.00 </w:t>
      </w:r>
      <w:r>
        <w:rPr>
          <w:rFonts w:hint="eastAsia" w:ascii="宋体" w:hAnsi="宋体"/>
          <w:spacing w:val="2"/>
          <w:szCs w:val="21"/>
        </w:rPr>
        <w:t>元），乙方应在合同签订后5日内将履约保证金支付给甲方。如乙方合作期间无违约情况发生，该保证金在合作期满后30日内退还乙方（不计息）；如乙方发生违约行为，则违约金将直接从履约保证金中扣除，履约保证金不足部分，乙方应在履约保证金扣除之日</w:t>
      </w:r>
      <w:r>
        <w:rPr>
          <w:rFonts w:hint="eastAsia" w:ascii="宋体" w:hAnsi="宋体"/>
          <w:spacing w:val="2"/>
          <w:szCs w:val="21"/>
          <w:u w:val="single"/>
        </w:rPr>
        <w:t>10</w:t>
      </w:r>
      <w:r>
        <w:rPr>
          <w:rFonts w:hint="eastAsia" w:ascii="宋体" w:hAnsi="宋体"/>
          <w:spacing w:val="2"/>
          <w:szCs w:val="21"/>
        </w:rPr>
        <w:t>日内补足。</w:t>
      </w:r>
    </w:p>
    <w:p>
      <w:pPr>
        <w:spacing w:line="360" w:lineRule="auto"/>
        <w:ind w:firstLine="422" w:firstLineChars="200"/>
        <w:rPr>
          <w:rFonts w:ascii="宋体" w:hAnsi="宋体"/>
          <w:b/>
          <w:bCs/>
          <w:szCs w:val="21"/>
        </w:rPr>
      </w:pPr>
      <w:r>
        <w:rPr>
          <w:rFonts w:hint="eastAsia" w:ascii="宋体" w:hAnsi="宋体"/>
          <w:b/>
          <w:bCs/>
          <w:szCs w:val="21"/>
        </w:rPr>
        <w:t>五、乙方责任：</w:t>
      </w:r>
    </w:p>
    <w:p>
      <w:pPr>
        <w:spacing w:line="450" w:lineRule="exact"/>
        <w:ind w:firstLine="409" w:firstLineChars="195"/>
        <w:rPr>
          <w:rFonts w:ascii="宋体" w:hAnsi="宋体"/>
          <w:szCs w:val="21"/>
        </w:rPr>
      </w:pPr>
      <w:r>
        <w:rPr>
          <w:rFonts w:ascii="宋体" w:hAnsi="宋体"/>
          <w:szCs w:val="21"/>
        </w:rPr>
        <w:t>1、按照国家有关标准规范进行</w:t>
      </w:r>
      <w:r>
        <w:rPr>
          <w:rFonts w:hint="eastAsia" w:ascii="宋体" w:hAnsi="宋体"/>
          <w:szCs w:val="21"/>
          <w:lang w:val="en-US" w:eastAsia="zh-CN"/>
        </w:rPr>
        <w:t>安全评估和建筑设施消防检测</w:t>
      </w:r>
      <w:r>
        <w:rPr>
          <w:rFonts w:ascii="宋体" w:hAnsi="宋体"/>
          <w:szCs w:val="21"/>
        </w:rPr>
        <w:t>，无标准的</w:t>
      </w:r>
      <w:r>
        <w:rPr>
          <w:rFonts w:hint="eastAsia" w:ascii="宋体" w:hAnsi="宋体"/>
          <w:szCs w:val="21"/>
          <w:lang w:val="en-US" w:eastAsia="zh-CN"/>
        </w:rPr>
        <w:t>评估、</w:t>
      </w:r>
      <w:r>
        <w:rPr>
          <w:rFonts w:ascii="宋体" w:hAnsi="宋体"/>
          <w:szCs w:val="21"/>
        </w:rPr>
        <w:t>检测项目参照有关地方标准、企业标准或标准报批（送审）稿进行。保证</w:t>
      </w:r>
      <w:r>
        <w:rPr>
          <w:rFonts w:hint="eastAsia" w:ascii="宋体" w:hAnsi="宋体"/>
          <w:szCs w:val="21"/>
          <w:lang w:val="en-US" w:eastAsia="zh-CN"/>
        </w:rPr>
        <w:t>评估、检测工作</w:t>
      </w:r>
      <w:r>
        <w:rPr>
          <w:rFonts w:ascii="宋体" w:hAnsi="宋体"/>
          <w:szCs w:val="21"/>
        </w:rPr>
        <w:t>质量，并对其出具的报告负责。</w:t>
      </w:r>
    </w:p>
    <w:p>
      <w:pPr>
        <w:spacing w:line="450" w:lineRule="exact"/>
        <w:ind w:firstLine="409" w:firstLineChars="195"/>
        <w:rPr>
          <w:rFonts w:ascii="宋体" w:hAnsi="宋体"/>
          <w:szCs w:val="21"/>
        </w:rPr>
      </w:pPr>
      <w:r>
        <w:rPr>
          <w:rFonts w:ascii="宋体" w:hAnsi="宋体"/>
          <w:szCs w:val="21"/>
        </w:rPr>
        <w:t>2、根据甲方委托</w:t>
      </w:r>
      <w:r>
        <w:rPr>
          <w:rFonts w:hint="eastAsia" w:ascii="宋体" w:hAnsi="宋体"/>
          <w:szCs w:val="21"/>
          <w:lang w:val="en-US" w:eastAsia="zh-CN"/>
        </w:rPr>
        <w:t>服务</w:t>
      </w:r>
      <w:r>
        <w:rPr>
          <w:rFonts w:ascii="宋体" w:hAnsi="宋体"/>
          <w:szCs w:val="21"/>
        </w:rPr>
        <w:t>内容组织实施现场</w:t>
      </w:r>
      <w:r>
        <w:rPr>
          <w:rFonts w:hint="eastAsia" w:ascii="宋体" w:hAnsi="宋体"/>
          <w:szCs w:val="21"/>
          <w:lang w:val="en-US" w:eastAsia="zh-CN"/>
        </w:rPr>
        <w:t>评估、检测工作</w:t>
      </w:r>
      <w:r>
        <w:rPr>
          <w:rFonts w:ascii="宋体" w:hAnsi="宋体"/>
          <w:szCs w:val="21"/>
        </w:rPr>
        <w:t>，</w:t>
      </w:r>
      <w:r>
        <w:rPr>
          <w:rFonts w:hint="eastAsia" w:ascii="宋体" w:hAnsi="宋体" w:eastAsia="宋体" w:cs="宋体"/>
          <w:b w:val="0"/>
          <w:bCs w:val="0"/>
          <w:kern w:val="0"/>
          <w:szCs w:val="21"/>
          <w:lang w:val="en-US" w:eastAsia="zh-CN"/>
        </w:rPr>
        <w:t>提出</w:t>
      </w:r>
      <w:r>
        <w:rPr>
          <w:rFonts w:hint="eastAsia" w:ascii="宋体" w:hAnsi="宋体" w:cs="宋体"/>
          <w:b w:val="0"/>
          <w:bCs w:val="0"/>
          <w:kern w:val="0"/>
          <w:szCs w:val="21"/>
          <w:lang w:val="en-US" w:eastAsia="zh-CN"/>
        </w:rPr>
        <w:t>合理的</w:t>
      </w:r>
      <w:r>
        <w:rPr>
          <w:rFonts w:hint="eastAsia" w:ascii="宋体" w:hAnsi="宋体" w:eastAsia="宋体" w:cs="宋体"/>
          <w:b w:val="0"/>
          <w:bCs w:val="0"/>
          <w:kern w:val="0"/>
          <w:szCs w:val="21"/>
          <w:lang w:val="en-US" w:eastAsia="zh-CN"/>
        </w:rPr>
        <w:t>整改方案</w:t>
      </w:r>
      <w:r>
        <w:rPr>
          <w:rFonts w:hint="eastAsia" w:ascii="宋体" w:hAnsi="宋体" w:cs="宋体"/>
          <w:b w:val="0"/>
          <w:bCs w:val="0"/>
          <w:kern w:val="0"/>
          <w:szCs w:val="21"/>
          <w:lang w:val="en-US" w:eastAsia="zh-CN"/>
        </w:rPr>
        <w:t>，</w:t>
      </w:r>
      <w:r>
        <w:rPr>
          <w:rFonts w:ascii="宋体" w:hAnsi="宋体"/>
          <w:szCs w:val="21"/>
        </w:rPr>
        <w:t>并为甲方提供优质的服务和技术支持。</w:t>
      </w:r>
    </w:p>
    <w:p>
      <w:pPr>
        <w:spacing w:line="450" w:lineRule="exact"/>
        <w:ind w:firstLine="409" w:firstLineChars="195"/>
        <w:rPr>
          <w:rFonts w:ascii="宋体" w:hAnsi="宋体"/>
          <w:szCs w:val="21"/>
        </w:rPr>
      </w:pPr>
      <w:r>
        <w:rPr>
          <w:rFonts w:ascii="宋体" w:hAnsi="宋体"/>
          <w:szCs w:val="21"/>
        </w:rPr>
        <w:t>3、</w:t>
      </w:r>
      <w:r>
        <w:rPr>
          <w:rFonts w:hint="eastAsia" w:ascii="宋体" w:hAnsi="宋体"/>
          <w:szCs w:val="21"/>
          <w:lang w:val="en-US" w:eastAsia="zh-CN"/>
        </w:rPr>
        <w:t>严格按服务期限要求，向</w:t>
      </w:r>
      <w:r>
        <w:rPr>
          <w:rFonts w:ascii="宋体" w:hAnsi="宋体"/>
          <w:szCs w:val="21"/>
        </w:rPr>
        <w:t>甲方</w:t>
      </w:r>
      <w:r>
        <w:rPr>
          <w:rFonts w:hint="eastAsia" w:ascii="宋体" w:hAnsi="宋体"/>
          <w:szCs w:val="21"/>
          <w:lang w:val="en-US" w:eastAsia="zh-CN"/>
        </w:rPr>
        <w:t>提交</w:t>
      </w:r>
      <w:r>
        <w:rPr>
          <w:rFonts w:hint="eastAsia" w:ascii="宋体" w:hAnsi="宋体" w:eastAsia="宋体" w:cs="宋体"/>
          <w:b w:val="0"/>
          <w:bCs w:val="0"/>
          <w:kern w:val="0"/>
          <w:szCs w:val="21"/>
          <w:lang w:val="en-US" w:eastAsia="zh-CN"/>
        </w:rPr>
        <w:t>《消防安全评估报告》和《建筑消防设施检测报告》各</w:t>
      </w:r>
      <w:r>
        <w:rPr>
          <w:rFonts w:ascii="宋体" w:hAnsi="宋体"/>
          <w:szCs w:val="21"/>
        </w:rPr>
        <w:t>一式</w:t>
      </w:r>
      <w:r>
        <w:rPr>
          <w:rFonts w:hint="eastAsia" w:ascii="宋体" w:hAnsi="宋体"/>
          <w:szCs w:val="21"/>
        </w:rPr>
        <w:t>肆</w:t>
      </w:r>
      <w:r>
        <w:rPr>
          <w:rFonts w:ascii="宋体" w:hAnsi="宋体"/>
          <w:szCs w:val="21"/>
        </w:rPr>
        <w:t>份。</w:t>
      </w:r>
    </w:p>
    <w:p>
      <w:pPr>
        <w:pStyle w:val="25"/>
        <w:ind w:firstLine="420" w:firstLineChars="200"/>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4、乙方在相关工作过程中，造成自身或者任何第三方财产或者人身损害，由此所导致的一切责任由乙方自行承担，甲方对此不承担任何责任。</w:t>
      </w:r>
    </w:p>
    <w:p>
      <w:pPr>
        <w:pStyle w:val="25"/>
        <w:ind w:firstLine="420" w:firstLineChars="200"/>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5、本次服务项目相关人员由乙方安排，人工工资由乙方支付。所有涉及检测的相关费用均由乙方支付。</w:t>
      </w:r>
    </w:p>
    <w:p>
      <w:pPr>
        <w:spacing w:line="360" w:lineRule="auto"/>
        <w:rPr>
          <w:rFonts w:ascii="宋体" w:hAnsi="宋体"/>
          <w:b/>
          <w:bCs/>
          <w:szCs w:val="21"/>
        </w:rPr>
      </w:pPr>
      <w:r>
        <w:rPr>
          <w:rFonts w:hint="eastAsia" w:ascii="宋体" w:hAnsi="宋体"/>
          <w:b/>
          <w:bCs/>
          <w:szCs w:val="21"/>
        </w:rPr>
        <w:t>六、甲方责任：</w:t>
      </w:r>
    </w:p>
    <w:p>
      <w:pPr>
        <w:pStyle w:val="26"/>
        <w:numPr>
          <w:ilvl w:val="0"/>
          <w:numId w:val="2"/>
        </w:numPr>
        <w:spacing w:line="450" w:lineRule="exact"/>
        <w:ind w:left="0" w:firstLine="420"/>
        <w:rPr>
          <w:rFonts w:ascii="宋体" w:hAnsi="宋体"/>
          <w:szCs w:val="21"/>
        </w:rPr>
      </w:pPr>
      <w:r>
        <w:rPr>
          <w:rFonts w:ascii="宋体" w:hAnsi="宋体"/>
          <w:szCs w:val="21"/>
        </w:rPr>
        <w:t>提供</w:t>
      </w:r>
      <w:r>
        <w:rPr>
          <w:rFonts w:hint="default" w:ascii="宋体" w:hAnsi="宋体"/>
          <w:szCs w:val="21"/>
        </w:rPr>
        <w:t>投资大厦（翠庭园会所）原建筑、结构</w:t>
      </w:r>
      <w:r>
        <w:rPr>
          <w:rFonts w:hint="eastAsia" w:ascii="宋体" w:hAnsi="宋体"/>
          <w:szCs w:val="21"/>
          <w:lang w:val="en-US" w:eastAsia="zh-CN"/>
        </w:rPr>
        <w:t>等</w:t>
      </w:r>
      <w:r>
        <w:rPr>
          <w:rFonts w:hint="default" w:ascii="宋体" w:hAnsi="宋体"/>
          <w:szCs w:val="21"/>
        </w:rPr>
        <w:t>设计图纸（包括变更图纸）以及地质勘察报告。</w:t>
      </w:r>
    </w:p>
    <w:p>
      <w:pPr>
        <w:spacing w:line="450" w:lineRule="exact"/>
        <w:ind w:firstLine="420" w:firstLineChars="200"/>
        <w:rPr>
          <w:rFonts w:ascii="宋体" w:hAnsi="宋体"/>
          <w:szCs w:val="21"/>
        </w:rPr>
      </w:pPr>
      <w:r>
        <w:rPr>
          <w:rFonts w:hint="eastAsia" w:ascii="宋体" w:hAnsi="宋体"/>
          <w:szCs w:val="21"/>
        </w:rPr>
        <w:t>2</w:t>
      </w:r>
      <w:r>
        <w:rPr>
          <w:rFonts w:ascii="宋体" w:hAnsi="宋体"/>
          <w:szCs w:val="21"/>
        </w:rPr>
        <w:t>、提供</w:t>
      </w:r>
      <w:r>
        <w:rPr>
          <w:rFonts w:hint="eastAsia" w:ascii="宋体" w:hAnsi="宋体"/>
          <w:szCs w:val="21"/>
        </w:rPr>
        <w:t>2名人员配合现场</w:t>
      </w:r>
      <w:r>
        <w:rPr>
          <w:rFonts w:hint="eastAsia" w:ascii="宋体" w:hAnsi="宋体"/>
          <w:szCs w:val="21"/>
          <w:lang w:val="en-US" w:eastAsia="zh-CN"/>
        </w:rPr>
        <w:t>评估及</w:t>
      </w:r>
      <w:r>
        <w:rPr>
          <w:rFonts w:hint="eastAsia" w:ascii="宋体" w:hAnsi="宋体"/>
          <w:szCs w:val="21"/>
        </w:rPr>
        <w:t>检测</w:t>
      </w:r>
      <w:r>
        <w:rPr>
          <w:rFonts w:hint="eastAsia" w:ascii="宋体" w:hAnsi="宋体"/>
          <w:szCs w:val="21"/>
          <w:lang w:val="en-US" w:eastAsia="zh-CN"/>
        </w:rPr>
        <w:t>活动</w:t>
      </w:r>
      <w:r>
        <w:rPr>
          <w:rFonts w:hint="eastAsia" w:ascii="宋体" w:hAnsi="宋体"/>
          <w:szCs w:val="21"/>
        </w:rPr>
        <w:t>，</w:t>
      </w:r>
      <w:r>
        <w:rPr>
          <w:rFonts w:hint="eastAsia" w:ascii="宋体" w:hAnsi="宋体"/>
          <w:szCs w:val="21"/>
          <w:lang w:val="en-US" w:eastAsia="zh-CN"/>
        </w:rPr>
        <w:t>负责</w:t>
      </w:r>
      <w:r>
        <w:rPr>
          <w:rFonts w:hint="eastAsia" w:ascii="宋体" w:hAnsi="宋体"/>
          <w:szCs w:val="21"/>
        </w:rPr>
        <w:t>现场</w:t>
      </w:r>
      <w:r>
        <w:rPr>
          <w:rFonts w:ascii="宋体" w:hAnsi="宋体"/>
          <w:szCs w:val="21"/>
        </w:rPr>
        <w:t>用水、电（220V）及</w:t>
      </w:r>
      <w:r>
        <w:rPr>
          <w:rFonts w:hint="eastAsia" w:ascii="宋体" w:hAnsi="宋体"/>
          <w:szCs w:val="21"/>
          <w:lang w:val="en-US" w:eastAsia="zh-CN"/>
        </w:rPr>
        <w:t>提供</w:t>
      </w:r>
      <w:r>
        <w:rPr>
          <w:rFonts w:ascii="宋体" w:hAnsi="宋体"/>
          <w:szCs w:val="21"/>
        </w:rPr>
        <w:t>检测</w:t>
      </w:r>
      <w:r>
        <w:rPr>
          <w:rFonts w:hint="eastAsia" w:ascii="宋体" w:hAnsi="宋体"/>
          <w:szCs w:val="21"/>
          <w:lang w:val="en-US" w:eastAsia="zh-CN"/>
        </w:rPr>
        <w:t>相关</w:t>
      </w:r>
      <w:r>
        <w:rPr>
          <w:rFonts w:ascii="宋体" w:hAnsi="宋体"/>
          <w:szCs w:val="21"/>
        </w:rPr>
        <w:t>仪器存放地点</w:t>
      </w:r>
      <w:r>
        <w:rPr>
          <w:rFonts w:hint="eastAsia" w:ascii="宋体" w:hAnsi="宋体"/>
          <w:szCs w:val="21"/>
        </w:rPr>
        <w:t>等</w:t>
      </w:r>
      <w:r>
        <w:rPr>
          <w:rFonts w:ascii="宋体" w:hAnsi="宋体"/>
          <w:szCs w:val="21"/>
        </w:rPr>
        <w:t>。</w:t>
      </w:r>
    </w:p>
    <w:p>
      <w:pPr>
        <w:spacing w:line="450" w:lineRule="exact"/>
        <w:ind w:firstLine="420" w:firstLineChars="200"/>
        <w:rPr>
          <w:rFonts w:ascii="宋体" w:hAnsi="宋体"/>
          <w:szCs w:val="21"/>
        </w:rPr>
      </w:pPr>
      <w:r>
        <w:rPr>
          <w:rFonts w:hint="eastAsia" w:ascii="宋体" w:hAnsi="宋体"/>
          <w:szCs w:val="21"/>
        </w:rPr>
        <w:t>3</w:t>
      </w:r>
      <w:r>
        <w:rPr>
          <w:rFonts w:ascii="宋体" w:hAnsi="宋体"/>
          <w:szCs w:val="21"/>
        </w:rPr>
        <w:t>、支付乙方检测鉴定费用。</w:t>
      </w:r>
    </w:p>
    <w:p>
      <w:pPr>
        <w:spacing w:line="360" w:lineRule="auto"/>
        <w:rPr>
          <w:rFonts w:hint="default" w:ascii="宋体" w:hAnsi="宋体" w:eastAsia="宋体"/>
          <w:b/>
          <w:bCs/>
          <w:szCs w:val="21"/>
          <w:lang w:val="en-US" w:eastAsia="zh-CN"/>
        </w:rPr>
      </w:pPr>
      <w:r>
        <w:rPr>
          <w:rFonts w:hint="eastAsia" w:ascii="宋体" w:hAnsi="宋体"/>
          <w:b/>
          <w:bCs/>
          <w:szCs w:val="21"/>
        </w:rPr>
        <w:t>七、</w:t>
      </w:r>
      <w:r>
        <w:rPr>
          <w:rFonts w:hint="eastAsia" w:ascii="宋体" w:hAnsi="宋体"/>
          <w:b/>
          <w:bCs/>
          <w:szCs w:val="21"/>
          <w:lang w:val="en-US" w:eastAsia="zh-CN"/>
        </w:rPr>
        <w:t>违约责任</w:t>
      </w:r>
    </w:p>
    <w:p>
      <w:pPr>
        <w:spacing w:line="450" w:lineRule="exact"/>
        <w:ind w:firstLine="420" w:firstLineChars="200"/>
        <w:rPr>
          <w:rFonts w:hint="eastAsia" w:ascii="宋体" w:hAnsi="宋体"/>
          <w:b w:val="0"/>
          <w:bCs w:val="0"/>
          <w:szCs w:val="21"/>
        </w:rPr>
      </w:pPr>
      <w:r>
        <w:rPr>
          <w:rFonts w:hint="eastAsia" w:ascii="宋体" w:hAnsi="宋体"/>
          <w:b w:val="0"/>
          <w:bCs w:val="0"/>
          <w:szCs w:val="21"/>
          <w:lang w:val="en-US" w:eastAsia="zh-CN"/>
        </w:rPr>
        <w:t>1、</w:t>
      </w:r>
      <w:r>
        <w:rPr>
          <w:rFonts w:hint="eastAsia" w:ascii="宋体" w:hAnsi="宋体"/>
          <w:b w:val="0"/>
          <w:bCs w:val="0"/>
          <w:szCs w:val="21"/>
        </w:rPr>
        <w:t>乙方延期交付检测结果，每延期一天，按</w:t>
      </w:r>
      <w:r>
        <w:rPr>
          <w:rFonts w:hint="eastAsia" w:ascii="宋体" w:hAnsi="宋体"/>
          <w:b w:val="0"/>
          <w:bCs w:val="0"/>
          <w:szCs w:val="21"/>
          <w:lang w:val="en-US" w:eastAsia="zh-CN"/>
        </w:rPr>
        <w:t>合同总价日万分之五</w:t>
      </w:r>
      <w:r>
        <w:rPr>
          <w:rFonts w:hint="eastAsia" w:ascii="宋体" w:hAnsi="宋体"/>
          <w:b w:val="0"/>
          <w:bCs w:val="0"/>
          <w:szCs w:val="21"/>
        </w:rPr>
        <w:t>的标准向甲方支付违约金，逾期达15日的，甲方有权解除合同。</w:t>
      </w:r>
    </w:p>
    <w:p>
      <w:pPr>
        <w:spacing w:line="450" w:lineRule="exact"/>
        <w:ind w:firstLine="420" w:firstLineChars="200"/>
        <w:rPr>
          <w:rFonts w:hint="eastAsia" w:ascii="宋体" w:hAnsi="宋体"/>
          <w:b w:val="0"/>
          <w:bCs w:val="0"/>
          <w:szCs w:val="21"/>
        </w:rPr>
      </w:pPr>
      <w:r>
        <w:rPr>
          <w:rFonts w:hint="eastAsia" w:ascii="宋体" w:hAnsi="宋体"/>
          <w:b w:val="0"/>
          <w:bCs w:val="0"/>
          <w:szCs w:val="21"/>
          <w:lang w:val="en-US" w:eastAsia="zh-CN"/>
        </w:rPr>
        <w:t>2、</w:t>
      </w:r>
      <w:r>
        <w:rPr>
          <w:rFonts w:hint="eastAsia" w:ascii="宋体" w:hAnsi="宋体"/>
          <w:b w:val="0"/>
          <w:bCs w:val="0"/>
          <w:szCs w:val="21"/>
        </w:rPr>
        <w:t>若乙方检测成果出现错误</w:t>
      </w:r>
      <w:r>
        <w:rPr>
          <w:rFonts w:hint="eastAsia" w:ascii="宋体" w:hAnsi="宋体"/>
          <w:b w:val="0"/>
          <w:bCs w:val="0"/>
          <w:szCs w:val="21"/>
          <w:lang w:val="en-US" w:eastAsia="zh-CN"/>
        </w:rPr>
        <w:t>或乙方提出的整改方案出现错误导致甲方按照该整改方案整改发生了相应损失，则</w:t>
      </w:r>
      <w:r>
        <w:rPr>
          <w:rFonts w:hint="eastAsia" w:ascii="宋体" w:hAnsi="宋体"/>
          <w:b w:val="0"/>
          <w:bCs w:val="0"/>
          <w:szCs w:val="21"/>
        </w:rPr>
        <w:t>乙方应返还甲方已支付的</w:t>
      </w:r>
      <w:r>
        <w:rPr>
          <w:rFonts w:hint="eastAsia" w:ascii="宋体" w:hAnsi="宋体"/>
          <w:b w:val="0"/>
          <w:bCs w:val="0"/>
          <w:szCs w:val="21"/>
          <w:lang w:val="en-US" w:eastAsia="zh-CN"/>
        </w:rPr>
        <w:t>合同</w:t>
      </w:r>
      <w:r>
        <w:rPr>
          <w:rFonts w:hint="eastAsia" w:ascii="宋体" w:hAnsi="宋体"/>
          <w:b w:val="0"/>
          <w:bCs w:val="0"/>
          <w:szCs w:val="21"/>
        </w:rPr>
        <w:t>款项并承担</w:t>
      </w:r>
      <w:r>
        <w:rPr>
          <w:rFonts w:hint="default" w:ascii="宋体" w:hAnsi="宋体"/>
          <w:b w:val="0"/>
          <w:bCs w:val="0"/>
          <w:szCs w:val="21"/>
          <w:lang w:val="en-US"/>
        </w:rPr>
        <w:t>相应的赔偿</w:t>
      </w:r>
      <w:r>
        <w:rPr>
          <w:rFonts w:hint="eastAsia" w:ascii="宋体" w:hAnsi="宋体"/>
          <w:b w:val="0"/>
          <w:bCs w:val="0"/>
          <w:szCs w:val="21"/>
        </w:rPr>
        <w:t>损失，并承担</w:t>
      </w:r>
      <w:r>
        <w:rPr>
          <w:rFonts w:hint="eastAsia" w:ascii="宋体" w:hAnsi="宋体"/>
          <w:b w:val="0"/>
          <w:bCs w:val="0"/>
          <w:szCs w:val="21"/>
          <w:lang w:val="en-US" w:eastAsia="zh-CN"/>
        </w:rPr>
        <w:t>合同总价20%</w:t>
      </w:r>
      <w:r>
        <w:rPr>
          <w:rFonts w:hint="eastAsia" w:ascii="宋体" w:hAnsi="宋体"/>
          <w:b w:val="0"/>
          <w:bCs w:val="0"/>
          <w:szCs w:val="21"/>
        </w:rPr>
        <w:t>的违约金</w:t>
      </w:r>
      <w:r>
        <w:rPr>
          <w:rFonts w:hint="eastAsia" w:ascii="宋体" w:hAnsi="宋体"/>
          <w:b w:val="0"/>
          <w:bCs w:val="0"/>
          <w:szCs w:val="21"/>
          <w:lang w:eastAsia="zh-CN"/>
        </w:rPr>
        <w:t>，</w:t>
      </w:r>
      <w:r>
        <w:rPr>
          <w:rFonts w:hint="eastAsia" w:ascii="宋体" w:hAnsi="宋体"/>
          <w:b w:val="0"/>
          <w:bCs w:val="0"/>
          <w:szCs w:val="21"/>
          <w:lang w:val="en-US" w:eastAsia="zh-CN"/>
        </w:rPr>
        <w:t>若违约金不足以弥补甲方的实际损失，以甲方的实际损失为准</w:t>
      </w:r>
      <w:r>
        <w:rPr>
          <w:rFonts w:hint="eastAsia" w:ascii="宋体" w:hAnsi="宋体"/>
          <w:b w:val="0"/>
          <w:bCs w:val="0"/>
          <w:szCs w:val="21"/>
        </w:rPr>
        <w:t>。</w:t>
      </w:r>
    </w:p>
    <w:p>
      <w:pPr>
        <w:spacing w:line="450" w:lineRule="exact"/>
        <w:ind w:firstLine="420" w:firstLineChars="200"/>
        <w:rPr>
          <w:rFonts w:hint="eastAsia" w:ascii="宋体" w:hAnsi="宋体"/>
          <w:b w:val="0"/>
          <w:bCs w:val="0"/>
          <w:szCs w:val="21"/>
        </w:rPr>
      </w:pPr>
      <w:r>
        <w:rPr>
          <w:rFonts w:hint="eastAsia" w:ascii="宋体" w:hAnsi="宋体"/>
          <w:b w:val="0"/>
          <w:bCs w:val="0"/>
          <w:szCs w:val="21"/>
          <w:lang w:val="en-US" w:eastAsia="zh-CN"/>
        </w:rPr>
        <w:t>3、</w:t>
      </w:r>
      <w:r>
        <w:rPr>
          <w:rFonts w:hint="eastAsia" w:ascii="宋体" w:hAnsi="宋体"/>
          <w:b w:val="0"/>
          <w:bCs w:val="0"/>
          <w:szCs w:val="21"/>
        </w:rPr>
        <w:t>因乙方原因导致本合同提前解除或终止的（包括甲方行使合同解除权的情况），乙方应赔偿甲方因此造成的全部经济损失，并应向甲方支付本合同总价20%的违约金。</w:t>
      </w:r>
    </w:p>
    <w:p>
      <w:pPr>
        <w:spacing w:line="450" w:lineRule="exact"/>
        <w:ind w:firstLine="420" w:firstLineChars="200"/>
        <w:rPr>
          <w:rFonts w:hint="eastAsia" w:ascii="宋体" w:hAnsi="宋体"/>
          <w:b w:val="0"/>
          <w:bCs w:val="0"/>
          <w:szCs w:val="21"/>
        </w:rPr>
      </w:pPr>
      <w:r>
        <w:rPr>
          <w:rFonts w:hint="eastAsia" w:ascii="宋体" w:hAnsi="宋体"/>
          <w:b w:val="0"/>
          <w:bCs w:val="0"/>
          <w:szCs w:val="21"/>
          <w:lang w:val="en-US" w:eastAsia="zh-CN"/>
        </w:rPr>
        <w:t>4、</w:t>
      </w:r>
      <w:r>
        <w:rPr>
          <w:rFonts w:hint="eastAsia" w:ascii="宋体" w:hAnsi="宋体"/>
          <w:b w:val="0"/>
          <w:bCs w:val="0"/>
          <w:szCs w:val="21"/>
        </w:rPr>
        <w:t>在乙方完全履行合同全部义务的前提下，如甲方未按合同约定付款，每逾期一天，甲方应按全国银行间同业拆借中心公布的贷款市场报价利率支付应付未付款的违约金，除此之外，甲方不承担任何责任且工期不予顺延。</w:t>
      </w:r>
    </w:p>
    <w:p>
      <w:pPr>
        <w:spacing w:line="450" w:lineRule="exact"/>
        <w:ind w:firstLine="420" w:firstLineChars="200"/>
        <w:rPr>
          <w:rFonts w:hint="eastAsia" w:ascii="宋体" w:hAnsi="宋体"/>
          <w:b w:val="0"/>
          <w:bCs w:val="0"/>
          <w:szCs w:val="21"/>
        </w:rPr>
      </w:pPr>
      <w:r>
        <w:rPr>
          <w:rFonts w:hint="eastAsia" w:ascii="宋体" w:hAnsi="宋体"/>
          <w:b w:val="0"/>
          <w:bCs w:val="0"/>
          <w:szCs w:val="21"/>
          <w:lang w:val="en-US" w:eastAsia="zh-CN"/>
        </w:rPr>
        <w:t>5、</w:t>
      </w:r>
      <w:r>
        <w:rPr>
          <w:rFonts w:hint="eastAsia" w:ascii="宋体" w:hAnsi="宋体"/>
          <w:b w:val="0"/>
          <w:bCs w:val="0"/>
          <w:szCs w:val="21"/>
        </w:rPr>
        <w:t>因乙方违约造成甲方损失的，乙方还应赔偿甲方为维护自身合法权益而支出的包括但不限于诉讼费、律师费、保全费、担保费、差旅费、文印费、诉讼保全保险费等一切支出。</w:t>
      </w:r>
    </w:p>
    <w:p>
      <w:pPr>
        <w:spacing w:line="360" w:lineRule="auto"/>
        <w:rPr>
          <w:rFonts w:ascii="宋体" w:hAnsi="宋体"/>
          <w:b/>
          <w:bCs/>
          <w:szCs w:val="21"/>
        </w:rPr>
      </w:pPr>
      <w:r>
        <w:rPr>
          <w:rFonts w:hint="eastAsia" w:ascii="宋体" w:hAnsi="宋体"/>
          <w:b/>
          <w:bCs/>
          <w:szCs w:val="21"/>
          <w:lang w:val="en-US" w:eastAsia="zh-CN"/>
        </w:rPr>
        <w:t>八、</w:t>
      </w:r>
      <w:r>
        <w:rPr>
          <w:rFonts w:hint="eastAsia" w:ascii="宋体" w:hAnsi="宋体"/>
          <w:b/>
          <w:bCs/>
          <w:szCs w:val="21"/>
        </w:rPr>
        <w:t>争议的解决方式</w:t>
      </w:r>
    </w:p>
    <w:p>
      <w:pPr>
        <w:spacing w:line="360" w:lineRule="auto"/>
        <w:ind w:firstLine="420" w:firstLineChars="200"/>
        <w:rPr>
          <w:rFonts w:ascii="宋体" w:hAnsi="宋体"/>
          <w:szCs w:val="21"/>
        </w:rPr>
      </w:pPr>
      <w:r>
        <w:rPr>
          <w:rFonts w:hint="eastAsia" w:ascii="宋体" w:hAnsi="宋体"/>
          <w:szCs w:val="21"/>
        </w:rPr>
        <w:t xml:space="preserve">如本合同在履行过程中发生争议，双方应协商解决；协商不成的，采取以下第 </w:t>
      </w:r>
      <w:r>
        <w:rPr>
          <w:rFonts w:hint="eastAsia" w:ascii="宋体" w:hAnsi="宋体"/>
          <w:szCs w:val="21"/>
          <w:lang w:val="en-US" w:eastAsia="zh-CN"/>
        </w:rPr>
        <w:t>2</w:t>
      </w:r>
      <w:r>
        <w:rPr>
          <w:rFonts w:hint="eastAsia" w:ascii="宋体" w:hAnsi="宋体"/>
          <w:szCs w:val="21"/>
        </w:rPr>
        <w:t>种方式处理：</w:t>
      </w:r>
    </w:p>
    <w:p>
      <w:pPr>
        <w:spacing w:line="360" w:lineRule="auto"/>
        <w:ind w:firstLine="420" w:firstLineChars="200"/>
        <w:rPr>
          <w:rFonts w:ascii="宋体" w:hAnsi="宋体"/>
          <w:szCs w:val="21"/>
        </w:rPr>
      </w:pPr>
      <w:r>
        <w:rPr>
          <w:rFonts w:hint="eastAsia" w:ascii="宋体" w:hAnsi="宋体"/>
          <w:szCs w:val="21"/>
        </w:rPr>
        <w:t>1、向甲方所在地仲裁机构提请仲裁；</w:t>
      </w:r>
    </w:p>
    <w:p>
      <w:pPr>
        <w:spacing w:line="360" w:lineRule="auto"/>
        <w:ind w:firstLine="420" w:firstLineChars="200"/>
        <w:rPr>
          <w:rFonts w:ascii="宋体" w:hAnsi="宋体"/>
          <w:szCs w:val="21"/>
        </w:rPr>
      </w:pPr>
      <w:r>
        <w:rPr>
          <w:rFonts w:hint="eastAsia" w:ascii="宋体" w:hAnsi="宋体"/>
          <w:szCs w:val="21"/>
        </w:rPr>
        <w:t>2、向甲方所在地</w:t>
      </w:r>
      <w:r>
        <w:rPr>
          <w:rFonts w:hint="eastAsia" w:ascii="宋体" w:hAnsi="宋体"/>
          <w:szCs w:val="21"/>
          <w:lang w:val="en-US" w:eastAsia="zh-CN"/>
        </w:rPr>
        <w:t>有管辖权的</w:t>
      </w:r>
      <w:r>
        <w:rPr>
          <w:rFonts w:hint="eastAsia" w:ascii="宋体" w:hAnsi="宋体"/>
          <w:szCs w:val="21"/>
        </w:rPr>
        <w:t>人民法院起诉。</w:t>
      </w:r>
    </w:p>
    <w:p>
      <w:pPr>
        <w:spacing w:line="360" w:lineRule="auto"/>
        <w:rPr>
          <w:rFonts w:ascii="宋体" w:hAnsi="宋体"/>
          <w:b/>
          <w:bCs/>
          <w:szCs w:val="21"/>
        </w:rPr>
      </w:pPr>
      <w:r>
        <w:rPr>
          <w:rFonts w:hint="eastAsia" w:ascii="宋体" w:hAnsi="宋体"/>
          <w:b/>
          <w:bCs/>
          <w:szCs w:val="21"/>
        </w:rPr>
        <w:t>八、其他条款</w:t>
      </w:r>
    </w:p>
    <w:p>
      <w:pPr>
        <w:spacing w:line="360" w:lineRule="auto"/>
        <w:ind w:firstLine="420" w:firstLineChars="200"/>
        <w:rPr>
          <w:rFonts w:ascii="宋体" w:hAnsi="宋体"/>
          <w:szCs w:val="21"/>
        </w:rPr>
      </w:pPr>
      <w:r>
        <w:rPr>
          <w:rFonts w:hint="eastAsia" w:ascii="宋体" w:hAnsi="宋体"/>
          <w:szCs w:val="21"/>
        </w:rPr>
        <w:t>1、甲乙双方就合同中涉及各类通知、协议等文件以及合同发生纠纷时相关文件和法律文书的送达地址及法律后果作如下约定：</w:t>
      </w:r>
    </w:p>
    <w:p>
      <w:pPr>
        <w:spacing w:line="360" w:lineRule="auto"/>
        <w:ind w:firstLine="420" w:firstLineChars="200"/>
        <w:rPr>
          <w:rFonts w:ascii="宋体" w:hAnsi="宋体"/>
          <w:szCs w:val="21"/>
        </w:rPr>
      </w:pPr>
      <w:r>
        <w:rPr>
          <w:rFonts w:hint="eastAsia" w:ascii="宋体" w:hAnsi="宋体"/>
          <w:szCs w:val="21"/>
        </w:rPr>
        <w:t>甲方确认其有效的送达地址：</w:t>
      </w:r>
    </w:p>
    <w:p>
      <w:pPr>
        <w:spacing w:line="360" w:lineRule="auto"/>
        <w:ind w:firstLine="420" w:firstLineChars="200"/>
        <w:rPr>
          <w:rFonts w:ascii="宋体" w:hAnsi="宋体"/>
          <w:szCs w:val="21"/>
        </w:rPr>
      </w:pPr>
      <w:r>
        <w:rPr>
          <w:rFonts w:hint="eastAsia" w:ascii="宋体" w:hAnsi="宋体"/>
          <w:szCs w:val="21"/>
        </w:rPr>
        <w:t>乙方确认其有效的送达地址：</w:t>
      </w:r>
    </w:p>
    <w:p>
      <w:pPr>
        <w:spacing w:line="360" w:lineRule="auto"/>
        <w:ind w:firstLine="420" w:firstLineChars="200"/>
        <w:rPr>
          <w:rFonts w:ascii="宋体" w:hAnsi="宋体"/>
          <w:szCs w:val="21"/>
        </w:rPr>
      </w:pPr>
      <w:r>
        <w:rPr>
          <w:rFonts w:hint="eastAsia" w:ascii="宋体" w:hAnsi="宋体"/>
          <w:szCs w:val="21"/>
        </w:rPr>
        <w:t>该送达地址适用范围包括：甲乙双方非诉时各类通知、协议等文件；合同发生纠纷时相关文件和法律文书的送达，包括仲裁、民事诉讼程序的一审、二审、再审和执行程序等。</w:t>
      </w:r>
    </w:p>
    <w:p>
      <w:pPr>
        <w:spacing w:line="360" w:lineRule="auto"/>
        <w:ind w:firstLine="420" w:firstLineChars="200"/>
        <w:rPr>
          <w:rFonts w:ascii="宋体" w:hAnsi="宋体"/>
          <w:szCs w:val="21"/>
        </w:rPr>
      </w:pPr>
      <w:r>
        <w:rPr>
          <w:rFonts w:hint="eastAsia" w:ascii="宋体" w:hAnsi="宋体"/>
          <w:szCs w:val="21"/>
        </w:rPr>
        <w:t>甲方送达地址需变更时应履行通知义务，通过     的方式向乙方进行通知；乙方送达地址需变更时应履行通知义务，通过           的方式向甲方进行通知。</w:t>
      </w:r>
    </w:p>
    <w:p>
      <w:pPr>
        <w:spacing w:line="360" w:lineRule="auto"/>
        <w:ind w:firstLine="420" w:firstLineChars="200"/>
        <w:rPr>
          <w:rFonts w:ascii="宋体" w:hAnsi="宋体"/>
          <w:szCs w:val="21"/>
        </w:rPr>
      </w:pPr>
      <w:r>
        <w:rPr>
          <w:rFonts w:hint="eastAsia" w:ascii="宋体" w:hAnsi="宋体"/>
          <w:szCs w:val="21"/>
        </w:rPr>
        <w:t>在合同争议进入仲裁或民事诉讼程序时，甲乙双方送达地址变更应及时向仲裁机构、法院履行送达地址变更通知义务。</w:t>
      </w:r>
    </w:p>
    <w:p>
      <w:pPr>
        <w:spacing w:line="360" w:lineRule="auto"/>
        <w:ind w:firstLine="420" w:firstLineChars="200"/>
        <w:rPr>
          <w:rFonts w:ascii="宋体" w:hAnsi="宋体"/>
          <w:szCs w:val="21"/>
        </w:rPr>
      </w:pPr>
      <w:r>
        <w:rPr>
          <w:rFonts w:hint="eastAsia" w:ascii="宋体" w:hAnsi="宋体"/>
          <w:szCs w:val="21"/>
        </w:rPr>
        <w:t>甲乙双方未按前述要求履行通知义务的，双方所确认的送达地址仍视为有效送达地址。因当事人提供或者确认的送达地址不准确、送达地址变更后未及时履行告知义务或指定的接收人拒绝签收等原因，导致法律文书未能被当事人实际接收的，邮寄送达的，以文书退回之日视为送达日；直接送达的，送达人当场在送达回证上记明情况之日视为送达日；已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spacing w:line="500" w:lineRule="exact"/>
        <w:ind w:firstLine="420" w:firstLineChars="200"/>
        <w:rPr>
          <w:rFonts w:ascii="宋体" w:hAnsi="宋体" w:cs="宋体"/>
          <w:szCs w:val="21"/>
          <w:shd w:val="clear" w:color="auto" w:fill="FFFFFF"/>
        </w:rPr>
      </w:pPr>
      <w:r>
        <w:rPr>
          <w:rFonts w:hint="eastAsia" w:ascii="宋体" w:hAnsi="宋体"/>
          <w:szCs w:val="21"/>
        </w:rPr>
        <w:t>2、</w:t>
      </w:r>
      <w:r>
        <w:rPr>
          <w:rFonts w:hint="eastAsia" w:ascii="宋体" w:hAnsi="宋体" w:cs="宋体"/>
          <w:szCs w:val="21"/>
          <w:shd w:val="clear" w:color="auto" w:fill="FFFFFF"/>
        </w:rPr>
        <w:t>下列关于合肥文旅博览集团有限公司</w:t>
      </w:r>
      <w:r>
        <w:rPr>
          <w:rFonts w:hint="eastAsia" w:hAnsi="宋体" w:eastAsia="宋体"/>
          <w:sz w:val="21"/>
          <w:szCs w:val="21"/>
        </w:rPr>
        <w:t>投资大厦</w:t>
      </w:r>
      <w:r>
        <w:rPr>
          <w:rFonts w:hint="eastAsia" w:hAnsi="宋体" w:eastAsia="宋体"/>
          <w:sz w:val="21"/>
          <w:szCs w:val="21"/>
          <w:lang w:val="en-US" w:eastAsia="zh-CN"/>
        </w:rPr>
        <w:t>消防安全评估和建筑消防设施检测服务项目竞价</w:t>
      </w:r>
      <w:r>
        <w:rPr>
          <w:rFonts w:hint="eastAsia" w:ascii="宋体" w:hAnsi="宋体" w:cs="宋体"/>
          <w:szCs w:val="21"/>
          <w:shd w:val="clear" w:color="auto" w:fill="FFFFFF"/>
        </w:rPr>
        <w:t>文件及其有关附件是本合同不可分割的组成部分，与本合同具有同等法律效力，这些文件包括但不限于：①</w:t>
      </w:r>
      <w:r>
        <w:rPr>
          <w:rFonts w:hint="eastAsia" w:ascii="宋体" w:hAnsi="宋体" w:cs="宋体"/>
          <w:szCs w:val="21"/>
          <w:shd w:val="clear" w:color="auto" w:fill="FFFFFF"/>
          <w:lang w:val="en-US" w:eastAsia="zh-CN"/>
        </w:rPr>
        <w:t>竞价</w:t>
      </w:r>
      <w:r>
        <w:rPr>
          <w:rFonts w:hint="eastAsia" w:ascii="宋体" w:hAnsi="宋体" w:cs="宋体"/>
          <w:szCs w:val="21"/>
          <w:shd w:val="clear" w:color="auto" w:fill="FFFFFF"/>
        </w:rPr>
        <w:t>文件；②响应（投标）文件；③服务承诺；④甲乙双方商定的其他文件。以上附件顺序在前的具有优先解释权。当上述文件与本合同产生冲突时，以本合同约定为准。</w:t>
      </w:r>
    </w:p>
    <w:p>
      <w:pPr>
        <w:spacing w:line="360" w:lineRule="auto"/>
        <w:ind w:firstLine="420" w:firstLineChars="200"/>
        <w:rPr>
          <w:rFonts w:ascii="宋体" w:hAnsi="宋体"/>
          <w:szCs w:val="21"/>
        </w:rPr>
      </w:pPr>
      <w:r>
        <w:rPr>
          <w:rFonts w:hint="eastAsia" w:ascii="宋体" w:hAnsi="宋体"/>
          <w:szCs w:val="21"/>
        </w:rPr>
        <w:t>3、因乙方原因导致本合同产生纠纷的，乙方应承担由此给甲方造成的所有损失，包括但不限于甲方所遭受的直接损失、预期利益、律师费、诉讼费、仲裁费、担保费、公证费、保全费等费用。</w:t>
      </w:r>
    </w:p>
    <w:p>
      <w:pPr>
        <w:spacing w:line="360" w:lineRule="auto"/>
        <w:ind w:firstLine="420" w:firstLineChars="200"/>
        <w:rPr>
          <w:rFonts w:ascii="宋体" w:hAnsi="宋体"/>
          <w:szCs w:val="21"/>
        </w:rPr>
      </w:pPr>
      <w:r>
        <w:rPr>
          <w:rFonts w:hint="eastAsia" w:ascii="宋体" w:hAnsi="宋体"/>
          <w:szCs w:val="21"/>
        </w:rPr>
        <w:t>4、本合同未尽事宜双方协商解决，另订补充合同。</w:t>
      </w:r>
    </w:p>
    <w:p>
      <w:pPr>
        <w:spacing w:line="360" w:lineRule="auto"/>
        <w:ind w:firstLine="420" w:firstLineChars="200"/>
        <w:rPr>
          <w:rFonts w:ascii="宋体" w:hAnsi="宋体"/>
          <w:szCs w:val="21"/>
        </w:rPr>
      </w:pPr>
      <w:r>
        <w:rPr>
          <w:rFonts w:hint="eastAsia" w:ascii="宋体" w:hAnsi="宋体"/>
          <w:szCs w:val="21"/>
        </w:rPr>
        <w:t>5、本协议自甲乙双方</w:t>
      </w:r>
      <w:r>
        <w:rPr>
          <w:rFonts w:hint="eastAsia" w:ascii="宋体" w:hAnsi="宋体"/>
          <w:szCs w:val="21"/>
          <w:lang w:val="en-US" w:eastAsia="zh-CN"/>
        </w:rPr>
        <w:t>法定代表人或授权代表</w:t>
      </w:r>
      <w:r>
        <w:rPr>
          <w:rFonts w:hint="eastAsia" w:ascii="宋体" w:hAnsi="宋体"/>
          <w:szCs w:val="21"/>
        </w:rPr>
        <w:t>签</w:t>
      </w:r>
      <w:r>
        <w:rPr>
          <w:rFonts w:hint="eastAsia" w:ascii="宋体" w:hAnsi="宋体"/>
          <w:szCs w:val="21"/>
          <w:lang w:val="en-US" w:eastAsia="zh-CN"/>
        </w:rPr>
        <w:t>名并</w:t>
      </w:r>
      <w:r>
        <w:rPr>
          <w:rFonts w:hint="eastAsia" w:ascii="宋体" w:hAnsi="宋体"/>
          <w:szCs w:val="21"/>
        </w:rPr>
        <w:t>盖章后生效。</w:t>
      </w:r>
    </w:p>
    <w:p>
      <w:pPr>
        <w:spacing w:line="360" w:lineRule="auto"/>
        <w:ind w:firstLine="420" w:firstLineChars="200"/>
        <w:rPr>
          <w:rFonts w:ascii="宋体" w:hAnsi="宋体"/>
          <w:szCs w:val="21"/>
        </w:rPr>
      </w:pPr>
      <w:r>
        <w:rPr>
          <w:rFonts w:hint="eastAsia" w:ascii="宋体" w:hAnsi="宋体"/>
          <w:szCs w:val="21"/>
        </w:rPr>
        <w:t>6、本合同一式陆份，甲方执肆份、乙方执贰份</w:t>
      </w:r>
      <w:r>
        <w:rPr>
          <w:rFonts w:hint="eastAsia" w:ascii="宋体" w:hAnsi="宋体"/>
          <w:szCs w:val="21"/>
          <w:lang w:eastAsia="zh-CN"/>
        </w:rPr>
        <w:t>，</w:t>
      </w:r>
      <w:r>
        <w:rPr>
          <w:rFonts w:hint="eastAsia" w:ascii="宋体" w:hAnsi="宋体"/>
          <w:szCs w:val="21"/>
          <w:lang w:val="en-US" w:eastAsia="zh-CN"/>
        </w:rPr>
        <w:t>具有相同法律效力</w:t>
      </w: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甲方（盖章）：                     </w:t>
      </w:r>
      <w:r>
        <w:rPr>
          <w:rFonts w:hint="eastAsia" w:ascii="宋体" w:hAnsi="宋体"/>
          <w:szCs w:val="21"/>
          <w:lang w:val="en-US" w:eastAsia="zh-CN"/>
        </w:rPr>
        <w:t xml:space="preserve">     </w:t>
      </w:r>
      <w:r>
        <w:rPr>
          <w:rFonts w:hint="eastAsia" w:ascii="宋体" w:hAnsi="宋体"/>
          <w:szCs w:val="21"/>
        </w:rPr>
        <w:t xml:space="preserve"> 乙方（盖章）：</w:t>
      </w:r>
    </w:p>
    <w:p>
      <w:pPr>
        <w:spacing w:line="360" w:lineRule="auto"/>
        <w:ind w:firstLine="420" w:firstLineChars="200"/>
        <w:rPr>
          <w:rFonts w:ascii="宋体" w:hAnsi="宋体"/>
          <w:szCs w:val="21"/>
        </w:rPr>
      </w:pPr>
      <w:r>
        <w:rPr>
          <w:rFonts w:hint="eastAsia" w:ascii="宋体" w:hAnsi="宋体"/>
          <w:szCs w:val="21"/>
          <w:lang w:val="en-US" w:eastAsia="zh-CN"/>
        </w:rPr>
        <w:t>法定</w:t>
      </w:r>
      <w:r>
        <w:rPr>
          <w:rFonts w:hint="eastAsia" w:ascii="宋体" w:hAnsi="宋体"/>
          <w:szCs w:val="21"/>
        </w:rPr>
        <w:t>代表人</w:t>
      </w:r>
      <w:r>
        <w:rPr>
          <w:rFonts w:hint="eastAsia" w:ascii="宋体" w:hAnsi="宋体"/>
          <w:szCs w:val="21"/>
          <w:lang w:val="en-US" w:eastAsia="zh-CN"/>
        </w:rPr>
        <w:t>或授权代表（</w:t>
      </w:r>
      <w:r>
        <w:rPr>
          <w:rFonts w:hint="eastAsia" w:ascii="宋体" w:hAnsi="宋体"/>
          <w:szCs w:val="21"/>
        </w:rPr>
        <w:t>签</w:t>
      </w:r>
      <w:r>
        <w:rPr>
          <w:rFonts w:hint="eastAsia" w:ascii="宋体" w:hAnsi="宋体"/>
          <w:szCs w:val="21"/>
          <w:lang w:val="en-US" w:eastAsia="zh-CN"/>
        </w:rPr>
        <w:t>名）</w:t>
      </w:r>
      <w:r>
        <w:rPr>
          <w:rFonts w:hint="eastAsia" w:ascii="宋体" w:hAnsi="宋体"/>
          <w:szCs w:val="21"/>
        </w:rPr>
        <w:t xml:space="preserve">：          </w:t>
      </w:r>
      <w:r>
        <w:rPr>
          <w:rFonts w:hint="eastAsia" w:ascii="宋体" w:hAnsi="宋体"/>
          <w:szCs w:val="21"/>
          <w:lang w:val="en-US" w:eastAsia="zh-CN"/>
        </w:rPr>
        <w:t>法定</w:t>
      </w:r>
      <w:r>
        <w:rPr>
          <w:rFonts w:hint="eastAsia" w:ascii="宋体" w:hAnsi="宋体"/>
          <w:szCs w:val="21"/>
        </w:rPr>
        <w:t>代表人</w:t>
      </w:r>
      <w:r>
        <w:rPr>
          <w:rFonts w:hint="eastAsia" w:ascii="宋体" w:hAnsi="宋体"/>
          <w:szCs w:val="21"/>
          <w:lang w:val="en-US" w:eastAsia="zh-CN"/>
        </w:rPr>
        <w:t>或授权代表（</w:t>
      </w:r>
      <w:r>
        <w:rPr>
          <w:rFonts w:hint="eastAsia" w:ascii="宋体" w:hAnsi="宋体"/>
          <w:szCs w:val="21"/>
        </w:rPr>
        <w:t>签</w:t>
      </w:r>
      <w:r>
        <w:rPr>
          <w:rFonts w:hint="eastAsia" w:ascii="宋体" w:hAnsi="宋体"/>
          <w:szCs w:val="21"/>
          <w:lang w:val="en-US" w:eastAsia="zh-CN"/>
        </w:rPr>
        <w:t>名）</w:t>
      </w:r>
      <w:r>
        <w:rPr>
          <w:rFonts w:hint="eastAsia" w:ascii="宋体" w:hAnsi="宋体"/>
          <w:szCs w:val="21"/>
        </w:rPr>
        <w:t xml:space="preserve">：       </w:t>
      </w:r>
    </w:p>
    <w:p>
      <w:pPr>
        <w:pStyle w:val="2"/>
        <w:ind w:firstLine="640"/>
      </w:pPr>
    </w:p>
    <w:p>
      <w:pPr>
        <w:spacing w:line="360" w:lineRule="auto"/>
        <w:ind w:firstLine="840" w:firstLineChars="400"/>
        <w:rPr>
          <w:rFonts w:hint="eastAsia" w:ascii="宋体" w:hAnsi="宋体" w:eastAsia="宋体" w:cs="宋体"/>
          <w:color w:val="000000"/>
          <w:kern w:val="0"/>
          <w:sz w:val="26"/>
          <w:szCs w:val="26"/>
          <w:highlight w:val="yellow"/>
          <w:lang w:eastAsia="zh-TW" w:bidi="zh-TW"/>
        </w:rPr>
      </w:pPr>
      <w:r>
        <w:rPr>
          <w:rFonts w:hint="eastAsia" w:ascii="宋体" w:hAnsi="宋体"/>
          <w:szCs w:val="21"/>
        </w:rPr>
        <w:t xml:space="preserve"> 年       月       日 </w:t>
      </w:r>
      <w:r>
        <w:rPr>
          <w:rFonts w:hint="eastAsia" w:ascii="宋体" w:hAnsi="宋体"/>
          <w:szCs w:val="21"/>
          <w:lang w:val="en-US" w:eastAsia="zh-CN"/>
        </w:rPr>
        <w:t xml:space="preserve">                  </w:t>
      </w:r>
      <w:r>
        <w:rPr>
          <w:rFonts w:hint="eastAsia" w:ascii="宋体" w:hAnsi="宋体"/>
          <w:szCs w:val="21"/>
        </w:rPr>
        <w:t>年       月       日</w:t>
      </w:r>
    </w:p>
    <w:p>
      <w:pPr>
        <w:spacing w:line="360" w:lineRule="auto"/>
        <w:ind w:firstLine="520" w:firstLineChars="200"/>
        <w:rPr>
          <w:rFonts w:hint="eastAsia" w:ascii="宋体" w:hAnsi="宋体" w:eastAsia="宋体" w:cs="宋体"/>
          <w:color w:val="000000"/>
          <w:kern w:val="0"/>
          <w:sz w:val="26"/>
          <w:szCs w:val="26"/>
          <w:highlight w:val="yellow"/>
          <w:lang w:eastAsia="zh-TW" w:bidi="zh-TW"/>
        </w:rPr>
      </w:pPr>
    </w:p>
    <w:p>
      <w:pPr>
        <w:spacing w:line="360" w:lineRule="auto"/>
        <w:ind w:firstLine="520" w:firstLineChars="200"/>
        <w:rPr>
          <w:rFonts w:hint="eastAsia" w:ascii="宋体" w:hAnsi="宋体" w:eastAsia="宋体" w:cs="宋体"/>
          <w:color w:val="000000"/>
          <w:kern w:val="0"/>
          <w:sz w:val="26"/>
          <w:szCs w:val="26"/>
          <w:highlight w:val="yellow"/>
          <w:lang w:eastAsia="zh-TW" w:bidi="zh-TW"/>
        </w:rPr>
      </w:pPr>
    </w:p>
    <w:sectPr>
      <w:footerReference r:id="rId10"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12-27T08:46:47Z" w:initials="">
    <w:p w14:paraId="21C43BC1">
      <w:pPr>
        <w:pStyle w:val="5"/>
        <w:spacing w:before="0" w:after="0" w:line="360" w:lineRule="auto"/>
        <w:ind w:firstLine="0"/>
        <w:rPr>
          <w:rFonts w:hint="eastAsia" w:eastAsia="宋体"/>
          <w:lang w:val="en-US" w:eastAsia="zh-CN"/>
        </w:rPr>
      </w:pPr>
      <w:r>
        <w:rPr>
          <w:rFonts w:hint="eastAsia"/>
          <w:lang w:val="en-US" w:eastAsia="zh-CN"/>
        </w:rPr>
        <w:t>建议与</w:t>
      </w:r>
      <w:r>
        <w:rPr>
          <w:rFonts w:hint="eastAsia" w:ascii="宋体" w:hAnsi="宋体" w:eastAsia="宋体"/>
          <w:color w:val="000000"/>
        </w:rPr>
        <w:t>第二章 投标人须知前附表</w:t>
      </w:r>
      <w:r>
        <w:rPr>
          <w:rFonts w:hint="eastAsia" w:ascii="宋体" w:hAnsi="宋体" w:eastAsia="宋体"/>
          <w:color w:val="000000"/>
          <w:lang w:val="en-US" w:eastAsia="zh-CN"/>
        </w:rPr>
        <w:t>第8条表述保持一致。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C43B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097C9A7-5B6D-4D88-9113-7617BB593752}"/>
  </w:font>
  <w:font w:name="Arial">
    <w:panose1 w:val="020B0604020202020204"/>
    <w:charset w:val="01"/>
    <w:family w:val="swiss"/>
    <w:pitch w:val="default"/>
    <w:sig w:usb0="E0002EFF" w:usb1="C000785B" w:usb2="00000009" w:usb3="00000000" w:csb0="400001FF" w:csb1="FFFF0000"/>
    <w:embedRegular r:id="rId2" w:fontKey="{52FD18D2-E767-4F83-A6C6-747032B83AFA}"/>
  </w:font>
  <w:font w:name="黑体">
    <w:panose1 w:val="02010609060101010101"/>
    <w:charset w:val="86"/>
    <w:family w:val="auto"/>
    <w:pitch w:val="default"/>
    <w:sig w:usb0="800002BF" w:usb1="38CF7CFA" w:usb2="00000016" w:usb3="00000000" w:csb0="00040001" w:csb1="00000000"/>
    <w:embedRegular r:id="rId3" w:fontKey="{100F589C-6569-4BD9-A85D-4F1D4F64A7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76954EF-3C8D-471B-B633-19FE3ECF2C8C}"/>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embedRegular r:id="rId5" w:fontKey="{652DF9F4-E25A-4AA6-9129-6472CC5FC61B}"/>
  </w:font>
  <w:font w:name="Arial Black">
    <w:panose1 w:val="020B0A04020102020204"/>
    <w:charset w:val="00"/>
    <w:family w:val="swiss"/>
    <w:pitch w:val="default"/>
    <w:sig w:usb0="A00002AF" w:usb1="400078FB" w:usb2="00000000" w:usb3="00000000" w:csb0="6000009F" w:csb1="DFD70000"/>
    <w:embedRegular r:id="rId6" w:fontKey="{5EB0ED7D-99EB-44D6-B418-F6879E3EB247}"/>
  </w:font>
  <w:font w:name="DotumChe">
    <w:altName w:val="Malgun Gothic"/>
    <w:panose1 w:val="00000000000000000000"/>
    <w:charset w:val="81"/>
    <w:family w:val="modern"/>
    <w:pitch w:val="default"/>
    <w:sig w:usb0="00000000" w:usb1="00000000" w:usb2="00000030" w:usb3="00000000" w:csb0="0008009F" w:csb1="00000000"/>
    <w:embedRegular r:id="rId7" w:fontKey="{4409A73A-1A89-4A9D-9DC1-4C095A4A894E}"/>
  </w:font>
  <w:font w:name="@仿宋_GB2312">
    <w:panose1 w:val="02010609030101010101"/>
    <w:charset w:val="86"/>
    <w:family w:val="modern"/>
    <w:pitch w:val="default"/>
    <w:sig w:usb0="00000001" w:usb1="080E0000" w:usb2="00000000" w:usb3="00000000" w:csb0="00040000" w:csb1="00000000"/>
    <w:embedRegular r:id="rId8" w:fontKey="{55FFDD8C-FF47-4697-BFD2-68DCB39C350F}"/>
  </w:font>
  <w:font w:name="MS Mincho">
    <w:altName w:val="MS Gothic"/>
    <w:panose1 w:val="02020609040205080304"/>
    <w:charset w:val="80"/>
    <w:family w:val="roman"/>
    <w:pitch w:val="default"/>
    <w:sig w:usb0="00000000" w:usb1="00000000" w:usb2="00000010" w:usb3="00000000" w:csb0="00020000" w:csb1="00000000"/>
    <w:embedRegular r:id="rId9" w:fontKey="{1874870C-8ED9-4887-B3E6-C6E289BECA2F}"/>
  </w:font>
  <w:font w:name="宋体-18030">
    <w:altName w:val="宋体"/>
    <w:panose1 w:val="00000000000000000000"/>
    <w:charset w:val="86"/>
    <w:family w:val="modern"/>
    <w:pitch w:val="default"/>
    <w:sig w:usb0="00000000" w:usb1="00000000" w:usb2="000A005E" w:usb3="00000000" w:csb0="00040001" w:csb1="00000000"/>
    <w:embedRegular r:id="rId10" w:fontKey="{6E1BEDBE-4042-4290-8D17-C2EF647A2618}"/>
  </w:font>
  <w:font w:name="Tahoma">
    <w:panose1 w:val="020B0604030504040204"/>
    <w:charset w:val="00"/>
    <w:family w:val="swiss"/>
    <w:pitch w:val="default"/>
    <w:sig w:usb0="E1002EFF" w:usb1="C000605B" w:usb2="00000029" w:usb3="00000000" w:csb0="200101FF" w:csb1="20280000"/>
    <w:embedRegular r:id="rId11" w:fontKey="{6240053A-C60E-4D69-B559-D6525CEB2ABA}"/>
  </w:font>
  <w:font w:name="仿宋_GB2312">
    <w:panose1 w:val="02010609030101010101"/>
    <w:charset w:val="86"/>
    <w:family w:val="modern"/>
    <w:pitch w:val="default"/>
    <w:sig w:usb0="00000001" w:usb1="080E0000" w:usb2="00000000" w:usb3="00000000" w:csb0="00040000" w:csb1="00000000"/>
    <w:embedRegular r:id="rId12" w:fontKey="{345FFFA6-0DA7-4EDB-B490-790E0B6196BB}"/>
  </w:font>
  <w:font w:name="Cambria">
    <w:panose1 w:val="02040503050406030204"/>
    <w:charset w:val="00"/>
    <w:family w:val="roman"/>
    <w:pitch w:val="default"/>
    <w:sig w:usb0="E00006FF" w:usb1="420024FF" w:usb2="02000000" w:usb3="00000000" w:csb0="2000019F" w:csb1="00000000"/>
    <w:embedRegular r:id="rId13" w:fontKey="{B60CE186-5274-4CAD-B954-D69B24DD0BCA}"/>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23</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宋体" w:hAnsi="宋体"/>
        <w:b/>
        <w:i/>
        <w:sz w:val="24"/>
      </w:rPr>
    </w:pPr>
    <w:r>
      <w:rPr>
        <w:rFonts w:hint="eastAsia"/>
      </w:rPr>
      <w:t xml:space="preserve">合肥文旅博览集团有限公司竞价文件-服务类（适用于有效最低价法）                     </w:t>
    </w:r>
    <w:r>
      <w:t>2023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FCCE5"/>
    <w:multiLevelType w:val="singleLevel"/>
    <w:tmpl w:val="F23FCCE5"/>
    <w:lvl w:ilvl="0" w:tentative="0">
      <w:start w:val="2"/>
      <w:numFmt w:val="chineseCounting"/>
      <w:suff w:val="nothing"/>
      <w:lvlText w:val="%1、"/>
      <w:lvlJc w:val="left"/>
      <w:rPr>
        <w:rFonts w:hint="eastAsia"/>
      </w:rPr>
    </w:lvl>
  </w:abstractNum>
  <w:abstractNum w:abstractNumId="1">
    <w:nsid w:val="44A65197"/>
    <w:multiLevelType w:val="multilevel"/>
    <w:tmpl w:val="44A651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2C9619FF"/>
    <w:rsid w:val="02192632"/>
    <w:rsid w:val="05F9236F"/>
    <w:rsid w:val="0D49017D"/>
    <w:rsid w:val="0DF14556"/>
    <w:rsid w:val="11A46535"/>
    <w:rsid w:val="12D06B6B"/>
    <w:rsid w:val="12D35683"/>
    <w:rsid w:val="13220D35"/>
    <w:rsid w:val="14975EDD"/>
    <w:rsid w:val="14BE4C7B"/>
    <w:rsid w:val="15655556"/>
    <w:rsid w:val="15850B8F"/>
    <w:rsid w:val="1FB04763"/>
    <w:rsid w:val="20646C22"/>
    <w:rsid w:val="219A7C30"/>
    <w:rsid w:val="219B0CD7"/>
    <w:rsid w:val="24822706"/>
    <w:rsid w:val="25145328"/>
    <w:rsid w:val="28FE2577"/>
    <w:rsid w:val="29EE439A"/>
    <w:rsid w:val="2A73489F"/>
    <w:rsid w:val="2ADF3F76"/>
    <w:rsid w:val="2C9619FF"/>
    <w:rsid w:val="2D6E130C"/>
    <w:rsid w:val="2FE761D5"/>
    <w:rsid w:val="32EA4A62"/>
    <w:rsid w:val="358E343F"/>
    <w:rsid w:val="3614400D"/>
    <w:rsid w:val="37251F9A"/>
    <w:rsid w:val="39DC063D"/>
    <w:rsid w:val="3BB03AD5"/>
    <w:rsid w:val="3C196A75"/>
    <w:rsid w:val="3E2D3726"/>
    <w:rsid w:val="40566039"/>
    <w:rsid w:val="43347300"/>
    <w:rsid w:val="440136DC"/>
    <w:rsid w:val="448C3A26"/>
    <w:rsid w:val="480A796F"/>
    <w:rsid w:val="49D065EC"/>
    <w:rsid w:val="514069D9"/>
    <w:rsid w:val="51B17728"/>
    <w:rsid w:val="51D20780"/>
    <w:rsid w:val="536E3CD2"/>
    <w:rsid w:val="5A50540F"/>
    <w:rsid w:val="5E2E1EAC"/>
    <w:rsid w:val="5E537A25"/>
    <w:rsid w:val="622C1248"/>
    <w:rsid w:val="65BC5DFD"/>
    <w:rsid w:val="6DDF0BE2"/>
    <w:rsid w:val="71CF38CE"/>
    <w:rsid w:val="758428B2"/>
    <w:rsid w:val="772B3B04"/>
    <w:rsid w:val="78D67D2F"/>
    <w:rsid w:val="79F0693F"/>
    <w:rsid w:val="7FF5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rPr>
      <w:rFonts w:ascii="Times New Roman" w:eastAsia="宋体"/>
    </w:rPr>
  </w:style>
  <w:style w:type="paragraph" w:styleId="3">
    <w:name w:val="Body Text Indent"/>
    <w:basedOn w:val="1"/>
    <w:next w:val="4"/>
    <w:autoRedefine/>
    <w:qFormat/>
    <w:uiPriority w:val="0"/>
    <w:pPr>
      <w:ind w:firstLine="645"/>
    </w:pPr>
    <w:rPr>
      <w:rFonts w:ascii="楷体_GB2312" w:hAnsi="Times New Roman" w:eastAsia="楷体_GB2312"/>
      <w:sz w:val="32"/>
      <w:szCs w:val="20"/>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7">
    <w:name w:val="Normal Indent"/>
    <w:basedOn w:val="1"/>
    <w:autoRedefine/>
    <w:unhideWhenUsed/>
    <w:qFormat/>
    <w:uiPriority w:val="99"/>
    <w:pPr>
      <w:adjustRightInd w:val="0"/>
      <w:spacing w:beforeLines="0" w:afterLines="0" w:line="360" w:lineRule="atLeast"/>
      <w:ind w:firstLine="482"/>
      <w:textAlignment w:val="baseline"/>
    </w:pPr>
    <w:rPr>
      <w:rFonts w:hint="default" w:hAnsi="Times New Roman"/>
      <w:sz w:val="24"/>
      <w:szCs w:val="20"/>
    </w:rPr>
  </w:style>
  <w:style w:type="paragraph" w:styleId="8">
    <w:name w:val="annotation text"/>
    <w:basedOn w:val="1"/>
    <w:autoRedefine/>
    <w:qFormat/>
    <w:uiPriority w:val="0"/>
    <w:pPr>
      <w:jc w:val="left"/>
    </w:pPr>
  </w:style>
  <w:style w:type="paragraph" w:styleId="9">
    <w:name w:val="Body Text"/>
    <w:basedOn w:val="1"/>
    <w:autoRedefine/>
    <w:qFormat/>
    <w:uiPriority w:val="0"/>
    <w:rPr>
      <w:rFonts w:ascii="宋体" w:hAnsi="Arial"/>
      <w:sz w:val="28"/>
      <w:szCs w:val="20"/>
    </w:rPr>
  </w:style>
  <w:style w:type="paragraph" w:styleId="10">
    <w:name w:val="toc 3"/>
    <w:basedOn w:val="1"/>
    <w:next w:val="1"/>
    <w:autoRedefine/>
    <w:qFormat/>
    <w:uiPriority w:val="39"/>
    <w:pPr>
      <w:tabs>
        <w:tab w:val="right" w:leader="dot" w:pos="9403"/>
      </w:tabs>
      <w:spacing w:line="380" w:lineRule="exact"/>
      <w:ind w:left="420"/>
      <w:jc w:val="left"/>
    </w:pPr>
    <w:rPr>
      <w:rFonts w:ascii="Times New Roman" w:hAnsi="Times New Roman"/>
      <w:i/>
      <w:iCs/>
      <w:szCs w:val="24"/>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toc 2"/>
    <w:basedOn w:val="1"/>
    <w:next w:val="1"/>
    <w:autoRedefine/>
    <w:qFormat/>
    <w:uiPriority w:val="39"/>
    <w:pPr>
      <w:tabs>
        <w:tab w:val="right" w:leader="dot" w:pos="9403"/>
      </w:tabs>
      <w:ind w:left="210"/>
      <w:jc w:val="left"/>
    </w:pPr>
    <w:rPr>
      <w:rFonts w:ascii="Times New Roman" w:hAnsi="Times New Roman"/>
      <w:smallCaps/>
      <w:sz w:val="28"/>
      <w:szCs w:val="24"/>
    </w:rPr>
  </w:style>
  <w:style w:type="character" w:styleId="17">
    <w:name w:val="page number"/>
    <w:autoRedefine/>
    <w:qFormat/>
    <w:uiPriority w:val="99"/>
  </w:style>
  <w:style w:type="paragraph" w:customStyle="1" w:styleId="1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9">
    <w:name w:val="D&amp;L"/>
    <w:basedOn w:val="12"/>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0">
    <w:name w:val="_Style 3"/>
    <w:basedOn w:val="1"/>
    <w:autoRedefine/>
    <w:qFormat/>
    <w:uiPriority w:val="0"/>
    <w:pPr>
      <w:ind w:firstLine="420" w:firstLineChars="200"/>
    </w:pPr>
  </w:style>
  <w:style w:type="paragraph" w:customStyle="1" w:styleId="2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Body text|1"/>
    <w:autoRedefine/>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23">
    <w:name w:val="Header or footer|2"/>
    <w:autoRedefine/>
    <w:qFormat/>
    <w:uiPriority w:val="0"/>
    <w:pPr>
      <w:widowControl w:val="0"/>
    </w:pPr>
    <w:rPr>
      <w:rFonts w:ascii="Times New Roman" w:hAnsi="Times New Roman" w:eastAsia="Times New Roman" w:cs="Times New Roman"/>
      <w:color w:val="000000"/>
      <w:sz w:val="20"/>
      <w:szCs w:val="20"/>
      <w:lang w:val="zh-TW" w:eastAsia="zh-TW" w:bidi="zh-TW"/>
    </w:rPr>
  </w:style>
  <w:style w:type="paragraph" w:customStyle="1" w:styleId="24">
    <w:name w:val="正文文本 (2)"/>
    <w:basedOn w:val="1"/>
    <w:autoRedefine/>
    <w:qFormat/>
    <w:uiPriority w:val="0"/>
    <w:pPr>
      <w:shd w:val="clear" w:color="auto" w:fill="FFFFFF"/>
      <w:spacing w:before="100" w:beforeAutospacing="1" w:after="180" w:line="240" w:lineRule="atLeast"/>
      <w:jc w:val="center"/>
    </w:pPr>
    <w:rPr>
      <w:rFonts w:ascii="宋体" w:hAnsi="Times New Roman" w:eastAsia="Times New Roman" w:cs="宋体"/>
      <w:kern w:val="0"/>
      <w:sz w:val="19"/>
      <w:szCs w:val="19"/>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9547</Words>
  <Characters>9895</Characters>
  <Lines>0</Lines>
  <Paragraphs>0</Paragraphs>
  <TotalTime>9</TotalTime>
  <ScaleCrop>false</ScaleCrop>
  <LinksUpToDate>false</LinksUpToDate>
  <CharactersWithSpaces>10257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小毛</cp:lastModifiedBy>
  <dcterms:modified xsi:type="dcterms:W3CDTF">2023-12-29T03:04:20Z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C36BBF24D86E4FF582A8E5FA34768F80</vt:lpwstr>
  </property>
</Properties>
</file>