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绿轴车库出入口墙面广告</w:t>
      </w:r>
    </w:p>
    <w:p>
      <w:pPr>
        <w:widowControl/>
        <w:shd w:val="clear" w:color="auto" w:fill="FFFFFF"/>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经营权租赁公告</w:t>
      </w:r>
    </w:p>
    <w:p>
      <w:pPr>
        <w:widowControl/>
        <w:shd w:val="clear" w:color="auto" w:fill="FFFFFF"/>
        <w:spacing w:line="640" w:lineRule="exact"/>
        <w:jc w:val="center"/>
        <w:rPr>
          <w:rFonts w:ascii="方正小标宋简体" w:hAnsi="方正小标宋简体" w:eastAsia="方正小标宋简体" w:cs="方正小标宋简体"/>
          <w:sz w:val="44"/>
          <w:szCs w:val="44"/>
        </w:rPr>
      </w:pPr>
    </w:p>
    <w:p>
      <w:pPr>
        <w:widowControl/>
        <w:shd w:val="clear" w:color="auto" w:fill="FFFFFF"/>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32"/>
          <w:szCs w:val="32"/>
        </w:rPr>
        <w:t xml:space="preserve"> 本项目意向承租方如需咨询，务必首先认真阅读本项目公告，并针对具体条款进行咨询。本公告为本项目唯一法定文书，一切解释以本公告为准。本公告及其附件解释权归合肥文旅博览集团有限公司。</w:t>
      </w:r>
    </w:p>
    <w:tbl>
      <w:tblPr>
        <w:tblStyle w:val="6"/>
        <w:tblpPr w:leftFromText="180" w:rightFromText="180" w:vertAnchor="text" w:horzAnchor="page" w:tblpX="1892" w:tblpY="675"/>
        <w:tblOverlap w:val="never"/>
        <w:tblW w:w="9973" w:type="dxa"/>
        <w:tblInd w:w="0" w:type="dxa"/>
        <w:tblLayout w:type="fixed"/>
        <w:tblCellMar>
          <w:top w:w="0" w:type="dxa"/>
          <w:left w:w="0" w:type="dxa"/>
          <w:bottom w:w="0" w:type="dxa"/>
          <w:right w:w="0" w:type="dxa"/>
        </w:tblCellMar>
      </w:tblPr>
      <w:tblGrid>
        <w:gridCol w:w="1116"/>
        <w:gridCol w:w="1655"/>
        <w:gridCol w:w="825"/>
        <w:gridCol w:w="346"/>
        <w:gridCol w:w="200"/>
        <w:gridCol w:w="200"/>
        <w:gridCol w:w="1521"/>
        <w:gridCol w:w="200"/>
        <w:gridCol w:w="366"/>
        <w:gridCol w:w="1957"/>
        <w:gridCol w:w="47"/>
        <w:gridCol w:w="414"/>
        <w:gridCol w:w="200"/>
        <w:gridCol w:w="326"/>
        <w:gridCol w:w="200"/>
        <w:gridCol w:w="200"/>
        <w:gridCol w:w="200"/>
      </w:tblGrid>
      <w:tr>
        <w:tblPrEx>
          <w:tblCellMar>
            <w:top w:w="0" w:type="dxa"/>
            <w:left w:w="0" w:type="dxa"/>
            <w:bottom w:w="0" w:type="dxa"/>
            <w:right w:w="0" w:type="dxa"/>
          </w:tblCellMar>
        </w:tblPrEx>
        <w:trPr>
          <w:gridAfter w:val="6"/>
          <w:wAfter w:w="1540" w:type="dxa"/>
          <w:trHeight w:val="278" w:hRule="atLeast"/>
        </w:trPr>
        <w:tc>
          <w:tcPr>
            <w:tcW w:w="11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6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w:t>
            </w:r>
          </w:p>
        </w:tc>
        <w:tc>
          <w:tcPr>
            <w:tcW w:w="5662" w:type="dxa"/>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说明及要求</w:t>
            </w:r>
          </w:p>
        </w:tc>
      </w:tr>
      <w:tr>
        <w:tblPrEx>
          <w:tblCellMar>
            <w:top w:w="0" w:type="dxa"/>
            <w:left w:w="0" w:type="dxa"/>
            <w:bottom w:w="0" w:type="dxa"/>
            <w:right w:w="0" w:type="dxa"/>
          </w:tblCellMar>
        </w:tblPrEx>
        <w:trPr>
          <w:gridAfter w:val="6"/>
          <w:wAfter w:w="1540" w:type="dxa"/>
          <w:trHeight w:val="278"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绿轴车库出入口墙面广告经营权租赁</w:t>
            </w:r>
          </w:p>
        </w:tc>
      </w:tr>
      <w:tr>
        <w:tblPrEx>
          <w:tblCellMar>
            <w:top w:w="0" w:type="dxa"/>
            <w:left w:w="0" w:type="dxa"/>
            <w:bottom w:w="0" w:type="dxa"/>
            <w:right w:w="0" w:type="dxa"/>
          </w:tblCellMar>
        </w:tblPrEx>
        <w:trPr>
          <w:gridAfter w:val="6"/>
          <w:wAfter w:w="1540" w:type="dxa"/>
          <w:trHeight w:val="256"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项目编号</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HFWLBL2023001</w:t>
            </w:r>
            <w:r>
              <w:rPr>
                <w:rFonts w:hint="eastAsia" w:ascii="仿宋_GB2312" w:hAnsi="仿宋_GB2312" w:eastAsia="仿宋_GB2312" w:cs="仿宋_GB2312"/>
                <w:sz w:val="32"/>
                <w:szCs w:val="32"/>
              </w:rPr>
              <w:t>号</w:t>
            </w:r>
          </w:p>
        </w:tc>
      </w:tr>
      <w:tr>
        <w:tblPrEx>
          <w:tblCellMar>
            <w:top w:w="0" w:type="dxa"/>
            <w:left w:w="0" w:type="dxa"/>
            <w:bottom w:w="0" w:type="dxa"/>
            <w:right w:w="0" w:type="dxa"/>
          </w:tblCellMar>
        </w:tblPrEx>
        <w:trPr>
          <w:gridAfter w:val="6"/>
          <w:wAfter w:w="1540" w:type="dxa"/>
          <w:trHeight w:val="261"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委托方</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合肥文旅博览集团有限公司</w:t>
            </w:r>
          </w:p>
        </w:tc>
      </w:tr>
      <w:tr>
        <w:tblPrEx>
          <w:tblCellMar>
            <w:top w:w="0" w:type="dxa"/>
            <w:left w:w="0" w:type="dxa"/>
            <w:bottom w:w="0" w:type="dxa"/>
            <w:right w:w="0" w:type="dxa"/>
          </w:tblCellMar>
        </w:tblPrEx>
        <w:trPr>
          <w:gridAfter w:val="6"/>
          <w:wAfter w:w="1540" w:type="dxa"/>
          <w:trHeight w:val="261"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竞价期限</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1、公告期：2023年12月 </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 xml:space="preserve"> 日9:00始至2023年12月</w:t>
            </w:r>
            <w:r>
              <w:rPr>
                <w:rFonts w:ascii="仿宋_GB2312" w:hAnsi="仿宋_GB2312" w:eastAsia="仿宋_GB2312" w:cs="仿宋_GB2312"/>
                <w:kern w:val="0"/>
                <w:sz w:val="32"/>
                <w:szCs w:val="32"/>
              </w:rPr>
              <w:t>27</w:t>
            </w:r>
            <w:r>
              <w:rPr>
                <w:rFonts w:hint="eastAsia" w:ascii="仿宋_GB2312" w:hAnsi="仿宋_GB2312" w:eastAsia="仿宋_GB2312" w:cs="仿宋_GB2312"/>
                <w:kern w:val="0"/>
                <w:sz w:val="32"/>
                <w:szCs w:val="32"/>
              </w:rPr>
              <w:t>日17:00止。</w:t>
            </w:r>
          </w:p>
          <w:p>
            <w:pPr>
              <w:widowControl/>
              <w:wordWrap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shd w:val="clear" w:color="auto" w:fill="FFFFFF"/>
              </w:rPr>
              <w:t>一次性报价期：2023年12月</w:t>
            </w:r>
            <w:r>
              <w:rPr>
                <w:rFonts w:ascii="仿宋_GB2312" w:hAnsi="仿宋_GB2312" w:eastAsia="仿宋_GB2312" w:cs="仿宋_GB2312"/>
                <w:sz w:val="32"/>
                <w:szCs w:val="32"/>
                <w:shd w:val="clear" w:color="auto" w:fill="FFFFFF"/>
              </w:rPr>
              <w:t>27</w:t>
            </w:r>
            <w:r>
              <w:rPr>
                <w:rFonts w:hint="eastAsia" w:ascii="仿宋_GB2312" w:hAnsi="仿宋_GB2312" w:eastAsia="仿宋_GB2312" w:cs="仿宋_GB2312"/>
                <w:sz w:val="32"/>
                <w:szCs w:val="32"/>
                <w:shd w:val="clear" w:color="auto" w:fill="FFFFFF"/>
              </w:rPr>
              <w:t>日10:00前。</w:t>
            </w:r>
          </w:p>
        </w:tc>
      </w:tr>
      <w:tr>
        <w:tblPrEx>
          <w:tblCellMar>
            <w:top w:w="0" w:type="dxa"/>
            <w:left w:w="0" w:type="dxa"/>
            <w:bottom w:w="0" w:type="dxa"/>
            <w:right w:w="0" w:type="dxa"/>
          </w:tblCellMar>
        </w:tblPrEx>
        <w:trPr>
          <w:gridAfter w:val="6"/>
          <w:wAfter w:w="1540" w:type="dxa"/>
          <w:trHeight w:val="37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p>
        </w:tc>
        <w:tc>
          <w:tcPr>
            <w:tcW w:w="1655" w:type="dxa"/>
            <w:tcBorders>
              <w:top w:val="nil"/>
              <w:left w:val="nil"/>
              <w:bottom w:val="single" w:color="auto" w:sz="8" w:space="0"/>
              <w:right w:val="single" w:color="auto" w:sz="8" w:space="0"/>
            </w:tcBorders>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出租标的情况</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广告发布具体位置：绿轴公园三个地下车库（绿轴南1、2库，绿轴北库）出入口两边墙面。</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数量、规格：六个出入口原则不超过10个广告牌，每块≤2米*6米。</w:t>
            </w:r>
          </w:p>
        </w:tc>
      </w:tr>
      <w:tr>
        <w:tblPrEx>
          <w:tblCellMar>
            <w:top w:w="0" w:type="dxa"/>
            <w:left w:w="0" w:type="dxa"/>
            <w:bottom w:w="0" w:type="dxa"/>
            <w:right w:w="0" w:type="dxa"/>
          </w:tblCellMar>
        </w:tblPrEx>
        <w:trPr>
          <w:gridAfter w:val="6"/>
          <w:wAfter w:w="1540" w:type="dxa"/>
          <w:trHeight w:val="37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p>
        </w:tc>
        <w:tc>
          <w:tcPr>
            <w:tcW w:w="1655" w:type="dxa"/>
            <w:tcBorders>
              <w:top w:val="nil"/>
              <w:left w:val="nil"/>
              <w:bottom w:val="single" w:color="auto" w:sz="8" w:space="0"/>
              <w:right w:val="single" w:color="auto" w:sz="8" w:space="0"/>
            </w:tcBorders>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首年租赁底价</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本项目首年租赁底价54100元，</w:t>
            </w:r>
            <w:r>
              <w:rPr>
                <w:rFonts w:hint="eastAsia" w:ascii="仿宋_GB2312" w:hAnsi="仿宋_GB2312" w:eastAsia="仿宋_GB2312" w:cs="仿宋_GB2312"/>
                <w:kern w:val="0"/>
                <w:sz w:val="32"/>
                <w:szCs w:val="32"/>
              </w:rPr>
              <w:t>合同期限内年租赁费用每2年按3%递增。</w:t>
            </w:r>
          </w:p>
        </w:tc>
      </w:tr>
      <w:tr>
        <w:tblPrEx>
          <w:tblCellMar>
            <w:top w:w="0" w:type="dxa"/>
            <w:left w:w="0" w:type="dxa"/>
            <w:bottom w:w="0" w:type="dxa"/>
            <w:right w:w="0" w:type="dxa"/>
          </w:tblCellMar>
        </w:tblPrEx>
        <w:trPr>
          <w:gridAfter w:val="6"/>
          <w:wAfter w:w="1540" w:type="dxa"/>
          <w:trHeight w:val="8456"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租赁要求</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1.发布广告形式：灯箱、广告板。</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2.广告发布具体位置：绿轴公园三个地下车库出入口两边墙面。</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3.数量、规格：六个出入口原则不超过10个广告牌，每块≤2米*6米。</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4.租赁期限：5年。</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5.免费安装期：</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个日历天。</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6.由承租方加装电表计费，收费标准按</w:t>
            </w:r>
            <w:r>
              <w:rPr>
                <w:rFonts w:hint="eastAsia" w:ascii="仿宋_GB2312" w:hAnsi="仿宋_GB2312" w:eastAsia="仿宋_GB2312" w:cs="仿宋_GB2312"/>
                <w:kern w:val="0"/>
                <w:sz w:val="32"/>
                <w:szCs w:val="32"/>
                <w:u w:val="single"/>
              </w:rPr>
              <w:t xml:space="preserve"> 1</w:t>
            </w:r>
            <w:r>
              <w:rPr>
                <w:rFonts w:hint="eastAsia" w:ascii="仿宋_GB2312" w:hAnsi="仿宋_GB2312" w:eastAsia="仿宋_GB2312" w:cs="仿宋_GB2312"/>
                <w:kern w:val="0"/>
                <w:sz w:val="32"/>
                <w:szCs w:val="32"/>
              </w:rPr>
              <w:t>元/度计算，承租方自行支付电费，每半年支付一次。</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7.合同期满前一个月，甲乙双方协商续签事宜。合同终止后，乙方需要【5】</w:t>
            </w:r>
            <w:r>
              <w:rPr>
                <w:rFonts w:hint="eastAsia" w:ascii="仿宋_GB2312" w:hAnsi="仿宋_GB2312" w:eastAsia="仿宋_GB2312" w:cs="仿宋_GB2312"/>
                <w:kern w:val="0"/>
                <w:sz w:val="32"/>
                <w:szCs w:val="32"/>
                <w:lang w:val="en-US" w:eastAsia="zh-CN"/>
              </w:rPr>
              <w:t>个工作日</w:t>
            </w:r>
            <w:r>
              <w:rPr>
                <w:rFonts w:hint="eastAsia" w:ascii="仿宋_GB2312" w:hAnsi="仿宋_GB2312" w:eastAsia="仿宋_GB2312" w:cs="仿宋_GB2312"/>
                <w:kern w:val="0"/>
                <w:sz w:val="32"/>
                <w:szCs w:val="32"/>
              </w:rPr>
              <w:t>日内撤除灯箱，并将广告灯箱媒体所处位置恢复至租赁前状态</w:t>
            </w:r>
          </w:p>
        </w:tc>
      </w:tr>
      <w:tr>
        <w:tblPrEx>
          <w:tblCellMar>
            <w:top w:w="0" w:type="dxa"/>
            <w:left w:w="0" w:type="dxa"/>
            <w:bottom w:w="0" w:type="dxa"/>
            <w:right w:w="0" w:type="dxa"/>
          </w:tblCellMar>
        </w:tblPrEx>
        <w:trPr>
          <w:gridAfter w:val="6"/>
          <w:wAfter w:w="1540" w:type="dxa"/>
          <w:trHeight w:val="703"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价款支付及履约保证金要求</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1、承租方应于《成交确认书》出具之日起10个工作日内与委托方签订租赁合同。</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2、价款支付：自合同签订日起7个工作日内支付首年租金；以后每年租金应在下一年使用期开始前30日内向委托方支付全年租金。</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3、履约保证金： 1.5万元，合同签订前支付。在合同终止且无承租方责任后无息退还。</w:t>
            </w:r>
          </w:p>
        </w:tc>
      </w:tr>
      <w:tr>
        <w:tblPrEx>
          <w:tblCellMar>
            <w:top w:w="0" w:type="dxa"/>
            <w:left w:w="0" w:type="dxa"/>
            <w:bottom w:w="0" w:type="dxa"/>
            <w:right w:w="0" w:type="dxa"/>
          </w:tblCellMar>
        </w:tblPrEx>
        <w:trPr>
          <w:gridAfter w:val="6"/>
          <w:wAfter w:w="1540" w:type="dxa"/>
          <w:trHeight w:val="703"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对意向承租方资格的要求</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wordWrap w:val="0"/>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1、具有完全民事行为能力的境内企业法人、其他组织，除法律另有规定外，均可参与竞价。</w:t>
            </w:r>
          </w:p>
          <w:p>
            <w:pPr>
              <w:pStyle w:val="5"/>
              <w:shd w:val="clear" w:color="auto" w:fill="FFFFFF"/>
              <w:wordWrap w:val="0"/>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2、现有营业执照经营范围包括“广告”或“媒体”等相关字样。</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3、本项目不接受自然人和联合体参与竞价。</w:t>
            </w:r>
          </w:p>
        </w:tc>
      </w:tr>
      <w:tr>
        <w:tblPrEx>
          <w:tblCellMar>
            <w:top w:w="0" w:type="dxa"/>
            <w:left w:w="0" w:type="dxa"/>
            <w:bottom w:w="0" w:type="dxa"/>
            <w:right w:w="0" w:type="dxa"/>
          </w:tblCellMar>
        </w:tblPrEx>
        <w:trPr>
          <w:gridAfter w:val="6"/>
          <w:wAfter w:w="1540" w:type="dxa"/>
          <w:trHeight w:val="703"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对意向承租方的特别要求</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出租标的以现状移交，意向承租方应在本公告期截止前现场踏勘，就出租标的相关情况主动向委托方咨询，自行了解标的可能涉及的相关法律法规及市政规定；完成登记的意向承租方都视同已实地踏勘，确认了标的范围、位置并认可出租要求等，自愿承担因上述原因导致的一切后果和法律责任；</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（二）承租方所发布广告必须符合《广告法》及相关法律法规的要求，并办理相关广告发布手续，否则，所发生一切后果由承租方自行承担责任；</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（三）本项目位置广告板及灯箱广告需承租方自行设计安装，由此所产生的相关设计安装费用，需由承租方自行承担。</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承租方积极配合委托方做好创建、公益广告发布工作,承租方须无条件配合执行,公益广告发布内容由委托方书面通知承租方，由此所产生的费用由承租方自理，上述媒体广告均由承租方负责更换、保洁和维护。</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在租赁期内，如因国家或地方政府及其相关部门的政策、法规、法令、决议、指令等原因造成委托方生产运营发生变化、被收购、移交，或搬迁等原因导致本次招标的广告位不再存在的，或委托方对本次招标的广告位不再拥有所有权的，或因政策原因委托方不能对外出租使用的，则本次租赁的广告位终止使用，费用按实际结算，双方互不承担责任；</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租赁期间，</w:t>
            </w:r>
            <w:r>
              <w:rPr>
                <w:rFonts w:hint="eastAsia" w:ascii="仿宋_GB2312" w:hAnsi="仿宋_GB2312" w:eastAsia="仿宋_GB2312" w:cs="仿宋_GB2312"/>
                <w:sz w:val="32"/>
                <w:szCs w:val="32"/>
              </w:rPr>
              <w:t>承租方不得在租赁期间对出租标的物广告媒体进行转让、抵押或采取其他任何侵犯所有权的行为，不得转包、不得分包。</w:t>
            </w:r>
          </w:p>
          <w:p>
            <w:pPr>
              <w:pStyle w:val="5"/>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承租方不得发布国家法律法规明令禁止的广告，酒类、医疗类广告发布内容需得到甲方书面认可，不得发布男科、妇科、性病、人流、不孕不育等与创建工作要求相违背的商业广告，承租方不得发布国家法律法规明令禁止的广告，禁止发布一切违反、违规、违背公序良俗的广告，自觉维护社会公德；</w:t>
            </w:r>
          </w:p>
          <w:p>
            <w:pPr>
              <w:pStyle w:val="5"/>
              <w:shd w:val="clear" w:color="auto" w:fill="FFFFFF"/>
              <w:spacing w:before="0" w:beforeAutospacing="0" w:after="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（八）其他未尽事宜详见《场地灯箱广告租赁合同》。</w:t>
            </w:r>
          </w:p>
        </w:tc>
      </w:tr>
      <w:tr>
        <w:tblPrEx>
          <w:tblCellMar>
            <w:top w:w="0" w:type="dxa"/>
            <w:left w:w="0" w:type="dxa"/>
            <w:bottom w:w="0" w:type="dxa"/>
            <w:right w:w="0" w:type="dxa"/>
          </w:tblCellMar>
        </w:tblPrEx>
        <w:trPr>
          <w:gridAfter w:val="6"/>
          <w:wAfter w:w="1540" w:type="dxa"/>
          <w:trHeight w:val="316"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十一</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承租方确定方式</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采用有效最高价法中标原则。</w:t>
            </w:r>
            <w:r>
              <w:rPr>
                <w:rFonts w:hint="eastAsia" w:ascii="仿宋_GB2312" w:hAnsi="仿宋_GB2312" w:eastAsia="仿宋_GB2312" w:cs="仿宋_GB2312"/>
                <w:kern w:val="0"/>
                <w:sz w:val="32"/>
                <w:szCs w:val="32"/>
              </w:rPr>
              <w:t>一次性报价，如果有效投标报价出现两家或两家以上相同者，则采取评标委员会抽签方式确定其前后次序。</w:t>
            </w:r>
          </w:p>
        </w:tc>
      </w:tr>
      <w:tr>
        <w:tblPrEx>
          <w:tblCellMar>
            <w:top w:w="0" w:type="dxa"/>
            <w:left w:w="0" w:type="dxa"/>
            <w:bottom w:w="0" w:type="dxa"/>
            <w:right w:w="0" w:type="dxa"/>
          </w:tblCellMar>
        </w:tblPrEx>
        <w:trPr>
          <w:gridAfter w:val="6"/>
          <w:wAfter w:w="1540" w:type="dxa"/>
          <w:trHeight w:val="2496" w:hRule="atLeast"/>
        </w:trPr>
        <w:tc>
          <w:tcPr>
            <w:tcW w:w="11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51"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十二</w:t>
            </w:r>
          </w:p>
        </w:tc>
        <w:tc>
          <w:tcPr>
            <w:tcW w:w="16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竞价保证金支付</w:t>
            </w:r>
          </w:p>
        </w:tc>
        <w:tc>
          <w:tcPr>
            <w:tcW w:w="5662" w:type="dxa"/>
            <w:gridSpan w:val="9"/>
            <w:tcBorders>
              <w:top w:val="nil"/>
              <w:left w:val="nil"/>
              <w:right w:val="single" w:color="auto" w:sz="8" w:space="0"/>
            </w:tcBorders>
            <w:tcMar>
              <w:top w:w="0" w:type="dxa"/>
              <w:left w:w="108" w:type="dxa"/>
              <w:bottom w:w="0" w:type="dxa"/>
              <w:right w:w="108" w:type="dxa"/>
            </w:tcMar>
            <w:vAlign w:val="center"/>
          </w:tcPr>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竞价保证金支付账号：</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户名：</w:t>
            </w:r>
            <w:r>
              <w:rPr>
                <w:rFonts w:hint="eastAsia" w:ascii="仿宋_GB2312" w:hAnsi="仿宋_GB2312" w:eastAsia="仿宋_GB2312" w:cs="仿宋_GB2312"/>
                <w:sz w:val="32"/>
                <w:szCs w:val="32"/>
              </w:rPr>
              <w:t>合肥文旅博览集团有限公司</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开户行：</w:t>
            </w:r>
            <w:r>
              <w:rPr>
                <w:rFonts w:hint="eastAsia" w:ascii="仿宋_GB2312" w:hAnsi="仿宋_GB2312" w:eastAsia="仿宋_GB2312" w:cs="仿宋_GB2312"/>
                <w:sz w:val="32"/>
                <w:szCs w:val="32"/>
              </w:rPr>
              <w:t>中国工商银行合肥望江路支行</w:t>
            </w:r>
          </w:p>
          <w:p>
            <w:pPr>
              <w:widowControl/>
              <w:wordWrap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账号：</w:t>
            </w:r>
            <w:r>
              <w:rPr>
                <w:rFonts w:hint="eastAsia" w:ascii="仿宋_GB2312" w:hAnsi="仿宋_GB2312" w:eastAsia="仿宋_GB2312" w:cs="仿宋_GB2312"/>
                <w:sz w:val="32"/>
                <w:szCs w:val="32"/>
              </w:rPr>
              <w:t>1302010509200182305</w:t>
            </w:r>
          </w:p>
        </w:tc>
      </w:tr>
      <w:tr>
        <w:tblPrEx>
          <w:tblCellMar>
            <w:top w:w="0" w:type="dxa"/>
            <w:left w:w="0" w:type="dxa"/>
            <w:bottom w:w="0" w:type="dxa"/>
            <w:right w:w="0" w:type="dxa"/>
          </w:tblCellMar>
        </w:tblPrEx>
        <w:trPr>
          <w:gridAfter w:val="6"/>
          <w:wAfter w:w="1540" w:type="dxa"/>
          <w:trHeight w:val="312" w:hRule="atLeast"/>
        </w:trPr>
        <w:tc>
          <w:tcPr>
            <w:tcW w:w="1116" w:type="dxa"/>
            <w:vMerge w:val="continue"/>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_GB2312" w:cs="仿宋_GB2312"/>
                <w:kern w:val="0"/>
                <w:sz w:val="28"/>
                <w:szCs w:val="28"/>
              </w:rPr>
            </w:pPr>
          </w:p>
        </w:tc>
        <w:tc>
          <w:tcPr>
            <w:tcW w:w="1655" w:type="dxa"/>
            <w:vMerge w:val="continue"/>
            <w:tcBorders>
              <w:top w:val="nil"/>
              <w:left w:val="nil"/>
              <w:bottom w:val="single" w:color="auto" w:sz="8" w:space="0"/>
              <w:right w:val="single" w:color="auto" w:sz="8" w:space="0"/>
            </w:tcBorders>
            <w:vAlign w:val="center"/>
          </w:tcPr>
          <w:p>
            <w:pPr>
              <w:widowControl/>
              <w:spacing w:line="560" w:lineRule="exact"/>
              <w:jc w:val="center"/>
              <w:rPr>
                <w:rFonts w:ascii="仿宋_GB2312" w:hAnsi="仿宋_GB2312" w:eastAsia="仿宋_GB2312" w:cs="仿宋_GB2312"/>
                <w:kern w:val="0"/>
                <w:sz w:val="32"/>
                <w:szCs w:val="32"/>
              </w:rPr>
            </w:pP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注意事项：</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1、竞价保证金：人民币 叁仟元整（小写：</w:t>
            </w:r>
            <w:r>
              <w:rPr>
                <w:rFonts w:hint="eastAsia" w:ascii="仿宋_GB2312" w:hAnsi="仿宋_GB2312" w:eastAsia="仿宋_GB2312" w:cs="仿宋_GB2312"/>
                <w:kern w:val="0"/>
                <w:sz w:val="32"/>
                <w:szCs w:val="32"/>
                <w:u w:val="single"/>
              </w:rPr>
              <w:t>￥3000.00</w:t>
            </w:r>
            <w:r>
              <w:rPr>
                <w:rFonts w:hint="eastAsia" w:ascii="仿宋_GB2312" w:hAnsi="仿宋_GB2312" w:eastAsia="仿宋_GB2312" w:cs="仿宋_GB2312"/>
                <w:kern w:val="0"/>
                <w:sz w:val="32"/>
                <w:szCs w:val="32"/>
              </w:rPr>
              <w:t>），竞价保证金应当在公告期截止时间前足额金额转入本次招标公告指定账号，且应当从意向承租方本单位账号转出。</w:t>
            </w:r>
          </w:p>
          <w:p>
            <w:pPr>
              <w:widowControl/>
              <w:wordWrap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2、转帐时请备注“</w:t>
            </w:r>
            <w:r>
              <w:rPr>
                <w:rFonts w:hint="eastAsia" w:ascii="仿宋_GB2312" w:hAnsi="仿宋_GB2312" w:eastAsia="仿宋_GB2312" w:cs="仿宋_GB2312"/>
                <w:sz w:val="32"/>
                <w:szCs w:val="32"/>
              </w:rPr>
              <w:t>绿轴公园地下车库出入口墙面广告经营权租赁项目</w:t>
            </w:r>
            <w:r>
              <w:rPr>
                <w:rFonts w:hint="eastAsia" w:ascii="仿宋_GB2312" w:hAnsi="仿宋_GB2312" w:eastAsia="仿宋_GB2312" w:cs="仿宋_GB2312"/>
                <w:kern w:val="0"/>
                <w:sz w:val="32"/>
                <w:szCs w:val="32"/>
              </w:rPr>
              <w:t>竞价保证金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，并将转账凭证扫描件发送至2674969912@qq.com邮箱；</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3、如因账号错误、保证金数额不足、保证金未在规定时间内到账、现金缴款等原因造成未能报名成功，委托方不承担任何责任。</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4、保证金只退还至意向承租方缴款账户。因收款人与意向承租方名称不一致造成的竞价保证金无法退还或迟延退还，委托方不承担任何责任。</w:t>
            </w:r>
          </w:p>
        </w:tc>
      </w:tr>
      <w:tr>
        <w:tblPrEx>
          <w:tblCellMar>
            <w:top w:w="0" w:type="dxa"/>
            <w:left w:w="0" w:type="dxa"/>
            <w:bottom w:w="0" w:type="dxa"/>
            <w:right w:w="0" w:type="dxa"/>
          </w:tblCellMar>
        </w:tblPrEx>
        <w:trPr>
          <w:gridAfter w:val="6"/>
          <w:wAfter w:w="1540" w:type="dxa"/>
          <w:trHeight w:val="312"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十三</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成交公告及《成交确认书》</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竞价结束且无异常情况，委托方将在</w:t>
            </w:r>
            <w:r>
              <w:rPr>
                <w:rFonts w:hint="eastAsia" w:ascii="仿宋_GB2312" w:hAnsi="仿宋_GB2312" w:eastAsia="仿宋_GB2312" w:cs="仿宋_GB2312"/>
                <w:sz w:val="32"/>
                <w:szCs w:val="32"/>
              </w:rPr>
              <w:t>合肥文旅博览集团有限公司</w:t>
            </w:r>
            <w:r>
              <w:rPr>
                <w:rFonts w:hint="eastAsia" w:ascii="仿宋_GB2312" w:hAnsi="仿宋_GB2312" w:eastAsia="仿宋_GB2312" w:cs="仿宋_GB2312"/>
                <w:kern w:val="0"/>
                <w:sz w:val="32"/>
                <w:szCs w:val="32"/>
              </w:rPr>
              <w:t>网站上发布成交公告。</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《成交确认书》领取时间：成交公告发布次日起3个工作日内；</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《成交确认书》领取地址：合肥经纬资产经营管理有限公司资产运营部（蜀山区汤池路与茗香路交口文渊府客服中心一楼）；</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《成交确认书》领取要求：承租方为企业的须派专人携带单位介绍信（或公司授权书）和本人身份证，承租方为自然人的须携带本人身份证。</w:t>
            </w:r>
          </w:p>
        </w:tc>
      </w:tr>
      <w:tr>
        <w:tblPrEx>
          <w:tblCellMar>
            <w:top w:w="0" w:type="dxa"/>
            <w:left w:w="0" w:type="dxa"/>
            <w:bottom w:w="0" w:type="dxa"/>
            <w:right w:w="0" w:type="dxa"/>
          </w:tblCellMar>
        </w:tblPrEx>
        <w:trPr>
          <w:gridAfter w:val="6"/>
          <w:wAfter w:w="1540" w:type="dxa"/>
          <w:trHeight w:val="718"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63"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十四</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异议方式</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1.意向承租方或者其他利害关系人对结果有异议的，应当在承租方公示期间，由意向承租方授权代表（或法定代表人）携带身份证明材料，以书面形式向文旅博览集团提出异议，逾期不予受理。</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2.异议书内容应包括异议的详细理由和依据，并提供有关证明资料。</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3.有以下情形之一的，视为无效异议：</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 未按规定时间或规定手续提交异议的；</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3.2异议内容含糊不清、没有提供详细理由和依据，无法进行核查的；</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3.3其他不符合异议程序和有关规定的。</w:t>
            </w:r>
          </w:p>
          <w:p>
            <w:pPr>
              <w:widowControl/>
              <w:spacing w:line="560" w:lineRule="exact"/>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4.文旅博览集团将在收到书面质疑后5个工作日内审查异议事项，作出答复或相关处理决定，并以书面形式通知异议人，但答复的内容不涉及商业秘密。</w:t>
            </w:r>
          </w:p>
        </w:tc>
      </w:tr>
      <w:tr>
        <w:tblPrEx>
          <w:tblCellMar>
            <w:top w:w="0" w:type="dxa"/>
            <w:left w:w="0" w:type="dxa"/>
            <w:bottom w:w="0" w:type="dxa"/>
            <w:right w:w="0" w:type="dxa"/>
          </w:tblCellMar>
        </w:tblPrEx>
        <w:trPr>
          <w:gridAfter w:val="6"/>
          <w:wAfter w:w="1540" w:type="dxa"/>
          <w:trHeight w:val="718" w:hRule="atLeast"/>
        </w:trPr>
        <w:tc>
          <w:tcPr>
            <w:tcW w:w="11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十五</w:t>
            </w:r>
          </w:p>
        </w:tc>
        <w:tc>
          <w:tcPr>
            <w:tcW w:w="1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竞价保证金不予退还的情形</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有下列情形之一的，不予退还竞价保证金，如果该竞价保证金不足以弥补因意向承租方过错而给委托方造成的损失，委托方有权要求意向承租方继续赔偿：</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1、意向承租方在规定的竞价有效期内撤回或修改其竞价；</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承租方无正当理由放弃中标项目资格的；或承租方无正当理由不与委托方签订合同的；或承租方在签订合同时向委托方提出附加条件或者更改合同实质性内容的；或承租方未按招标文件所要求的时间缴纳履约保证金的；</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3、弄虚作假或与其他意向承租方串通骗取中标；</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4、因承租方过错被取消承租资格的其他情况；</w:t>
            </w: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5、其它法律、规章规定或损害委托方利益的情形.</w:t>
            </w:r>
          </w:p>
        </w:tc>
      </w:tr>
      <w:tr>
        <w:tblPrEx>
          <w:tblCellMar>
            <w:top w:w="0" w:type="dxa"/>
            <w:left w:w="0" w:type="dxa"/>
            <w:bottom w:w="0" w:type="dxa"/>
            <w:right w:w="0" w:type="dxa"/>
          </w:tblCellMar>
        </w:tblPrEx>
        <w:trPr>
          <w:gridAfter w:val="6"/>
          <w:wAfter w:w="1540" w:type="dxa"/>
          <w:trHeight w:val="42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Times New Roman"/>
                <w:kern w:val="0"/>
                <w:sz w:val="28"/>
                <w:szCs w:val="28"/>
              </w:rPr>
            </w:pPr>
            <w:r>
              <w:rPr>
                <w:rFonts w:ascii="仿宋" w:hAnsi="仿宋" w:eastAsia="仿宋" w:cs="Times New Roman"/>
                <w:kern w:val="0"/>
                <w:sz w:val="28"/>
                <w:szCs w:val="28"/>
              </w:rPr>
              <w:t>十六</w:t>
            </w:r>
          </w:p>
        </w:tc>
        <w:tc>
          <w:tcPr>
            <w:tcW w:w="1655" w:type="dxa"/>
            <w:tcBorders>
              <w:top w:val="nil"/>
              <w:left w:val="nil"/>
              <w:bottom w:val="single" w:color="auto" w:sz="8" w:space="0"/>
              <w:right w:val="single" w:color="auto" w:sz="8" w:space="0"/>
            </w:tcBorders>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w:t>
            </w:r>
          </w:p>
        </w:tc>
        <w:tc>
          <w:tcPr>
            <w:tcW w:w="566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331" w:leftChars="152" w:hanging="12" w:hangingChars="4"/>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人：茅工                  电话：0551-63539033</w:t>
            </w:r>
          </w:p>
          <w:p>
            <w:pPr>
              <w:widowControl/>
              <w:spacing w:line="560" w:lineRule="exact"/>
              <w:ind w:left="331" w:leftChars="152" w:hanging="12" w:hangingChars="4"/>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13515667759</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地址：合肥市蜀山区汤池路与茗香路交口文渊府客服中心一楼资产运营部</w:t>
            </w:r>
          </w:p>
        </w:tc>
      </w:tr>
      <w:tr>
        <w:tblPrEx>
          <w:tblCellMar>
            <w:top w:w="0" w:type="dxa"/>
            <w:left w:w="0" w:type="dxa"/>
            <w:bottom w:w="0" w:type="dxa"/>
            <w:right w:w="0" w:type="dxa"/>
          </w:tblCellMar>
        </w:tblPrEx>
        <w:tc>
          <w:tcPr>
            <w:tcW w:w="111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65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82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4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521"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6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957"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461" w:type="dxa"/>
            <w:gridSpan w:val="2"/>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2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r>
      <w:tr>
        <w:tblPrEx>
          <w:tblCellMar>
            <w:top w:w="0" w:type="dxa"/>
            <w:left w:w="0" w:type="dxa"/>
            <w:bottom w:w="0" w:type="dxa"/>
            <w:right w:w="0" w:type="dxa"/>
          </w:tblCellMar>
        </w:tblPrEx>
        <w:tc>
          <w:tcPr>
            <w:tcW w:w="111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65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82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4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521"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6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957"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461" w:type="dxa"/>
            <w:gridSpan w:val="2"/>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2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r>
      <w:tr>
        <w:tblPrEx>
          <w:tblCellMar>
            <w:top w:w="0" w:type="dxa"/>
            <w:left w:w="0" w:type="dxa"/>
            <w:bottom w:w="0" w:type="dxa"/>
            <w:right w:w="0" w:type="dxa"/>
          </w:tblCellMar>
        </w:tblPrEx>
        <w:tc>
          <w:tcPr>
            <w:tcW w:w="111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65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82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4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521"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6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957"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461" w:type="dxa"/>
            <w:gridSpan w:val="2"/>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2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r>
      <w:tr>
        <w:tblPrEx>
          <w:tblCellMar>
            <w:top w:w="0" w:type="dxa"/>
            <w:left w:w="0" w:type="dxa"/>
            <w:bottom w:w="0" w:type="dxa"/>
            <w:right w:w="0" w:type="dxa"/>
          </w:tblCellMar>
        </w:tblPrEx>
        <w:tc>
          <w:tcPr>
            <w:tcW w:w="111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65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82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4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521"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6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957"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461" w:type="dxa"/>
            <w:gridSpan w:val="2"/>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2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r>
      <w:tr>
        <w:tblPrEx>
          <w:tblCellMar>
            <w:top w:w="0" w:type="dxa"/>
            <w:left w:w="0" w:type="dxa"/>
            <w:bottom w:w="0" w:type="dxa"/>
            <w:right w:w="0" w:type="dxa"/>
          </w:tblCellMar>
        </w:tblPrEx>
        <w:tc>
          <w:tcPr>
            <w:tcW w:w="111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65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82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4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521"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6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957"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461" w:type="dxa"/>
            <w:gridSpan w:val="2"/>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2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r>
      <w:tr>
        <w:tblPrEx>
          <w:tblCellMar>
            <w:top w:w="0" w:type="dxa"/>
            <w:left w:w="0" w:type="dxa"/>
            <w:bottom w:w="0" w:type="dxa"/>
            <w:right w:w="0" w:type="dxa"/>
          </w:tblCellMar>
        </w:tblPrEx>
        <w:tc>
          <w:tcPr>
            <w:tcW w:w="111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65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825"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4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521"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6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1957"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461" w:type="dxa"/>
            <w:gridSpan w:val="2"/>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326"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c>
          <w:tcPr>
            <w:tcW w:w="200" w:type="dxa"/>
            <w:tcBorders>
              <w:top w:val="nil"/>
              <w:left w:val="nil"/>
              <w:bottom w:val="nil"/>
              <w:right w:val="nil"/>
            </w:tcBorders>
            <w:vAlign w:val="center"/>
          </w:tcPr>
          <w:p>
            <w:pPr>
              <w:widowControl/>
              <w:jc w:val="left"/>
              <w:rPr>
                <w:rFonts w:ascii="仿宋" w:hAnsi="仿宋" w:eastAsia="仿宋" w:cs="宋体"/>
                <w:kern w:val="0"/>
                <w:sz w:val="28"/>
                <w:szCs w:val="28"/>
              </w:rPr>
            </w:pPr>
          </w:p>
        </w:tc>
      </w:tr>
    </w:tbl>
    <w:p>
      <w:pPr>
        <w:widowControl/>
        <w:shd w:val="clear" w:color="auto" w:fill="FFFFFF"/>
        <w:spacing w:line="500" w:lineRule="atLeast"/>
        <w:ind w:firstLine="432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spacing w:line="500" w:lineRule="atLeast"/>
        <w:rPr>
          <w:rFonts w:hint="eastAsia" w:ascii="仿宋" w:hAnsi="仿宋" w:eastAsia="仿宋" w:cs="仿宋"/>
          <w:kern w:val="0"/>
          <w:sz w:val="32"/>
          <w:szCs w:val="32"/>
        </w:rPr>
      </w:pPr>
    </w:p>
    <w:p>
      <w:pPr>
        <w:widowControl/>
        <w:shd w:val="clear" w:color="auto" w:fill="FFFFFF"/>
        <w:spacing w:line="500" w:lineRule="atLeast"/>
        <w:rPr>
          <w:rFonts w:hint="eastAsia" w:ascii="仿宋" w:hAnsi="仿宋" w:eastAsia="仿宋" w:cs="仿宋"/>
          <w:kern w:val="0"/>
          <w:sz w:val="32"/>
          <w:szCs w:val="32"/>
        </w:rPr>
      </w:pPr>
    </w:p>
    <w:p>
      <w:pPr>
        <w:widowControl/>
        <w:shd w:val="clear" w:color="auto" w:fill="FFFFFF"/>
        <w:spacing w:line="500" w:lineRule="atLeast"/>
        <w:rPr>
          <w:rFonts w:hint="eastAsia" w:ascii="仿宋" w:hAnsi="仿宋" w:eastAsia="仿宋" w:cs="仿宋"/>
          <w:kern w:val="0"/>
          <w:sz w:val="32"/>
          <w:szCs w:val="32"/>
        </w:rPr>
      </w:pPr>
    </w:p>
    <w:p>
      <w:pPr>
        <w:widowControl/>
        <w:shd w:val="clear" w:color="auto" w:fill="FFFFFF"/>
        <w:spacing w:line="500" w:lineRule="atLeast"/>
        <w:rPr>
          <w:rFonts w:ascii="仿宋" w:hAnsi="仿宋" w:eastAsia="仿宋" w:cs="仿宋"/>
          <w:kern w:val="0"/>
          <w:sz w:val="32"/>
          <w:szCs w:val="32"/>
        </w:rPr>
      </w:pPr>
      <w:r>
        <w:rPr>
          <w:rFonts w:hint="eastAsia" w:ascii="仿宋" w:hAnsi="仿宋" w:eastAsia="仿宋" w:cs="仿宋"/>
          <w:kern w:val="0"/>
          <w:sz w:val="32"/>
          <w:szCs w:val="32"/>
        </w:rPr>
        <w:t>附件一：</w:t>
      </w:r>
    </w:p>
    <w:p>
      <w:pPr>
        <w:widowControl/>
        <w:shd w:val="clear" w:color="auto" w:fill="FFFFFF"/>
        <w:spacing w:line="50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标的所在位置（仅供参考，以实地踏勘为准）</w:t>
      </w:r>
    </w:p>
    <w:p>
      <w:pPr>
        <w:rPr>
          <w:rFonts w:ascii="宋体" w:hAnsi="宋体" w:eastAsia="宋体" w:cs="宋体"/>
          <w:kern w:val="0"/>
          <w:sz w:val="24"/>
          <w:szCs w:val="24"/>
        </w:rPr>
      </w:pPr>
      <w:r>
        <w:rPr>
          <w:rFonts w:ascii="宋体" w:hAnsi="宋体" w:eastAsia="宋体" w:cs="宋体"/>
          <w:kern w:val="0"/>
          <w:sz w:val="24"/>
          <w:szCs w:val="24"/>
        </w:rPr>
        <w:drawing>
          <wp:inline distT="0" distB="0" distL="0" distR="0">
            <wp:extent cx="2730500" cy="2247900"/>
            <wp:effectExtent l="19050" t="0" r="0" b="0"/>
            <wp:docPr id="3" name="图片 3" descr="C:\Users\admin\AppData\Roaming\Tencent\Users\31833846\QQ\WinTemp\RichOle\8%7GLIVNBJ]MYB{BBY)7Y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Roaming\Tencent\Users\31833846\QQ\WinTemp\RichOle\8%7GLIVNBJ]MYB{BBY)7Y4N.png"/>
                    <pic:cNvPicPr>
                      <a:picLocks noChangeAspect="1" noChangeArrowheads="1"/>
                    </pic:cNvPicPr>
                  </pic:nvPicPr>
                  <pic:blipFill>
                    <a:blip r:embed="rId4"/>
                    <a:srcRect/>
                    <a:stretch>
                      <a:fillRect/>
                    </a:stretch>
                  </pic:blipFill>
                  <pic:spPr>
                    <a:xfrm>
                      <a:off x="0" y="0"/>
                      <a:ext cx="2730622" cy="2247900"/>
                    </a:xfrm>
                    <a:prstGeom prst="rect">
                      <a:avLst/>
                    </a:prstGeom>
                    <a:noFill/>
                    <a:ln w="9525">
                      <a:noFill/>
                      <a:miter lim="800000"/>
                      <a:headEnd/>
                      <a:tailEnd/>
                    </a:ln>
                  </pic:spPr>
                </pic:pic>
              </a:graphicData>
            </a:graphic>
          </wp:inline>
        </w:drawing>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drawing>
          <wp:inline distT="0" distB="0" distL="0" distR="0">
            <wp:extent cx="2352675" cy="2234565"/>
            <wp:effectExtent l="19050" t="0" r="9525" b="0"/>
            <wp:docPr id="4" name="图片 1" descr="C:\Users\admin\Documents\Tencent Files\31833846\FileRecv\MobileFile\IMG_20201216_085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Documents\Tencent Files\31833846\FileRecv\MobileFile\IMG_20201216_085751.jpg"/>
                    <pic:cNvPicPr>
                      <a:picLocks noChangeAspect="1" noChangeArrowheads="1"/>
                    </pic:cNvPicPr>
                  </pic:nvPicPr>
                  <pic:blipFill>
                    <a:blip r:embed="rId5" cstate="print"/>
                    <a:srcRect/>
                    <a:stretch>
                      <a:fillRect/>
                    </a:stretch>
                  </pic:blipFill>
                  <pic:spPr>
                    <a:xfrm>
                      <a:off x="0" y="0"/>
                      <a:ext cx="2352675" cy="2234932"/>
                    </a:xfrm>
                    <a:prstGeom prst="rect">
                      <a:avLst/>
                    </a:prstGeom>
                    <a:noFill/>
                    <a:ln w="9525">
                      <a:noFill/>
                      <a:miter lim="800000"/>
                      <a:headEnd/>
                      <a:tailEnd/>
                    </a:ln>
                  </pic:spPr>
                </pic:pic>
              </a:graphicData>
            </a:graphic>
          </wp:inline>
        </w:drawing>
      </w:r>
    </w:p>
    <w:p>
      <w:pPr>
        <w:widowControl/>
        <w:shd w:val="clear" w:color="auto" w:fill="FFFFFF"/>
        <w:rPr>
          <w:rFonts w:ascii="Times New Roman" w:hAnsi="Times New Roman" w:eastAsia="宋体" w:cs="Times New Roman"/>
          <w:kern w:val="0"/>
          <w:szCs w:val="21"/>
        </w:rPr>
      </w:pPr>
    </w:p>
    <w:p>
      <w:pPr>
        <w:widowControl/>
        <w:shd w:val="clear" w:color="auto" w:fill="FFFFFF"/>
        <w:spacing w:line="500" w:lineRule="atLeast"/>
        <w:jc w:val="center"/>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 </w:t>
      </w:r>
    </w:p>
    <w:p>
      <w:pPr>
        <w:widowControl/>
        <w:shd w:val="clear" w:color="auto" w:fill="FFFFFF"/>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spacing w:line="500" w:lineRule="atLeast"/>
        <w:jc w:val="center"/>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外观（仅供参考，以实地踏勘为准）</w:t>
      </w:r>
    </w:p>
    <w:p>
      <w:pPr>
        <w:widowControl/>
        <w:shd w:val="clear" w:color="auto" w:fill="FFFFFF"/>
        <w:rPr>
          <w:rFonts w:ascii="仿宋_GB2312" w:hAnsi="宋体" w:eastAsia="仿宋_GB2312" w:cs="宋体"/>
          <w:sz w:val="32"/>
          <w:szCs w:val="32"/>
        </w:rPr>
      </w:pPr>
      <w:r>
        <w:rPr>
          <w:rFonts w:ascii="Times New Roman" w:hAnsi="Times New Roman" w:eastAsia="宋体" w:cs="Times New Roman"/>
          <w:kern w:val="0"/>
          <w:szCs w:val="21"/>
        </w:rPr>
        <w:t>  </w:t>
      </w:r>
      <w:r>
        <w:rPr>
          <w:rFonts w:hint="eastAsia" w:ascii="宋体" w:hAnsi="宋体" w:eastAsia="宋体" w:cs="宋体"/>
          <w:kern w:val="0"/>
          <w:sz w:val="32"/>
          <w:szCs w:val="32"/>
        </w:rPr>
        <w:br w:type="textWrapping" w:clear="all"/>
      </w:r>
      <w:bookmarkStart w:id="0" w:name="_Hlk50310251"/>
    </w:p>
    <w:bookmarkEnd w:id="0"/>
    <w:p>
      <w:pPr>
        <w:widowControl/>
        <w:shd w:val="clear" w:color="auto" w:fill="FFFFFF"/>
        <w:ind w:right="840"/>
        <w:rPr>
          <w:rFonts w:ascii="Times New Roman" w:hAnsi="Times New Roman" w:eastAsia="宋体" w:cs="Times New Roman"/>
          <w:kern w:val="0"/>
          <w:szCs w:val="21"/>
        </w:rPr>
      </w:pPr>
    </w:p>
    <w:p>
      <w:pPr>
        <w:widowControl/>
        <w:shd w:val="clear" w:color="auto" w:fill="FFFFFF"/>
        <w:ind w:firstLine="866"/>
        <w:rPr>
          <w:rFonts w:ascii="Times New Roman" w:hAnsi="Times New Roman" w:eastAsia="宋体" w:cs="Times New Roman"/>
          <w:kern w:val="0"/>
          <w:szCs w:val="21"/>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tabs>
          <w:tab w:val="left" w:pos="720"/>
        </w:tabs>
        <w:bidi w:val="0"/>
        <w:jc w:val="left"/>
        <w:rPr>
          <w:rFonts w:hint="eastAsia"/>
          <w:lang w:val="en-US" w:eastAsia="zh-CN"/>
        </w:rPr>
      </w:pPr>
      <w:r>
        <w:rPr>
          <w:rFonts w:hint="eastAsia"/>
          <w:lang w:val="en-US" w:eastAsia="zh-CN"/>
        </w:rPr>
        <w:tab/>
      </w:r>
    </w:p>
    <w:p>
      <w:pPr>
        <w:tabs>
          <w:tab w:val="left" w:pos="720"/>
        </w:tabs>
        <w:bidi w:val="0"/>
        <w:jc w:val="left"/>
        <w:rPr>
          <w:rFonts w:hint="eastAsia"/>
          <w:lang w:val="en-US" w:eastAsia="zh-CN"/>
        </w:rPr>
      </w:pPr>
    </w:p>
    <w:p>
      <w:pPr>
        <w:tabs>
          <w:tab w:val="left" w:pos="720"/>
        </w:tabs>
        <w:bidi w:val="0"/>
        <w:jc w:val="left"/>
        <w:rPr>
          <w:rFonts w:hint="eastAsia"/>
          <w:lang w:val="en-US" w:eastAsia="zh-CN"/>
        </w:rPr>
      </w:pPr>
    </w:p>
    <w:p>
      <w:pPr>
        <w:tabs>
          <w:tab w:val="left" w:pos="720"/>
        </w:tabs>
        <w:bidi w:val="0"/>
        <w:jc w:val="left"/>
        <w:rPr>
          <w:rFonts w:hint="eastAsia"/>
          <w:lang w:val="en-US" w:eastAsia="zh-CN"/>
        </w:rPr>
      </w:pPr>
    </w:p>
    <w:p>
      <w:pPr>
        <w:tabs>
          <w:tab w:val="left" w:pos="720"/>
        </w:tabs>
        <w:bidi w:val="0"/>
        <w:jc w:val="left"/>
        <w:rPr>
          <w:rFonts w:hint="eastAsia"/>
          <w:lang w:val="en-US" w:eastAsia="zh-CN"/>
        </w:rPr>
      </w:pPr>
    </w:p>
    <w:p>
      <w:pPr>
        <w:tabs>
          <w:tab w:val="left" w:pos="720"/>
        </w:tabs>
        <w:bidi w:val="0"/>
        <w:jc w:val="left"/>
        <w:rPr>
          <w:rFonts w:hint="eastAsia"/>
          <w:lang w:val="en-US" w:eastAsia="zh-CN"/>
        </w:rPr>
      </w:pPr>
    </w:p>
    <w:p>
      <w:pPr>
        <w:tabs>
          <w:tab w:val="left" w:pos="720"/>
        </w:tabs>
        <w:bidi w:val="0"/>
        <w:jc w:val="left"/>
        <w:rPr>
          <w:rFonts w:hint="eastAsia"/>
          <w:lang w:val="en-US" w:eastAsia="zh-CN"/>
        </w:rPr>
      </w:pPr>
    </w:p>
    <w:p>
      <w:pPr>
        <w:tabs>
          <w:tab w:val="left" w:pos="720"/>
        </w:tabs>
        <w:bidi w:val="0"/>
        <w:jc w:val="left"/>
        <w:rPr>
          <w:rFonts w:hint="eastAsia"/>
          <w:lang w:val="en-US" w:eastAsia="zh-CN"/>
        </w:rPr>
      </w:pPr>
    </w:p>
    <w:p>
      <w:pPr>
        <w:adjustRightInd w:val="0"/>
        <w:snapToGrid w:val="0"/>
        <w:jc w:val="center"/>
        <w:rPr>
          <w:rFonts w:ascii="黑体" w:hAnsi="黑体" w:eastAsia="黑体" w:cs="黑体"/>
          <w:b/>
          <w:kern w:val="0"/>
          <w:sz w:val="13"/>
          <w:szCs w:val="13"/>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9"/>
        <w:rPr>
          <w:rFonts w:hint="eastAsia" w:ascii="方正小标宋简体" w:hAnsi="方正小标宋简体" w:eastAsia="方正小标宋简体" w:cs="方正小标宋简体"/>
          <w:b/>
          <w:kern w:val="0"/>
          <w:sz w:val="44"/>
          <w:szCs w:val="44"/>
        </w:rPr>
      </w:pPr>
      <w:bookmarkStart w:id="1" w:name="_Hlk50309993"/>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outlineLvl w:val="9"/>
        <w:rPr>
          <w:rFonts w:hint="eastAsia" w:ascii="方正小标宋简体" w:hAnsi="方正小标宋简体" w:eastAsia="方正小标宋简体" w:cs="方正小标宋简体"/>
          <w:b/>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1767" w:firstLineChars="400"/>
        <w:jc w:val="both"/>
        <w:textAlignment w:val="auto"/>
        <w:outlineLvl w:val="9"/>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绿轴车库出入口墙面广告</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9"/>
        <w:rPr>
          <w:rFonts w:hint="eastAsia" w:ascii="仿宋_GB2312" w:hAnsi="仿宋" w:eastAsia="仿宋_GB2312" w:cs="黑体"/>
          <w:b/>
          <w:kern w:val="0"/>
          <w:sz w:val="44"/>
          <w:szCs w:val="44"/>
        </w:rPr>
      </w:pPr>
      <w:r>
        <w:rPr>
          <w:rFonts w:hint="eastAsia" w:ascii="方正小标宋简体" w:hAnsi="方正小标宋简体" w:eastAsia="方正小标宋简体" w:cs="方正小标宋简体"/>
          <w:b/>
          <w:kern w:val="0"/>
          <w:sz w:val="44"/>
          <w:szCs w:val="44"/>
        </w:rPr>
        <w:t>经营权租赁合同</w:t>
      </w:r>
    </w:p>
    <w:bookmarkEnd w:id="1"/>
    <w:p>
      <w:pPr>
        <w:adjustRightInd w:val="0"/>
        <w:snapToGrid w:val="0"/>
        <w:jc w:val="center"/>
        <w:rPr>
          <w:rFonts w:hint="eastAsia" w:ascii="仿宋_GB2312" w:hAnsi="黑体" w:eastAsia="仿宋_GB2312" w:cs="黑体"/>
          <w:b/>
          <w:kern w:val="0"/>
          <w:sz w:val="32"/>
          <w:szCs w:val="32"/>
          <w:lang w:eastAsia="zh-CN"/>
        </w:rPr>
      </w:pPr>
      <w:r>
        <w:rPr>
          <w:rFonts w:hint="eastAsia" w:ascii="仿宋_GB2312" w:hAnsi="仿宋" w:eastAsia="仿宋_GB2312" w:cs="黑体"/>
          <w:b/>
          <w:kern w:val="0"/>
          <w:sz w:val="32"/>
          <w:szCs w:val="32"/>
          <w:lang w:val="en-US" w:eastAsia="zh-CN"/>
        </w:rPr>
        <w:t xml:space="preserve"> </w:t>
      </w:r>
    </w:p>
    <w:p>
      <w:pPr>
        <w:keepNext w:val="0"/>
        <w:keepLines w:val="0"/>
        <w:pageBreakBefore w:val="0"/>
        <w:widowControl/>
        <w:wordWrap/>
        <w:topLinePunct w:val="0"/>
        <w:autoSpaceDE/>
        <w:autoSpaceDN/>
        <w:bidi w:val="0"/>
        <w:adjustRightInd w:val="0"/>
        <w:snapToGrid w:val="0"/>
        <w:spacing w:line="560" w:lineRule="exact"/>
        <w:jc w:val="left"/>
        <w:outlineLvl w:val="9"/>
        <w:rPr>
          <w:rFonts w:hint="eastAsia" w:ascii="仿宋_GB2312" w:hAnsi="仿宋_GB2312" w:eastAsia="仿宋_GB2312" w:cs="仿宋_GB2312"/>
          <w:b/>
          <w:bCs/>
          <w:sz w:val="32"/>
          <w:szCs w:val="32"/>
        </w:rPr>
      </w:pPr>
      <w:bookmarkStart w:id="2" w:name="_Hlk50110821"/>
      <w:r>
        <w:rPr>
          <w:rFonts w:hint="eastAsia" w:ascii="仿宋_GB2312" w:hAnsi="仿宋_GB2312" w:eastAsia="仿宋_GB2312" w:cs="仿宋_GB2312"/>
          <w:b/>
          <w:bCs/>
          <w:sz w:val="32"/>
          <w:szCs w:val="32"/>
        </w:rPr>
        <w:t>出租方（甲方）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合肥文旅博览集团有限公司</w:t>
      </w:r>
    </w:p>
    <w:p>
      <w:pPr>
        <w:pStyle w:val="5"/>
        <w:keepNext w:val="0"/>
        <w:keepLines w:val="0"/>
        <w:pageBreakBefore w:val="0"/>
        <w:wordWrap/>
        <w:topLinePunct w:val="0"/>
        <w:autoSpaceDE/>
        <w:autoSpaceDN/>
        <w:bidi w:val="0"/>
        <w:spacing w:before="21" w:beforeAutospacing="0" w:after="0" w:afterAutospacing="0" w:line="560" w:lineRule="exact"/>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承租方（乙方）</w:t>
      </w:r>
      <w:r>
        <w:rPr>
          <w:rFonts w:hint="eastAsia" w:ascii="仿宋_GB2312" w:hAnsi="仿宋_GB2312" w:eastAsia="仿宋_GB2312" w:cs="仿宋_GB2312"/>
          <w:b/>
          <w:bCs/>
          <w:sz w:val="32"/>
          <w:szCs w:val="32"/>
          <w:lang w:eastAsia="zh-CN"/>
        </w:rPr>
        <w:t>：</w:t>
      </w:r>
      <w:bookmarkEnd w:id="2"/>
    </w:p>
    <w:p>
      <w:pPr>
        <w:pStyle w:val="5"/>
        <w:keepNext w:val="0"/>
        <w:keepLines w:val="0"/>
        <w:pageBreakBefore w:val="0"/>
        <w:wordWrap/>
        <w:topLinePunct w:val="0"/>
        <w:autoSpaceDE/>
        <w:autoSpaceDN/>
        <w:bidi w:val="0"/>
        <w:spacing w:before="21" w:beforeAutospacing="0" w:after="0" w:afterAutospacing="0" w:line="560" w:lineRule="exact"/>
        <w:textAlignment w:val="baseline"/>
        <w:outlineLvl w:val="9"/>
        <w:rPr>
          <w:rFonts w:hint="eastAsia" w:ascii="仿宋_GB2312" w:hAnsi="仿宋_GB2312" w:eastAsia="仿宋_GB2312" w:cs="仿宋_GB2312"/>
          <w:b/>
          <w:bCs/>
          <w:sz w:val="32"/>
          <w:szCs w:val="32"/>
          <w:lang w:eastAsia="zh-CN"/>
        </w:rPr>
      </w:pPr>
    </w:p>
    <w:p>
      <w:pPr>
        <w:keepNext w:val="0"/>
        <w:keepLines w:val="0"/>
        <w:pageBreakBefore w:val="0"/>
        <w:widowControl/>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本项目采用内部竞价方式进行招标，经甲方竞价评标小组认真评审，决定将绿轴公园</w:t>
      </w:r>
      <w:r>
        <w:rPr>
          <w:rFonts w:hint="eastAsia" w:ascii="仿宋_GB2312" w:hAnsi="仿宋_GB2312" w:eastAsia="仿宋_GB2312" w:cs="仿宋_GB2312"/>
          <w:bCs/>
          <w:sz w:val="32"/>
          <w:szCs w:val="32"/>
        </w:rPr>
        <w:t>（南、北段）共3个地下车库出入口两边墙面</w:t>
      </w:r>
      <w:r>
        <w:rPr>
          <w:rFonts w:hint="eastAsia" w:ascii="仿宋_GB2312" w:hAnsi="仿宋_GB2312" w:eastAsia="仿宋_GB2312" w:cs="仿宋_GB2312"/>
          <w:bCs/>
          <w:sz w:val="32"/>
          <w:szCs w:val="32"/>
          <w:lang w:val="en-US" w:eastAsia="zh-CN"/>
        </w:rPr>
        <w:t>广告位经营权</w:t>
      </w:r>
      <w:r>
        <w:rPr>
          <w:rFonts w:hint="eastAsia" w:ascii="仿宋_GB2312" w:hAnsi="仿宋_GB2312" w:eastAsia="仿宋_GB2312" w:cs="仿宋_GB2312"/>
          <w:bCs/>
          <w:sz w:val="32"/>
          <w:szCs w:val="32"/>
        </w:rPr>
        <w:t>交由乙方承建灯箱广告租赁活动</w:t>
      </w:r>
      <w:r>
        <w:rPr>
          <w:rFonts w:hint="eastAsia" w:ascii="仿宋_GB2312" w:hAnsi="仿宋_GB2312" w:eastAsia="仿宋_GB2312" w:cs="仿宋_GB2312"/>
          <w:sz w:val="32"/>
          <w:szCs w:val="32"/>
        </w:rPr>
        <w:t>，为进一步明确双方的权利义务，根据《中华人民共和国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》等相关法律法规的规定、竞价报告及招投标文件等相关资料，特订立本合同，以便共同遵守。</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租赁场地、用途</w:t>
      </w:r>
    </w:p>
    <w:p>
      <w:pPr>
        <w:keepNext w:val="0"/>
        <w:keepLines w:val="0"/>
        <w:pageBreakBefore w:val="0"/>
        <w:widowControl/>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租赁场地：</w:t>
      </w:r>
      <w:r>
        <w:rPr>
          <w:rFonts w:hint="eastAsia" w:ascii="仿宋_GB2312" w:hAnsi="仿宋_GB2312" w:eastAsia="仿宋_GB2312" w:cs="仿宋_GB2312"/>
          <w:sz w:val="32"/>
          <w:szCs w:val="32"/>
        </w:rPr>
        <w:t>甲方同意将位于合肥市政务区绿轴公园（南、北段）共3个地下车库出入口两边墙面</w:t>
      </w:r>
      <w:r>
        <w:rPr>
          <w:rFonts w:hint="eastAsia" w:ascii="仿宋_GB2312" w:hAnsi="仿宋_GB2312" w:eastAsia="仿宋_GB2312" w:cs="仿宋_GB2312"/>
          <w:sz w:val="32"/>
          <w:szCs w:val="32"/>
          <w:lang w:val="en-US" w:eastAsia="zh-CN"/>
        </w:rPr>
        <w:t>广告位经营权</w:t>
      </w:r>
      <w:r>
        <w:rPr>
          <w:rFonts w:hint="eastAsia" w:ascii="仿宋_GB2312" w:hAnsi="仿宋_GB2312" w:eastAsia="仿宋_GB2312" w:cs="仿宋_GB2312"/>
          <w:sz w:val="32"/>
          <w:szCs w:val="32"/>
        </w:rPr>
        <w:t>租赁给乙方。</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用途：</w:t>
      </w:r>
      <w:r>
        <w:rPr>
          <w:rFonts w:hint="eastAsia" w:ascii="仿宋_GB2312" w:hAnsi="仿宋_GB2312" w:eastAsia="仿宋_GB2312" w:cs="仿宋_GB2312"/>
          <w:sz w:val="32"/>
          <w:szCs w:val="32"/>
        </w:rPr>
        <w:t>乙方租赁用于</w:t>
      </w:r>
      <w:r>
        <w:rPr>
          <w:rFonts w:hint="eastAsia" w:ascii="仿宋_GB2312" w:hAnsi="仿宋_GB2312" w:eastAsia="仿宋_GB2312" w:cs="仿宋_GB2312"/>
          <w:sz w:val="32"/>
          <w:szCs w:val="32"/>
          <w:u w:val="single"/>
        </w:rPr>
        <w:t>承建</w:t>
      </w:r>
      <w:r>
        <w:rPr>
          <w:rFonts w:hint="eastAsia" w:ascii="仿宋_GB2312" w:hAnsi="仿宋_GB2312" w:eastAsia="仿宋_GB2312" w:cs="仿宋_GB2312"/>
          <w:sz w:val="32"/>
          <w:szCs w:val="32"/>
          <w:u w:val="single"/>
          <w:lang w:val="en-US" w:eastAsia="zh-CN"/>
        </w:rPr>
        <w:t>租赁</w:t>
      </w:r>
      <w:r>
        <w:rPr>
          <w:rFonts w:hint="eastAsia" w:ascii="仿宋_GB2312" w:hAnsi="仿宋_GB2312" w:eastAsia="仿宋_GB2312" w:cs="仿宋_GB2312"/>
          <w:sz w:val="32"/>
          <w:szCs w:val="32"/>
          <w:u w:val="single"/>
        </w:rPr>
        <w:t>灯箱广告牌、发布宣传广告</w:t>
      </w:r>
      <w:r>
        <w:rPr>
          <w:rFonts w:hint="eastAsia" w:ascii="仿宋_GB2312" w:hAnsi="仿宋_GB2312" w:eastAsia="仿宋_GB2312" w:cs="仿宋_GB2312"/>
          <w:sz w:val="32"/>
          <w:szCs w:val="32"/>
          <w:u w:val="single"/>
          <w:lang w:val="en-US" w:eastAsia="zh-CN"/>
        </w:rPr>
        <w:t>等</w:t>
      </w:r>
      <w:r>
        <w:rPr>
          <w:rFonts w:hint="eastAsia" w:ascii="仿宋_GB2312" w:hAnsi="仿宋_GB2312" w:eastAsia="仿宋_GB2312" w:cs="仿宋_GB2312"/>
          <w:sz w:val="32"/>
          <w:szCs w:val="32"/>
        </w:rPr>
        <w:t>活动。承建灯箱广告牌的数量（原则上不得超过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块）、所在位置、内容、尺寸及设置（发布）方式等均须事先经甲方书面确认。</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 租赁期限、收费标准及付款方式</w:t>
      </w:r>
    </w:p>
    <w:p>
      <w:pPr>
        <w:keepNext w:val="0"/>
        <w:keepLines w:val="0"/>
        <w:pageBreakBefore w:val="0"/>
        <w:widowControl/>
        <w:wordWrap/>
        <w:topLinePunct w:val="0"/>
        <w:autoSpaceDE/>
        <w:autoSpaceDN/>
        <w:bidi w:val="0"/>
        <w:spacing w:line="560" w:lineRule="exact"/>
        <w:ind w:firstLine="643"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租赁期限：</w:t>
      </w:r>
      <w:r>
        <w:rPr>
          <w:rFonts w:hint="eastAsia" w:ascii="仿宋_GB2312" w:hAnsi="仿宋_GB2312" w:eastAsia="仿宋_GB2312" w:cs="仿宋_GB2312"/>
          <w:kern w:val="0"/>
          <w:sz w:val="32"/>
          <w:szCs w:val="32"/>
        </w:rPr>
        <w:t>租赁期限自</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日起至</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日止，计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年整（租约年系指自租期起始日起连续的</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个月），首次签订合同，免</w:t>
      </w:r>
      <w:r>
        <w:rPr>
          <w:rFonts w:hint="eastAsia" w:ascii="仿宋_GB2312" w:hAnsi="仿宋_GB2312" w:eastAsia="仿宋_GB2312" w:cs="仿宋_GB2312"/>
          <w:kern w:val="0"/>
          <w:sz w:val="32"/>
          <w:szCs w:val="32"/>
          <w:lang w:val="en-US" w:eastAsia="zh-CN"/>
        </w:rPr>
        <w:t>15天</w:t>
      </w:r>
      <w:r>
        <w:rPr>
          <w:rFonts w:hint="eastAsia" w:ascii="仿宋_GB2312" w:hAnsi="仿宋_GB2312" w:eastAsia="仿宋_GB2312" w:cs="仿宋_GB2312"/>
          <w:kern w:val="0"/>
          <w:sz w:val="32"/>
          <w:szCs w:val="32"/>
        </w:rPr>
        <w:t>施工期，合同期满前一个月，甲乙双方协商续签事宜。合同终止后，乙方需要【</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工作</w:t>
      </w:r>
      <w:r>
        <w:rPr>
          <w:rFonts w:hint="eastAsia" w:ascii="仿宋_GB2312" w:hAnsi="仿宋_GB2312" w:eastAsia="仿宋_GB2312" w:cs="仿宋_GB2312"/>
          <w:kern w:val="0"/>
          <w:sz w:val="32"/>
          <w:szCs w:val="32"/>
        </w:rPr>
        <w:t>日内撤除灯箱，并将广告灯箱媒体所处位置恢复至租赁前状态。</w:t>
      </w:r>
    </w:p>
    <w:p>
      <w:pPr>
        <w:keepNext w:val="0"/>
        <w:keepLines w:val="0"/>
        <w:pageBreakBefore w:val="0"/>
        <w:widowControl/>
        <w:wordWrap/>
        <w:topLinePunct w:val="0"/>
        <w:autoSpaceDE/>
        <w:autoSpaceDN/>
        <w:bidi w:val="0"/>
        <w:spacing w:line="560" w:lineRule="exact"/>
        <w:ind w:firstLine="643" w:firstLineChars="200"/>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rPr>
        <w:t>收费标准：</w:t>
      </w:r>
      <w:r>
        <w:rPr>
          <w:rFonts w:hint="eastAsia" w:ascii="仿宋_GB2312" w:hAnsi="仿宋_GB2312" w:eastAsia="仿宋_GB2312" w:cs="仿宋_GB2312"/>
          <w:kern w:val="0"/>
          <w:sz w:val="32"/>
          <w:szCs w:val="32"/>
        </w:rPr>
        <w:t>年租金为人民币：</w:t>
      </w:r>
      <w:r>
        <w:rPr>
          <w:rFonts w:hint="eastAsia" w:ascii="仿宋_GB2312" w:hAnsi="仿宋_GB2312" w:eastAsia="仿宋_GB2312" w:cs="仿宋_GB2312"/>
          <w:kern w:val="0"/>
          <w:sz w:val="32"/>
          <w:szCs w:val="32"/>
          <w:u w:val="single"/>
        </w:rPr>
        <w:t>￥      元</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元</w:t>
      </w:r>
      <w:r>
        <w:rPr>
          <w:rFonts w:hint="eastAsia" w:ascii="仿宋_GB2312" w:hAnsi="仿宋_GB2312" w:eastAsia="仿宋_GB2312" w:cs="仿宋_GB2312"/>
          <w:kern w:val="0"/>
          <w:sz w:val="32"/>
          <w:szCs w:val="32"/>
        </w:rPr>
        <w:t>整）。此费用包括租金、税费等费用，不包括电费。</w:t>
      </w:r>
      <w:r>
        <w:rPr>
          <w:rFonts w:hint="eastAsia" w:ascii="仿宋_GB2312" w:hAnsi="仿宋_GB2312" w:eastAsia="仿宋_GB2312" w:cs="仿宋_GB2312"/>
          <w:kern w:val="0"/>
          <w:sz w:val="32"/>
          <w:szCs w:val="32"/>
          <w:lang w:val="en-US" w:eastAsia="zh-CN"/>
        </w:rPr>
        <w:t>合同期限内年租赁费用每2年按3%递增一次</w:t>
      </w:r>
    </w:p>
    <w:p>
      <w:pPr>
        <w:keepNext w:val="0"/>
        <w:keepLines w:val="0"/>
        <w:pageBreakBefore w:val="0"/>
        <w:wordWrap/>
        <w:topLinePunct w:val="0"/>
        <w:autoSpaceDE/>
        <w:autoSpaceDN/>
        <w:bidi w:val="0"/>
        <w:spacing w:line="560" w:lineRule="exact"/>
        <w:ind w:firstLine="643" w:firstLineChars="200"/>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kern w:val="0"/>
          <w:sz w:val="32"/>
          <w:szCs w:val="32"/>
        </w:rPr>
        <w:t>付款方式：</w:t>
      </w:r>
      <w:r>
        <w:rPr>
          <w:rFonts w:hint="eastAsia" w:ascii="仿宋_GB2312" w:hAnsi="仿宋_GB2312" w:eastAsia="仿宋_GB2312" w:cs="仿宋_GB2312"/>
          <w:color w:val="auto"/>
          <w:kern w:val="0"/>
          <w:sz w:val="32"/>
          <w:szCs w:val="32"/>
          <w:highlight w:val="none"/>
        </w:rPr>
        <w:t>自合同签订日起</w:t>
      </w:r>
      <w:r>
        <w:rPr>
          <w:rFonts w:hint="eastAsia" w:ascii="仿宋_GB2312" w:hAnsi="仿宋_GB2312" w:eastAsia="仿宋_GB2312" w:cs="仿宋_GB2312"/>
          <w:color w:val="auto"/>
          <w:kern w:val="0"/>
          <w:sz w:val="32"/>
          <w:szCs w:val="32"/>
          <w:highlight w:val="none"/>
          <w:lang w:val="en-US" w:eastAsia="zh-CN"/>
        </w:rPr>
        <w:t>7个工作日</w:t>
      </w:r>
      <w:r>
        <w:rPr>
          <w:rFonts w:hint="eastAsia" w:ascii="仿宋_GB2312" w:hAnsi="仿宋_GB2312" w:eastAsia="仿宋_GB2312" w:cs="仿宋_GB2312"/>
          <w:color w:val="auto"/>
          <w:kern w:val="0"/>
          <w:sz w:val="32"/>
          <w:szCs w:val="32"/>
          <w:highlight w:val="none"/>
        </w:rPr>
        <w:t>内支付首年租金；以后每年租金应在下一年使用期开始前</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日内向甲方支付全年租金。</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租费缴纳方式为转账，甲方指定的租费收取账户为：</w:t>
      </w:r>
    </w:p>
    <w:p>
      <w:pPr>
        <w:keepNext w:val="0"/>
        <w:keepLines w:val="0"/>
        <w:pageBreakBefore w:val="0"/>
        <w:wordWrap/>
        <w:topLinePunct w:val="0"/>
        <w:autoSpaceDE/>
        <w:autoSpaceDN/>
        <w:bidi w:val="0"/>
        <w:spacing w:line="560" w:lineRule="exact"/>
        <w:ind w:firstLine="627" w:firstLineChars="196"/>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收取账户：合肥文旅博览集团有限公司</w:t>
      </w:r>
    </w:p>
    <w:p>
      <w:pPr>
        <w:keepNext w:val="0"/>
        <w:keepLines w:val="0"/>
        <w:pageBreakBefore w:val="0"/>
        <w:wordWrap/>
        <w:topLinePunct w:val="0"/>
        <w:autoSpaceDE/>
        <w:autoSpaceDN/>
        <w:bidi w:val="0"/>
        <w:spacing w:line="560" w:lineRule="exact"/>
        <w:ind w:firstLine="636" w:firstLineChars="199"/>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开 户 行：</w:t>
      </w:r>
      <w:r>
        <w:rPr>
          <w:rFonts w:hint="eastAsia" w:ascii="仿宋_GB2312" w:hAnsi="仿宋_GB2312" w:eastAsia="仿宋_GB2312" w:cs="仿宋_GB2312"/>
          <w:kern w:val="0"/>
          <w:sz w:val="32"/>
          <w:szCs w:val="32"/>
          <w:lang w:val="en-US" w:eastAsia="zh-CN"/>
        </w:rPr>
        <w:t>工行合肥望江路支行</w:t>
      </w:r>
    </w:p>
    <w:p>
      <w:pPr>
        <w:keepNext w:val="0"/>
        <w:keepLines w:val="0"/>
        <w:pageBreakBefore w:val="0"/>
        <w:wordWrap/>
        <w:topLinePunct w:val="0"/>
        <w:autoSpaceDE/>
        <w:autoSpaceDN/>
        <w:bidi w:val="0"/>
        <w:spacing w:line="560" w:lineRule="exact"/>
        <w:ind w:firstLine="636" w:firstLineChars="199"/>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账    号：1302010509200182305</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合同期内如甲方变更租费缴付账户，应及时将变更后的账户书面通知乙方。</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履约保证金</w:t>
      </w:r>
      <w:r>
        <w:rPr>
          <w:rFonts w:hint="eastAsia" w:ascii="仿宋_GB2312" w:hAnsi="仿宋_GB2312" w:eastAsia="仿宋_GB2312" w:cs="仿宋_GB2312"/>
          <w:kern w:val="0"/>
          <w:sz w:val="32"/>
          <w:szCs w:val="32"/>
        </w:rPr>
        <w:t>：乙方应于本</w:t>
      </w:r>
      <w:r>
        <w:rPr>
          <w:rFonts w:hint="eastAsia" w:ascii="仿宋_GB2312" w:hAnsi="仿宋_GB2312" w:eastAsia="仿宋_GB2312" w:cs="仿宋_GB2312"/>
          <w:kern w:val="0"/>
          <w:sz w:val="32"/>
          <w:szCs w:val="32"/>
          <w:lang w:val="en-US" w:eastAsia="zh-CN"/>
        </w:rPr>
        <w:t>合同</w:t>
      </w:r>
      <w:r>
        <w:rPr>
          <w:rFonts w:hint="eastAsia" w:ascii="仿宋_GB2312" w:hAnsi="仿宋_GB2312" w:eastAsia="仿宋_GB2312" w:cs="仿宋_GB2312"/>
          <w:kern w:val="0"/>
          <w:sz w:val="32"/>
          <w:szCs w:val="32"/>
        </w:rPr>
        <w:t>签订</w:t>
      </w:r>
      <w:r>
        <w:rPr>
          <w:rFonts w:hint="eastAsia" w:ascii="仿宋_GB2312" w:hAnsi="仿宋_GB2312" w:eastAsia="仿宋_GB2312" w:cs="仿宋_GB2312"/>
          <w:kern w:val="0"/>
          <w:sz w:val="32"/>
          <w:szCs w:val="32"/>
          <w:lang w:val="en-US" w:eastAsia="zh-CN"/>
        </w:rPr>
        <w:t>前</w:t>
      </w:r>
      <w:r>
        <w:rPr>
          <w:rFonts w:hint="eastAsia" w:ascii="仿宋_GB2312" w:hAnsi="仿宋_GB2312" w:eastAsia="仿宋_GB2312" w:cs="仿宋_GB2312"/>
          <w:kern w:val="0"/>
          <w:sz w:val="32"/>
          <w:szCs w:val="32"/>
        </w:rPr>
        <w:t>向甲方支付人民币</w:t>
      </w:r>
      <w:r>
        <w:rPr>
          <w:rFonts w:hint="eastAsia" w:ascii="仿宋_GB2312" w:hAnsi="仿宋_GB2312" w:eastAsia="仿宋_GB2312" w:cs="仿宋_GB2312"/>
          <w:kern w:val="0"/>
          <w:sz w:val="32"/>
          <w:szCs w:val="32"/>
          <w:u w:val="single"/>
          <w:lang w:val="en-US" w:eastAsia="zh-CN"/>
        </w:rPr>
        <w:t xml:space="preserve">     15000</w:t>
      </w:r>
      <w:r>
        <w:rPr>
          <w:rFonts w:hint="eastAsia" w:ascii="仿宋_GB2312" w:hAnsi="仿宋_GB2312" w:eastAsia="仿宋_GB2312" w:cs="仿宋_GB2312"/>
          <w:kern w:val="0"/>
          <w:sz w:val="32"/>
          <w:szCs w:val="32"/>
        </w:rPr>
        <w:t>元的履约保证金，甲方有权从该保证金中直接扣除应由乙方承担的租金、电费等费用。本合同期满后【</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】日内甲方无息返还乙方剩余保证金。</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租赁能耗、广告服务范围</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能耗：</w:t>
      </w:r>
      <w:r>
        <w:rPr>
          <w:rFonts w:hint="eastAsia" w:ascii="仿宋_GB2312" w:hAnsi="仿宋_GB2312" w:eastAsia="仿宋_GB2312" w:cs="仿宋_GB2312"/>
          <w:sz w:val="32"/>
          <w:szCs w:val="32"/>
        </w:rPr>
        <w:t>乙方安装灯箱广告前加装专用电表箱，计量承建灯箱广告牌及发布广告的日常用电量，电费收费标准按</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u w:val="single"/>
        </w:rPr>
        <w:t>元/度</w:t>
      </w:r>
      <w:r>
        <w:rPr>
          <w:rFonts w:hint="eastAsia" w:ascii="仿宋_GB2312" w:hAnsi="仿宋_GB2312" w:eastAsia="仿宋_GB2312" w:cs="仿宋_GB2312"/>
          <w:sz w:val="32"/>
          <w:szCs w:val="32"/>
        </w:rPr>
        <w:t>计算，由乙方自行支付，</w:t>
      </w:r>
      <w:r>
        <w:rPr>
          <w:rFonts w:hint="eastAsia" w:ascii="仿宋_GB2312" w:hAnsi="仿宋_GB2312" w:eastAsia="仿宋_GB2312" w:cs="仿宋_GB2312"/>
          <w:kern w:val="0"/>
          <w:sz w:val="32"/>
          <w:szCs w:val="32"/>
        </w:rPr>
        <w:t>每</w:t>
      </w:r>
      <w:r>
        <w:rPr>
          <w:rFonts w:hint="eastAsia" w:ascii="仿宋_GB2312" w:hAnsi="仿宋_GB2312" w:eastAsia="仿宋_GB2312" w:cs="仿宋_GB2312"/>
          <w:kern w:val="0"/>
          <w:sz w:val="32"/>
          <w:szCs w:val="32"/>
          <w:lang w:val="en-US" w:eastAsia="zh-CN"/>
        </w:rPr>
        <w:t>半</w:t>
      </w:r>
      <w:r>
        <w:rPr>
          <w:rFonts w:hint="eastAsia" w:ascii="仿宋_GB2312" w:hAnsi="仿宋_GB2312" w:eastAsia="仿宋_GB2312" w:cs="仿宋_GB2312"/>
          <w:kern w:val="0"/>
          <w:sz w:val="32"/>
          <w:szCs w:val="32"/>
        </w:rPr>
        <w:t>年结算一次，甲乙双方共同抄表审核，乙方应于抄表后7日内将电费支付至</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财务账号。</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广告服务范围：</w:t>
      </w:r>
      <w:r>
        <w:rPr>
          <w:rFonts w:hint="eastAsia" w:ascii="仿宋_GB2312" w:hAnsi="仿宋_GB2312" w:eastAsia="仿宋_GB2312" w:cs="仿宋_GB2312"/>
          <w:sz w:val="32"/>
          <w:szCs w:val="32"/>
        </w:rPr>
        <w:t>承租方发布的广告内容不得涉及同业禁止、不雅、违法广告内容，若被相关部门查处，由承租方承担相应责任。</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第四条 场地交付</w:t>
      </w:r>
    </w:p>
    <w:p>
      <w:pPr>
        <w:keepNext w:val="0"/>
        <w:keepLines w:val="0"/>
        <w:pageBreakBefore w:val="0"/>
        <w:widowControl/>
        <w:wordWrap/>
        <w:topLinePunct w:val="0"/>
        <w:autoSpaceDE/>
        <w:autoSpaceDN/>
        <w:bidi w:val="0"/>
        <w:spacing w:line="560" w:lineRule="exact"/>
        <w:ind w:firstLine="471"/>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1、甲方自合同签订生效后10个工作日内将场地交付给乙方。乙方未及时付清应付款项的，甲方有权拒绝交付场地且不承担违约责任，实际租赁期不进行顺延，由此造成的经济损失全部由乙方自行承担。</w:t>
      </w:r>
    </w:p>
    <w:p>
      <w:pPr>
        <w:keepNext w:val="0"/>
        <w:keepLines w:val="0"/>
        <w:pageBreakBefore w:val="0"/>
        <w:widowControl/>
        <w:wordWrap/>
        <w:topLinePunct w:val="0"/>
        <w:autoSpaceDE/>
        <w:autoSpaceDN/>
        <w:bidi w:val="0"/>
        <w:spacing w:line="560" w:lineRule="exact"/>
        <w:ind w:firstLine="471"/>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2、甲方原因推迟交付场地，则将租赁终止时间进行等长时段的顺延，实际租期保持不变；乙方原因推迟交还场地的，租赁终止时间不予顺延，租金起算日亦不予顺延。</w:t>
      </w:r>
    </w:p>
    <w:p>
      <w:pPr>
        <w:keepNext w:val="0"/>
        <w:keepLines w:val="0"/>
        <w:pageBreakBefore w:val="0"/>
        <w:widowControl/>
        <w:wordWrap/>
        <w:topLinePunct w:val="0"/>
        <w:autoSpaceDE/>
        <w:autoSpaceDN/>
        <w:bidi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灯箱广告承建及要求</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1、乙方租赁场地用于承建灯箱广告牌，具体数量尺寸以实际测量安装为主，具体位置根据现场实际双方协调点位为准。</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2、乙方承建灯箱广告的制作、安装、管理等全部费用和安全责任，均由乙方承担，甲方不承担任何费用及安全责任。</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3、广告牌所有权及经营权归乙方所有，乙方负责灯箱广告牌的安装和制作。</w:t>
      </w:r>
    </w:p>
    <w:p>
      <w:pPr>
        <w:pStyle w:val="5"/>
        <w:keepNext w:val="0"/>
        <w:keepLines w:val="0"/>
        <w:pageBreakBefore w:val="0"/>
        <w:kinsoku w:val="0"/>
        <w:wordWrap/>
        <w:overflowPunct w:val="0"/>
        <w:topLinePunct w:val="0"/>
        <w:autoSpaceDE/>
        <w:autoSpaceDN/>
        <w:bidi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4、乙方每周需安排巡查人员对所有点位的灯箱外框及画面进行2次巡查。如遇紧急情况下需半小时响应，两小时内到场处理。</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 双方的权利义务</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1、场地使用一经约定，未经对方书面同意，任何一方均不得更改或变动。</w:t>
      </w:r>
    </w:p>
    <w:p>
      <w:pPr>
        <w:keepNext w:val="0"/>
        <w:keepLines w:val="0"/>
        <w:pageBreakBefore w:val="0"/>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甲方应按合同约定如期将上述场地交付乙方按约定使用。</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乙方应按照本合同约定按时支付租金及承担各项费用。</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4、乙方需按照合同约定发布广告，不得发布不雅、违法广告内容。</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5、未经甲方书面同意，乙方不得将该场地转租、转让、借用给任何第三者使用。</w:t>
      </w:r>
    </w:p>
    <w:p>
      <w:pPr>
        <w:keepNext w:val="0"/>
        <w:keepLines w:val="0"/>
        <w:pageBreakBefore w:val="0"/>
        <w:widowControl/>
        <w:wordWrap/>
        <w:topLinePunct w:val="0"/>
        <w:autoSpaceDE/>
        <w:autoSpaceDN/>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6、乙方应自行办理并获得设置、发布广告所需的政府许可,只有在上述政府许可文件均已齐备、且经过甲方书面确认的情形下，乙方方能设置并发布该等广告。</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7、乙方必须保证所提供广告内容及表现形式的真实性和合法性，否则，由此而引起的全部责任，均由乙方承担。如给甲方造成损失，乙方应当赔偿。</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8、广告的安全责任由乙方承担，如乙方广告给任何第三方造成人身或财产损失的，均由乙方承担责任，对因此给甲方造成的损失，乙方应予赔偿。</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不可抗力</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本合同所称“不可抗力”系指不能预见、不能避免并不能克服的客观情况，包括但不限于战争、动乱、自然灾害、政府对场地进行征用等。在不可抗力的情形下，甲、乙双方应就相关善后事宜进行协商。</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违约责任</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1、一方违约，应向另一方承担本合同及法律规定的违约责任。</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未能按本合同约定如期足额支付费用（包括租金、电费等乙方应付费用），每逾期一天，乙方应按未付金额的3‰作为违约金支付予甲方,直至租金缴纳完毕为止，逾期达【15】日的，则甲方有权解除本合同，停止广告位租赁，收回该广告位。如甲方不解除本合同，在乙方未付清租金之前，乙方不得利用该广告位进行广告发布，如已发布甲方有权采取措施阻止乙方进行广告发布，包括但不限于撤掉画面等，所需费用由乙方承担，乙方对此无异议，不以甲方未经其同意聘请他方拆除及费用未经其确认为由向甲方提出抗辩。</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bookmarkStart w:id="3" w:name="_Hlk50310056"/>
      <w:bookmarkStart w:id="4" w:name="_Hlk50308076"/>
      <w:r>
        <w:rPr>
          <w:rFonts w:hint="eastAsia" w:ascii="仿宋_GB2312" w:hAnsi="仿宋_GB2312" w:eastAsia="仿宋_GB2312" w:cs="仿宋_GB2312"/>
          <w:sz w:val="32"/>
          <w:szCs w:val="32"/>
        </w:rPr>
        <w:t>3、因乙方违约造成甲方损失的，乙方还应赔偿甲方为维护自身合法权益而支出的包括但不限于诉讼费、律师费、保全费、担保费、差旅费、文印费、保全担保费等一切支出</w:t>
      </w:r>
      <w:bookmarkEnd w:id="3"/>
      <w:r>
        <w:rPr>
          <w:rFonts w:hint="eastAsia" w:ascii="仿宋_GB2312" w:hAnsi="仿宋_GB2312" w:eastAsia="仿宋_GB2312" w:cs="仿宋_GB2312"/>
          <w:sz w:val="32"/>
          <w:szCs w:val="32"/>
        </w:rPr>
        <w:t>。</w:t>
      </w:r>
    </w:p>
    <w:bookmarkEnd w:id="4"/>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争议解决</w:t>
      </w:r>
    </w:p>
    <w:p>
      <w:pPr>
        <w:keepNext w:val="0"/>
        <w:keepLines w:val="0"/>
        <w:pageBreakBefore w:val="0"/>
        <w:widowControl/>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各方在本合同项下产生争议，应当首先友好协商解决。协商不成，任何一方有权向租赁场地所在地人民法院起诉解决。</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 合同终止</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在下列情形下，经双方协商一致，一方当事人可解除本合同：</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（1）因不可抗力致使不能实现本合同目的；</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（2）在履行期届满之前，另一方明确表示或者以自己的行为表明不履行主要债务或义务；</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（3）另一方违约导致本合同目的不能实现。</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期满终止或提前解除，乙方应立即拆除广告画面并达到甲方满意，否则甲方有权聘请他方拆除，所需费用由乙方承担。乙方在此明确表示不以甲方未经其同意聘请他方拆除及费用未经其确认为由向甲方提出抗辩。</w:t>
      </w: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 送达地址</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甲方确认的通讯送达地址：合肥市汤池路与茗香路交口</w:t>
      </w:r>
      <w:r>
        <w:rPr>
          <w:rFonts w:hint="eastAsia" w:ascii="仿宋_GB2312" w:hAnsi="仿宋_GB2312" w:eastAsia="仿宋_GB2312" w:cs="仿宋_GB2312"/>
          <w:sz w:val="32"/>
          <w:szCs w:val="32"/>
          <w:lang w:val="en-US" w:eastAsia="zh-CN"/>
        </w:rPr>
        <w:t>文渊府客服中心</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收件人：资产</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rPr>
        <w:t>部         联系电话：</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乙方确认的通讯送达地址： </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              联系电话：</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电子邮箱：</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b/>
          <w:bCs/>
          <w:sz w:val="32"/>
          <w:szCs w:val="32"/>
        </w:rPr>
      </w:pPr>
    </w:p>
    <w:p>
      <w:pPr>
        <w:keepNext w:val="0"/>
        <w:keepLines w:val="0"/>
        <w:pageBreakBefore w:val="0"/>
        <w:wordWrap/>
        <w:topLinePunct w:val="0"/>
        <w:autoSpaceDE/>
        <w:autoSpaceDN/>
        <w:bidi w:val="0"/>
        <w:adjustRightInd w:val="0"/>
        <w:snapToGrid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第十二条 其他事项  </w:t>
      </w:r>
    </w:p>
    <w:p>
      <w:pPr>
        <w:keepNext w:val="0"/>
        <w:keepLines w:val="0"/>
        <w:pageBreakBefore w:val="0"/>
        <w:widowControl/>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本合同自双方签字盖章之日起生效，一式四份，甲方执贰份,乙方执贰份，均具有同等法律效力。</w:t>
      </w:r>
    </w:p>
    <w:p>
      <w:pPr>
        <w:keepNext w:val="0"/>
        <w:keepLines w:val="0"/>
        <w:pageBreakBefore w:val="0"/>
        <w:wordWrap/>
        <w:topLinePunct w:val="0"/>
        <w:autoSpaceDE/>
        <w:autoSpaceDN/>
        <w:bidi w:val="0"/>
        <w:adjustRightInd w:val="0"/>
        <w:snapToGrid w:val="0"/>
        <w:spacing w:line="560" w:lineRule="exact"/>
        <w:ind w:firstLine="640" w:firstLineChars="200"/>
        <w:outlineLvl w:val="9"/>
        <w:rPr>
          <w:rFonts w:hint="eastAsia" w:ascii="仿宋_GB2312" w:hAnsi="仿宋_GB2312" w:eastAsia="仿宋_GB2312" w:cs="仿宋_GB2312"/>
          <w:sz w:val="32"/>
          <w:szCs w:val="32"/>
        </w:rPr>
      </w:pP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法定代表人/授权代理人（签字）：</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    年  月  日</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法定代表人/授权代理人（签字）：</w:t>
      </w:r>
    </w:p>
    <w:p>
      <w:pPr>
        <w:keepNext w:val="0"/>
        <w:keepLines w:val="0"/>
        <w:pageBreakBefore w:val="0"/>
        <w:wordWrap/>
        <w:topLinePunct w:val="0"/>
        <w:autoSpaceDE/>
        <w:autoSpaceDN/>
        <w:bidi w:val="0"/>
        <w:adjustRightInd w:val="0"/>
        <w:snapToGrid w:val="0"/>
        <w:spacing w:line="560" w:lineRule="exac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签约日期：    年  月  日</w:t>
      </w: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三</w:t>
      </w:r>
      <w:r>
        <w:rPr>
          <w:rFonts w:hint="eastAsia"/>
          <w:sz w:val="32"/>
          <w:szCs w:val="32"/>
        </w:rPr>
        <w:t>：</w:t>
      </w:r>
    </w:p>
    <w:p>
      <w:pPr>
        <w:spacing w:line="360" w:lineRule="auto"/>
        <w:ind w:firstLine="2653" w:firstLineChars="603"/>
        <w:rPr>
          <w:rFonts w:ascii="仿宋_GB2312" w:hAnsi="等线" w:eastAsia="仿宋_GB2312" w:cs="等线"/>
          <w:sz w:val="44"/>
          <w:szCs w:val="44"/>
        </w:rPr>
      </w:pPr>
      <w:r>
        <w:rPr>
          <w:rFonts w:hint="eastAsia" w:ascii="仿宋_GB2312" w:hAnsi="等线" w:eastAsia="仿宋_GB2312" w:cs="等线"/>
          <w:sz w:val="44"/>
          <w:szCs w:val="44"/>
        </w:rPr>
        <w:t>__________交付表</w:t>
      </w:r>
    </w:p>
    <w:tbl>
      <w:tblPr>
        <w:tblStyle w:val="7"/>
        <w:tblpPr w:leftFromText="180" w:rightFromText="180" w:vertAnchor="text" w:horzAnchor="page" w:tblpX="1797"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063"/>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928"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序号</w:t>
            </w:r>
          </w:p>
        </w:tc>
        <w:tc>
          <w:tcPr>
            <w:tcW w:w="2063"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项目</w:t>
            </w:r>
          </w:p>
        </w:tc>
        <w:tc>
          <w:tcPr>
            <w:tcW w:w="5531"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1</w:t>
            </w:r>
          </w:p>
        </w:tc>
        <w:tc>
          <w:tcPr>
            <w:tcW w:w="2063"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lang w:val="en-US" w:eastAsia="zh-CN"/>
              </w:rPr>
              <w:t>标的</w:t>
            </w:r>
            <w:r>
              <w:rPr>
                <w:rFonts w:hint="eastAsia" w:ascii="仿宋_GB2312" w:hAnsi="等线" w:eastAsia="仿宋_GB2312" w:cs="等线"/>
                <w:sz w:val="24"/>
              </w:rPr>
              <w:t>名称</w:t>
            </w:r>
          </w:p>
        </w:tc>
        <w:tc>
          <w:tcPr>
            <w:tcW w:w="5531" w:type="dxa"/>
            <w:vAlign w:val="center"/>
          </w:tcPr>
          <w:p>
            <w:pPr>
              <w:spacing w:line="360" w:lineRule="auto"/>
              <w:jc w:val="center"/>
              <w:rPr>
                <w:rFonts w:ascii="仿宋_GB2312" w:hAnsi="等线" w:eastAsia="仿宋_GB2312"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2</w:t>
            </w:r>
          </w:p>
        </w:tc>
        <w:tc>
          <w:tcPr>
            <w:tcW w:w="2063"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交付时间</w:t>
            </w:r>
          </w:p>
        </w:tc>
        <w:tc>
          <w:tcPr>
            <w:tcW w:w="5531" w:type="dxa"/>
            <w:vAlign w:val="center"/>
          </w:tcPr>
          <w:p>
            <w:pPr>
              <w:spacing w:line="360" w:lineRule="auto"/>
              <w:jc w:val="center"/>
              <w:rPr>
                <w:rFonts w:ascii="仿宋_GB2312" w:hAnsi="等线" w:eastAsia="仿宋_GB2312"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28"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3</w:t>
            </w:r>
          </w:p>
        </w:tc>
        <w:tc>
          <w:tcPr>
            <w:tcW w:w="2063"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交付状态</w:t>
            </w:r>
          </w:p>
        </w:tc>
        <w:tc>
          <w:tcPr>
            <w:tcW w:w="5531" w:type="dxa"/>
            <w:vAlign w:val="center"/>
          </w:tcPr>
          <w:p>
            <w:pPr>
              <w:spacing w:line="360" w:lineRule="auto"/>
              <w:jc w:val="center"/>
              <w:rPr>
                <w:rFonts w:ascii="仿宋_GB2312" w:hAnsi="等线" w:eastAsia="仿宋_GB2312"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28"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4</w:t>
            </w:r>
          </w:p>
        </w:tc>
        <w:tc>
          <w:tcPr>
            <w:tcW w:w="2063"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水、电、气表读数</w:t>
            </w:r>
          </w:p>
        </w:tc>
        <w:tc>
          <w:tcPr>
            <w:tcW w:w="5531" w:type="dxa"/>
            <w:vAlign w:val="center"/>
          </w:tcPr>
          <w:p>
            <w:pPr>
              <w:spacing w:line="360" w:lineRule="auto"/>
              <w:jc w:val="center"/>
              <w:rPr>
                <w:rFonts w:ascii="仿宋_GB2312" w:hAnsi="等线" w:eastAsia="仿宋_GB2312"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28"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5</w:t>
            </w:r>
          </w:p>
        </w:tc>
        <w:tc>
          <w:tcPr>
            <w:tcW w:w="2063" w:type="dxa"/>
            <w:vAlign w:val="center"/>
          </w:tcPr>
          <w:p>
            <w:pPr>
              <w:spacing w:line="360" w:lineRule="auto"/>
              <w:jc w:val="center"/>
              <w:rPr>
                <w:rFonts w:ascii="仿宋_GB2312" w:hAnsi="等线" w:eastAsia="仿宋_GB2312" w:cs="等线"/>
                <w:sz w:val="24"/>
              </w:rPr>
            </w:pPr>
            <w:r>
              <w:rPr>
                <w:rFonts w:hint="eastAsia" w:ascii="仿宋_GB2312" w:hAnsi="等线" w:eastAsia="仿宋_GB2312" w:cs="等线"/>
                <w:sz w:val="24"/>
              </w:rPr>
              <w:t>其他</w:t>
            </w:r>
          </w:p>
        </w:tc>
        <w:tc>
          <w:tcPr>
            <w:tcW w:w="5531" w:type="dxa"/>
            <w:vAlign w:val="center"/>
          </w:tcPr>
          <w:p>
            <w:pPr>
              <w:spacing w:line="360" w:lineRule="auto"/>
              <w:jc w:val="center"/>
              <w:rPr>
                <w:rFonts w:ascii="仿宋_GB2312" w:hAnsi="等线" w:eastAsia="仿宋_GB2312" w:cs="等线"/>
                <w:sz w:val="24"/>
              </w:rPr>
            </w:pPr>
          </w:p>
        </w:tc>
      </w:tr>
    </w:tbl>
    <w:p>
      <w:pPr>
        <w:spacing w:line="360" w:lineRule="auto"/>
        <w:ind w:firstLine="640"/>
        <w:rPr>
          <w:rFonts w:ascii="仿宋_GB2312" w:hAnsi="等线" w:eastAsia="仿宋_GB2312" w:cs="等线"/>
          <w:sz w:val="44"/>
          <w:szCs w:val="44"/>
        </w:rPr>
      </w:pPr>
    </w:p>
    <w:p>
      <w:pPr>
        <w:spacing w:line="360" w:lineRule="auto"/>
        <w:ind w:firstLine="640"/>
        <w:rPr>
          <w:rFonts w:ascii="仿宋_GB2312" w:hAnsi="等线" w:eastAsia="仿宋_GB2312" w:cs="等线"/>
          <w:sz w:val="44"/>
          <w:szCs w:val="44"/>
        </w:rPr>
      </w:pPr>
    </w:p>
    <w:p>
      <w:pPr>
        <w:spacing w:line="360" w:lineRule="auto"/>
        <w:ind w:firstLine="640"/>
        <w:rPr>
          <w:rFonts w:ascii="仿宋_GB2312" w:hAnsi="等线" w:eastAsia="仿宋_GB2312" w:cs="等线"/>
          <w:sz w:val="44"/>
          <w:szCs w:val="44"/>
        </w:rPr>
      </w:pPr>
    </w:p>
    <w:p>
      <w:pPr>
        <w:spacing w:line="360" w:lineRule="auto"/>
        <w:ind w:firstLine="640"/>
        <w:rPr>
          <w:rFonts w:ascii="仿宋_GB2312" w:hAnsi="等线" w:eastAsia="仿宋_GB2312" w:cs="等线"/>
          <w:sz w:val="44"/>
          <w:szCs w:val="44"/>
        </w:rPr>
      </w:pPr>
    </w:p>
    <w:p>
      <w:pPr>
        <w:spacing w:line="360" w:lineRule="auto"/>
        <w:ind w:firstLine="640"/>
        <w:rPr>
          <w:rFonts w:ascii="仿宋_GB2312" w:hAnsi="等线" w:eastAsia="仿宋_GB2312" w:cs="等线"/>
          <w:sz w:val="44"/>
          <w:szCs w:val="44"/>
        </w:rPr>
      </w:pPr>
    </w:p>
    <w:p>
      <w:pPr>
        <w:spacing w:line="360" w:lineRule="auto"/>
        <w:ind w:firstLine="0"/>
        <w:rPr>
          <w:rFonts w:ascii="仿宋_GB2312" w:hAnsi="等线" w:eastAsia="仿宋_GB2312" w:cs="等线"/>
          <w:sz w:val="44"/>
          <w:szCs w:val="44"/>
        </w:rPr>
      </w:pPr>
    </w:p>
    <w:p>
      <w:pPr>
        <w:pStyle w:val="13"/>
        <w:rPr>
          <w:rFonts w:ascii="仿宋_GB2312" w:hAnsi="等线" w:eastAsia="仿宋_GB2312" w:cs="等线"/>
          <w:sz w:val="44"/>
          <w:szCs w:val="44"/>
        </w:rPr>
      </w:pPr>
    </w:p>
    <w:p>
      <w:pPr>
        <w:spacing w:line="360" w:lineRule="auto"/>
        <w:rPr>
          <w:sz w:val="32"/>
          <w:szCs w:val="32"/>
        </w:rPr>
      </w:pPr>
      <w:bookmarkStart w:id="5" w:name="_Toc38783649"/>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四</w:t>
      </w:r>
      <w:r>
        <w:rPr>
          <w:rFonts w:hint="eastAsia"/>
          <w:sz w:val="32"/>
          <w:szCs w:val="32"/>
        </w:rPr>
        <w:t>：</w:t>
      </w:r>
    </w:p>
    <w:p>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开标一览表</w:t>
      </w:r>
      <w:bookmarkEnd w:id="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项 目 名 称</w:t>
            </w:r>
          </w:p>
        </w:tc>
        <w:tc>
          <w:tcPr>
            <w:tcW w:w="6876" w:type="dxa"/>
            <w:tcBorders>
              <w:top w:val="single" w:color="auto" w:sz="4" w:space="0"/>
              <w:bottom w:val="single" w:color="auto" w:sz="4" w:space="0"/>
              <w:right w:val="single" w:color="auto" w:sz="4" w:space="0"/>
            </w:tcBorders>
            <w:noWrap w:val="0"/>
            <w:vAlign w:val="center"/>
          </w:tcPr>
          <w:p>
            <w:pPr>
              <w:spacing w:line="360" w:lineRule="exact"/>
              <w:ind w:firstLine="560" w:firstLineChars="200"/>
              <w:jc w:val="center"/>
              <w:rPr>
                <w:rFonts w:ascii="仿宋_GB2312" w:hAnsi="宋体" w:eastAsia="仿宋_GB2312" w:cs="宋体"/>
                <w:bCs/>
                <w:color w:val="000000"/>
                <w:sz w:val="24"/>
                <w:szCs w:val="22"/>
              </w:rPr>
            </w:pPr>
            <w:r>
              <w:rPr>
                <w:rFonts w:hint="eastAsia" w:ascii="仿宋_GB2312" w:hAnsi="仿宋_GB2312" w:eastAsia="仿宋_GB2312" w:cs="仿宋_GB2312"/>
                <w:sz w:val="28"/>
                <w:szCs w:val="28"/>
              </w:rPr>
              <w:t>绿轴车库出入口墙面广告经营权租赁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noWrap w:val="0"/>
            <w:vAlign w:val="center"/>
          </w:tcPr>
          <w:p>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投标人全称</w:t>
            </w:r>
          </w:p>
        </w:tc>
        <w:tc>
          <w:tcPr>
            <w:tcW w:w="6876" w:type="dxa"/>
            <w:tcBorders>
              <w:top w:val="nil"/>
            </w:tcBorders>
            <w:noWrap w:val="0"/>
            <w:vAlign w:val="center"/>
          </w:tcPr>
          <w:p>
            <w:pPr>
              <w:spacing w:line="360" w:lineRule="auto"/>
              <w:ind w:firstLine="480" w:firstLineChars="200"/>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noWrap w:val="0"/>
            <w:vAlign w:val="center"/>
          </w:tcPr>
          <w:p>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投标范围</w:t>
            </w:r>
          </w:p>
        </w:tc>
        <w:tc>
          <w:tcPr>
            <w:tcW w:w="6876" w:type="dxa"/>
            <w:tcBorders>
              <w:top w:val="nil"/>
            </w:tcBorders>
            <w:noWrap w:val="0"/>
            <w:vAlign w:val="center"/>
          </w:tcPr>
          <w:p>
            <w:pPr>
              <w:widowControl/>
              <w:spacing w:line="360" w:lineRule="exact"/>
              <w:ind w:firstLine="480" w:firstLineChars="200"/>
              <w:rPr>
                <w:rFonts w:ascii="宋体" w:hAnsi="宋体" w:cs="宋体"/>
                <w:b/>
                <w:color w:val="000000"/>
                <w:sz w:val="24"/>
                <w:szCs w:val="22"/>
              </w:rPr>
            </w:pPr>
            <w:r>
              <w:rPr>
                <w:rFonts w:hint="eastAsia" w:ascii="宋体" w:hAnsi="宋体" w:cs="宋体"/>
                <w:color w:val="000000"/>
                <w:sz w:val="24"/>
                <w:szCs w:val="22"/>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noWrap w:val="0"/>
            <w:vAlign w:val="center"/>
          </w:tcPr>
          <w:p>
            <w:pPr>
              <w:spacing w:line="360" w:lineRule="exact"/>
              <w:ind w:firstLine="482" w:firstLineChars="200"/>
              <w:jc w:val="center"/>
              <w:rPr>
                <w:rFonts w:hint="default" w:ascii="宋体" w:hAnsi="宋体" w:cs="宋体" w:eastAsiaTheme="minorEastAsia"/>
                <w:b/>
                <w:color w:val="000000"/>
                <w:sz w:val="24"/>
                <w:szCs w:val="22"/>
                <w:lang w:val="en-US" w:eastAsia="zh-CN"/>
              </w:rPr>
            </w:pPr>
            <w:r>
              <w:rPr>
                <w:rFonts w:hint="eastAsia" w:ascii="宋体" w:hAnsi="宋体" w:cs="宋体"/>
                <w:b/>
                <w:color w:val="000000"/>
                <w:sz w:val="24"/>
                <w:szCs w:val="22"/>
                <w:lang w:val="en-US" w:eastAsia="zh-CN"/>
              </w:rPr>
              <w:t>首年承租金额</w:t>
            </w:r>
          </w:p>
          <w:p>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（人民币）</w:t>
            </w:r>
          </w:p>
        </w:tc>
        <w:tc>
          <w:tcPr>
            <w:tcW w:w="6876" w:type="dxa"/>
            <w:tcBorders>
              <w:top w:val="nil"/>
            </w:tcBorders>
            <w:noWrap w:val="0"/>
            <w:vAlign w:val="center"/>
          </w:tcPr>
          <w:p>
            <w:pPr>
              <w:spacing w:line="360" w:lineRule="auto"/>
              <w:ind w:right="-670" w:firstLine="480" w:firstLineChars="200"/>
              <w:rPr>
                <w:rFonts w:ascii="宋体" w:hAnsi="宋体" w:cs="宋体"/>
                <w:color w:val="000000"/>
                <w:sz w:val="24"/>
                <w:szCs w:val="22"/>
              </w:rPr>
            </w:pPr>
            <w:r>
              <w:rPr>
                <w:rFonts w:hint="eastAsia" w:ascii="宋体" w:hAnsi="宋体" w:cs="宋体"/>
                <w:color w:val="000000"/>
                <w:sz w:val="24"/>
                <w:szCs w:val="22"/>
                <w:u w:val="single"/>
              </w:rPr>
              <w:t xml:space="preserve">             </w:t>
            </w:r>
            <w:r>
              <w:rPr>
                <w:rFonts w:hint="eastAsia" w:ascii="宋体" w:hAnsi="宋体" w:cs="宋体"/>
                <w:color w:val="000000"/>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ind w:firstLine="482" w:firstLineChars="200"/>
              <w:jc w:val="center"/>
              <w:rPr>
                <w:rFonts w:ascii="宋体" w:hAnsi="宋体" w:cs="宋体"/>
                <w:b/>
                <w:color w:val="000000"/>
                <w:sz w:val="24"/>
                <w:szCs w:val="22"/>
              </w:rPr>
            </w:pPr>
            <w:r>
              <w:rPr>
                <w:rFonts w:hint="eastAsia" w:ascii="宋体" w:hAnsi="宋体" w:cs="宋体"/>
                <w:b/>
                <w:color w:val="000000"/>
                <w:sz w:val="24"/>
                <w:szCs w:val="22"/>
              </w:rPr>
              <w:t>备注</w:t>
            </w:r>
          </w:p>
        </w:tc>
        <w:tc>
          <w:tcPr>
            <w:tcW w:w="6876" w:type="dxa"/>
            <w:tcBorders>
              <w:top w:val="nil"/>
            </w:tcBorders>
            <w:noWrap w:val="0"/>
            <w:vAlign w:val="center"/>
          </w:tcPr>
          <w:p>
            <w:pPr>
              <w:spacing w:line="360" w:lineRule="auto"/>
              <w:ind w:firstLine="480" w:firstLineChars="200"/>
              <w:jc w:val="left"/>
              <w:rPr>
                <w:rFonts w:ascii="宋体" w:hAnsi="宋体" w:cs="宋体"/>
                <w:color w:val="000000"/>
                <w:sz w:val="24"/>
                <w:szCs w:val="22"/>
              </w:rPr>
            </w:pPr>
          </w:p>
        </w:tc>
      </w:tr>
    </w:tbl>
    <w:p>
      <w:pPr>
        <w:spacing w:before="100" w:beforeAutospacing="1" w:after="100" w:afterAutospacing="1" w:line="360" w:lineRule="auto"/>
        <w:ind w:firstLine="482" w:firstLineChars="200"/>
        <w:rPr>
          <w:rFonts w:ascii="宋体" w:hAnsi="宋体" w:cs="宋体"/>
          <w:b/>
          <w:color w:val="000000"/>
          <w:sz w:val="24"/>
          <w:szCs w:val="22"/>
        </w:rPr>
      </w:pPr>
      <w:r>
        <w:rPr>
          <w:rFonts w:hint="eastAsia" w:ascii="宋体" w:hAnsi="宋体" w:cs="宋体"/>
          <w:b/>
          <w:color w:val="000000"/>
          <w:sz w:val="24"/>
          <w:szCs w:val="22"/>
        </w:rPr>
        <w:t xml:space="preserve">投标人(公章)：                                           </w:t>
      </w:r>
    </w:p>
    <w:p>
      <w:pPr>
        <w:spacing w:line="360" w:lineRule="auto"/>
        <w:ind w:firstLine="482" w:firstLineChars="200"/>
        <w:rPr>
          <w:rFonts w:ascii="宋体" w:hAnsi="宋体" w:cs="宋体"/>
          <w:b/>
          <w:color w:val="000000"/>
          <w:sz w:val="24"/>
          <w:szCs w:val="22"/>
        </w:rPr>
      </w:pPr>
      <w:r>
        <w:rPr>
          <w:rFonts w:hint="eastAsia" w:ascii="宋体" w:hAnsi="宋体" w:cs="宋体"/>
          <w:b/>
          <w:color w:val="000000"/>
          <w:sz w:val="24"/>
          <w:szCs w:val="22"/>
        </w:rPr>
        <w:t>备注：表中</w:t>
      </w:r>
      <w:r>
        <w:rPr>
          <w:rFonts w:hint="eastAsia" w:ascii="宋体" w:hAnsi="宋体" w:cs="宋体"/>
          <w:b/>
          <w:color w:val="000000"/>
          <w:sz w:val="24"/>
          <w:szCs w:val="22"/>
          <w:lang w:val="en-US" w:eastAsia="zh-CN"/>
        </w:rPr>
        <w:t>为</w:t>
      </w:r>
      <w:r>
        <w:rPr>
          <w:rFonts w:hint="eastAsia" w:ascii="宋体" w:hAnsi="宋体" w:cs="宋体"/>
          <w:b/>
          <w:color w:val="000000"/>
          <w:sz w:val="24"/>
          <w:szCs w:val="22"/>
        </w:rPr>
        <w:t>最终投标报价</w:t>
      </w:r>
      <w:r>
        <w:rPr>
          <w:rFonts w:hint="eastAsia" w:ascii="宋体" w:hAnsi="宋体" w:cs="宋体"/>
          <w:b/>
          <w:color w:val="000000"/>
          <w:sz w:val="24"/>
          <w:szCs w:val="22"/>
          <w:lang w:eastAsia="zh-CN"/>
        </w:rPr>
        <w:t>，</w:t>
      </w:r>
      <w:r>
        <w:rPr>
          <w:rFonts w:hint="eastAsia" w:ascii="宋体" w:hAnsi="宋体" w:cs="宋体"/>
          <w:b/>
          <w:color w:val="000000"/>
          <w:sz w:val="24"/>
          <w:szCs w:val="22"/>
        </w:rPr>
        <w:t>并作为评审及定标依据。任何有选择或有条件的最终投标报价，或者表中某一标段填写多个报价，均为无效报价。</w:t>
      </w:r>
    </w:p>
    <w:p>
      <w:pPr>
        <w:ind w:firstLine="420" w:firstLineChars="200"/>
        <w:rPr>
          <w:szCs w:val="22"/>
        </w:rPr>
      </w:pPr>
    </w:p>
    <w:p>
      <w:pPr>
        <w:ind w:firstLine="420" w:firstLineChars="200"/>
        <w:rPr>
          <w:color w:val="000000"/>
          <w:szCs w:val="22"/>
        </w:rPr>
      </w:pPr>
    </w:p>
    <w:p>
      <w:pPr>
        <w:ind w:firstLine="420" w:firstLineChars="200"/>
        <w:rPr>
          <w:color w:val="000000"/>
          <w:szCs w:val="22"/>
        </w:rPr>
      </w:pPr>
    </w:p>
    <w:p>
      <w:pPr>
        <w:spacing w:line="360" w:lineRule="auto"/>
        <w:ind w:firstLine="640"/>
        <w:rPr>
          <w:rFonts w:ascii="仿宋_GB2312" w:hAnsi="等线" w:eastAsia="仿宋_GB2312" w:cs="等线"/>
          <w:sz w:val="24"/>
        </w:rPr>
      </w:pPr>
    </w:p>
    <w:p/>
    <w:tbl>
      <w:tblPr>
        <w:tblW w:w="82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11"/>
        <w:gridCol w:w="1191"/>
        <w:gridCol w:w="1550"/>
        <w:gridCol w:w="1325"/>
        <w:gridCol w:w="1359"/>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69"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bdr w:val="none" w:color="auto" w:sz="0" w:space="0"/>
                <w:lang w:val="en-US" w:eastAsia="zh-CN" w:bidi="ar"/>
              </w:rPr>
              <w:t>投标单位信息一览表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11" w:type="dxa"/>
            <w:tcBorders>
              <w:top w:val="nil"/>
              <w:left w:val="nil"/>
              <w:bottom w:val="nil"/>
              <w:right w:val="nil"/>
            </w:tcBorders>
            <w:shd w:val="clear"/>
            <w:noWrap/>
            <w:vAlign w:val="center"/>
          </w:tcPr>
          <w:p>
            <w:pPr>
              <w:rPr>
                <w:rFonts w:hint="eastAsia" w:ascii="仿宋_GB2312" w:hAnsi="仿宋_GB2312" w:eastAsia="仿宋_GB2312" w:cs="仿宋_GB2312"/>
                <w:i w:val="0"/>
                <w:iCs w:val="0"/>
                <w:color w:val="000000"/>
                <w:sz w:val="28"/>
                <w:szCs w:val="28"/>
                <w:u w:val="none"/>
              </w:rPr>
            </w:pPr>
          </w:p>
        </w:tc>
        <w:tc>
          <w:tcPr>
            <w:tcW w:w="1191" w:type="dxa"/>
            <w:tcBorders>
              <w:top w:val="nil"/>
              <w:left w:val="nil"/>
              <w:bottom w:val="nil"/>
              <w:right w:val="nil"/>
            </w:tcBorders>
            <w:shd w:val="clear"/>
            <w:noWrap/>
            <w:vAlign w:val="center"/>
          </w:tcPr>
          <w:p>
            <w:pPr>
              <w:rPr>
                <w:rFonts w:hint="eastAsia" w:ascii="仿宋_GB2312" w:hAnsi="仿宋_GB2312" w:eastAsia="仿宋_GB2312" w:cs="仿宋_GB2312"/>
                <w:i w:val="0"/>
                <w:iCs w:val="0"/>
                <w:color w:val="000000"/>
                <w:sz w:val="28"/>
                <w:szCs w:val="28"/>
                <w:u w:val="none"/>
              </w:rPr>
            </w:pPr>
          </w:p>
        </w:tc>
        <w:tc>
          <w:tcPr>
            <w:tcW w:w="1550" w:type="dxa"/>
            <w:tcBorders>
              <w:top w:val="nil"/>
              <w:left w:val="nil"/>
              <w:bottom w:val="nil"/>
              <w:right w:val="nil"/>
            </w:tcBorders>
            <w:shd w:val="clear"/>
            <w:noWrap/>
            <w:vAlign w:val="center"/>
          </w:tcPr>
          <w:p>
            <w:pPr>
              <w:rPr>
                <w:rFonts w:hint="eastAsia" w:ascii="仿宋_GB2312" w:hAnsi="仿宋_GB2312" w:eastAsia="仿宋_GB2312" w:cs="仿宋_GB2312"/>
                <w:i w:val="0"/>
                <w:iCs w:val="0"/>
                <w:color w:val="000000"/>
                <w:sz w:val="28"/>
                <w:szCs w:val="28"/>
                <w:u w:val="none"/>
              </w:rPr>
            </w:pPr>
          </w:p>
        </w:tc>
        <w:tc>
          <w:tcPr>
            <w:tcW w:w="1325" w:type="dxa"/>
            <w:tcBorders>
              <w:top w:val="nil"/>
              <w:left w:val="nil"/>
              <w:bottom w:val="nil"/>
              <w:right w:val="nil"/>
            </w:tcBorders>
            <w:shd w:val="clear"/>
            <w:noWrap/>
            <w:vAlign w:val="center"/>
          </w:tcPr>
          <w:p>
            <w:pPr>
              <w:rPr>
                <w:rFonts w:hint="eastAsia" w:ascii="仿宋_GB2312" w:hAnsi="仿宋_GB2312" w:eastAsia="仿宋_GB2312" w:cs="仿宋_GB2312"/>
                <w:i w:val="0"/>
                <w:iCs w:val="0"/>
                <w:color w:val="000000"/>
                <w:sz w:val="28"/>
                <w:szCs w:val="28"/>
                <w:u w:val="none"/>
              </w:rPr>
            </w:pPr>
          </w:p>
        </w:tc>
        <w:tc>
          <w:tcPr>
            <w:tcW w:w="1359" w:type="dxa"/>
            <w:tcBorders>
              <w:top w:val="nil"/>
              <w:left w:val="nil"/>
              <w:bottom w:val="nil"/>
              <w:right w:val="nil"/>
            </w:tcBorders>
            <w:shd w:val="clear"/>
            <w:noWrap/>
            <w:vAlign w:val="center"/>
          </w:tcPr>
          <w:p>
            <w:pPr>
              <w:rPr>
                <w:rFonts w:hint="eastAsia" w:ascii="仿宋_GB2312" w:hAnsi="仿宋_GB2312" w:eastAsia="仿宋_GB2312" w:cs="仿宋_GB2312"/>
                <w:i w:val="0"/>
                <w:iCs w:val="0"/>
                <w:color w:val="000000"/>
                <w:sz w:val="28"/>
                <w:szCs w:val="28"/>
                <w:u w:val="none"/>
              </w:rPr>
            </w:pPr>
          </w:p>
        </w:tc>
        <w:tc>
          <w:tcPr>
            <w:tcW w:w="1433" w:type="dxa"/>
            <w:tcBorders>
              <w:top w:val="nil"/>
              <w:left w:val="nil"/>
              <w:bottom w:val="nil"/>
              <w:right w:val="nil"/>
            </w:tcBorders>
            <w:shd w:val="clear"/>
            <w:noWrap/>
            <w:vAlign w:val="center"/>
          </w:tcPr>
          <w:p>
            <w:pP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投标项目</w:t>
            </w:r>
          </w:p>
        </w:tc>
        <w:tc>
          <w:tcPr>
            <w:tcW w:w="685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sz w:val="28"/>
                <w:szCs w:val="28"/>
              </w:rPr>
              <w:t>绿轴车库出入口墙面广告经营权租赁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投标单位</w:t>
            </w:r>
          </w:p>
        </w:tc>
        <w:tc>
          <w:tcPr>
            <w:tcW w:w="685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24"/>
                <w:szCs w:val="24"/>
                <w:u w:val="none"/>
              </w:rPr>
            </w:pPr>
            <w:bookmarkStart w:id="6" w:name="_GoBack"/>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14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经营范围</w:t>
            </w:r>
          </w:p>
        </w:tc>
        <w:tc>
          <w:tcPr>
            <w:tcW w:w="685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4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注册资本</w:t>
            </w:r>
          </w:p>
        </w:tc>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法人代表</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企业性质</w:t>
            </w:r>
          </w:p>
        </w:tc>
        <w:tc>
          <w:tcPr>
            <w:tcW w:w="14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联系人</w:t>
            </w:r>
          </w:p>
        </w:tc>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联系电话</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报名时间</w:t>
            </w:r>
          </w:p>
        </w:tc>
        <w:tc>
          <w:tcPr>
            <w:tcW w:w="143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24"/>
                <w:szCs w:val="24"/>
                <w:u w:val="none"/>
              </w:rPr>
            </w:pPr>
          </w:p>
        </w:tc>
      </w:tr>
    </w:tbl>
    <w:p>
      <w:pPr>
        <w:tabs>
          <w:tab w:val="left" w:pos="720"/>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4Y2RhMmE4YTUyMTNiY2YxMDRmZjgxNzc0NDE1ZGMifQ=="/>
  </w:docVars>
  <w:rsids>
    <w:rsidRoot w:val="00897E59"/>
    <w:rsid w:val="00080E58"/>
    <w:rsid w:val="0008456E"/>
    <w:rsid w:val="000939A3"/>
    <w:rsid w:val="000B7920"/>
    <w:rsid w:val="000D0380"/>
    <w:rsid w:val="001E737A"/>
    <w:rsid w:val="00215373"/>
    <w:rsid w:val="00221F80"/>
    <w:rsid w:val="00230A7A"/>
    <w:rsid w:val="00252AA2"/>
    <w:rsid w:val="002D0EE8"/>
    <w:rsid w:val="002D3E64"/>
    <w:rsid w:val="002F3A8B"/>
    <w:rsid w:val="002F6FD6"/>
    <w:rsid w:val="003067F0"/>
    <w:rsid w:val="003078DF"/>
    <w:rsid w:val="00315423"/>
    <w:rsid w:val="00360128"/>
    <w:rsid w:val="003B3A66"/>
    <w:rsid w:val="003B607F"/>
    <w:rsid w:val="00412A90"/>
    <w:rsid w:val="00487C40"/>
    <w:rsid w:val="004B5C47"/>
    <w:rsid w:val="00505CEE"/>
    <w:rsid w:val="005715DC"/>
    <w:rsid w:val="00585E9A"/>
    <w:rsid w:val="005860F6"/>
    <w:rsid w:val="005920D2"/>
    <w:rsid w:val="005F46BD"/>
    <w:rsid w:val="006463D9"/>
    <w:rsid w:val="006A2423"/>
    <w:rsid w:val="006B2335"/>
    <w:rsid w:val="006C6D57"/>
    <w:rsid w:val="006E0C87"/>
    <w:rsid w:val="00720474"/>
    <w:rsid w:val="00767E7C"/>
    <w:rsid w:val="00794F1D"/>
    <w:rsid w:val="007C22AF"/>
    <w:rsid w:val="007D6A41"/>
    <w:rsid w:val="007E7E85"/>
    <w:rsid w:val="008232B6"/>
    <w:rsid w:val="008375F3"/>
    <w:rsid w:val="00862D35"/>
    <w:rsid w:val="00893138"/>
    <w:rsid w:val="00897E59"/>
    <w:rsid w:val="008C7BF5"/>
    <w:rsid w:val="009056E9"/>
    <w:rsid w:val="00914A74"/>
    <w:rsid w:val="00963701"/>
    <w:rsid w:val="00992980"/>
    <w:rsid w:val="009B26E2"/>
    <w:rsid w:val="009B6B63"/>
    <w:rsid w:val="009C67D6"/>
    <w:rsid w:val="009E7A65"/>
    <w:rsid w:val="009F478A"/>
    <w:rsid w:val="00A538F0"/>
    <w:rsid w:val="00A748B8"/>
    <w:rsid w:val="00A75CAA"/>
    <w:rsid w:val="00A850A5"/>
    <w:rsid w:val="00A9531F"/>
    <w:rsid w:val="00AD3F95"/>
    <w:rsid w:val="00AD6573"/>
    <w:rsid w:val="00AF54E1"/>
    <w:rsid w:val="00B1209A"/>
    <w:rsid w:val="00B40476"/>
    <w:rsid w:val="00B45D62"/>
    <w:rsid w:val="00B573EC"/>
    <w:rsid w:val="00B76922"/>
    <w:rsid w:val="00BC6580"/>
    <w:rsid w:val="00C26AAF"/>
    <w:rsid w:val="00C827D7"/>
    <w:rsid w:val="00C97C2A"/>
    <w:rsid w:val="00CC690D"/>
    <w:rsid w:val="00CE14E7"/>
    <w:rsid w:val="00CE2641"/>
    <w:rsid w:val="00CF3FA4"/>
    <w:rsid w:val="00D10895"/>
    <w:rsid w:val="00D90BDB"/>
    <w:rsid w:val="00DA14D8"/>
    <w:rsid w:val="00DA1AC2"/>
    <w:rsid w:val="00DB6219"/>
    <w:rsid w:val="00DE3CB2"/>
    <w:rsid w:val="00E51268"/>
    <w:rsid w:val="00E51F2D"/>
    <w:rsid w:val="00E63933"/>
    <w:rsid w:val="00E6614B"/>
    <w:rsid w:val="00E821FE"/>
    <w:rsid w:val="00EA3107"/>
    <w:rsid w:val="00EE3398"/>
    <w:rsid w:val="00F10FEC"/>
    <w:rsid w:val="00F24B1A"/>
    <w:rsid w:val="00F32AC0"/>
    <w:rsid w:val="00F4796E"/>
    <w:rsid w:val="00F52D35"/>
    <w:rsid w:val="00FE7876"/>
    <w:rsid w:val="00FF61D6"/>
    <w:rsid w:val="0361345A"/>
    <w:rsid w:val="079C7467"/>
    <w:rsid w:val="13E202FB"/>
    <w:rsid w:val="1A2B7B1B"/>
    <w:rsid w:val="1D0C5C61"/>
    <w:rsid w:val="236E671D"/>
    <w:rsid w:val="28802325"/>
    <w:rsid w:val="2BBF28A6"/>
    <w:rsid w:val="428C6BA6"/>
    <w:rsid w:val="44C33155"/>
    <w:rsid w:val="50B7036A"/>
    <w:rsid w:val="535C6BBE"/>
    <w:rsid w:val="53D548FF"/>
    <w:rsid w:val="59FE42EB"/>
    <w:rsid w:val="655B784C"/>
    <w:rsid w:val="65713FD7"/>
    <w:rsid w:val="664A0B5D"/>
    <w:rsid w:val="674C30DA"/>
    <w:rsid w:val="76E753EF"/>
    <w:rsid w:val="77AC4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apple-converted-space"/>
    <w:basedOn w:val="8"/>
    <w:qFormat/>
    <w:uiPriority w:val="0"/>
  </w:style>
  <w:style w:type="character" w:customStyle="1" w:styleId="12">
    <w:name w:val="批注框文本 字符"/>
    <w:basedOn w:val="8"/>
    <w:link w:val="2"/>
    <w:semiHidden/>
    <w:qFormat/>
    <w:uiPriority w:val="99"/>
    <w:rPr>
      <w:sz w:val="18"/>
      <w:szCs w:val="18"/>
    </w:rPr>
  </w:style>
  <w:style w:type="paragraph" w:customStyle="1" w:styleId="1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9</Pages>
  <Words>474</Words>
  <Characters>2705</Characters>
  <Lines>22</Lines>
  <Paragraphs>6</Paragraphs>
  <TotalTime>30</TotalTime>
  <ScaleCrop>false</ScaleCrop>
  <LinksUpToDate>false</LinksUpToDate>
  <CharactersWithSpaces>3173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2020-12-10T08:15:00Z</dcterms:created>
  <dc:creator>吴艺</dc:creator>
  <cp:lastModifiedBy>代燕</cp:lastModifiedBy>
  <cp:lastPrinted>2023-12-14T08:24:00Z</cp:lastPrinted>
  <dcterms:modified xsi:type="dcterms:W3CDTF">2023-12-20T09:49:08Z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4661F8ADDFC4439F9FEE64E30931B509_12</vt:lpwstr>
  </property>
</Properties>
</file>