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360" w:lineRule="auto"/>
        <w:jc w:val="center"/>
        <w:rPr>
          <w:rFonts w:ascii="微软简标宋"/>
          <w:b/>
          <w:bCs/>
          <w:color w:val="000000"/>
          <w:sz w:val="72"/>
          <w:szCs w:val="26"/>
        </w:rPr>
      </w:pPr>
    </w:p>
    <w:p>
      <w:pPr>
        <w:tabs>
          <w:tab w:val="left" w:pos="420"/>
        </w:tabs>
        <w:spacing w:line="360" w:lineRule="auto"/>
        <w:jc w:val="center"/>
        <w:rPr>
          <w:rFonts w:ascii="宋体" w:hAnsi="宋体"/>
          <w:b/>
          <w:color w:val="000000"/>
          <w:sz w:val="52"/>
          <w:szCs w:val="52"/>
        </w:rPr>
      </w:pPr>
      <w:r>
        <w:rPr>
          <w:rFonts w:hint="eastAsia" w:ascii="微软简标宋"/>
          <w:b/>
          <w:bCs/>
          <w:color w:val="000000"/>
          <w:sz w:val="72"/>
          <w:szCs w:val="26"/>
        </w:rPr>
        <w:t>竞 价 文 件</w:t>
      </w:r>
    </w:p>
    <w:p>
      <w:pPr>
        <w:tabs>
          <w:tab w:val="left" w:pos="315"/>
          <w:tab w:val="left" w:pos="8820"/>
        </w:tabs>
        <w:spacing w:line="360" w:lineRule="auto"/>
        <w:jc w:val="right"/>
        <w:rPr>
          <w:rFonts w:ascii="微软简标宋"/>
          <w:bCs/>
          <w:color w:val="000000"/>
          <w:sz w:val="52"/>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widowControl/>
        <w:spacing w:line="360" w:lineRule="auto"/>
        <w:jc w:val="center"/>
        <w:rPr>
          <w:rFonts w:ascii="宋体" w:hAnsi="宋体" w:cs="宋体"/>
          <w:color w:val="000000"/>
          <w:kern w:val="0"/>
          <w:sz w:val="24"/>
          <w:szCs w:val="24"/>
        </w:rPr>
      </w:pPr>
      <w:r>
        <w:rPr>
          <w:color w:val="000000"/>
        </w:rPr>
        <w:drawing>
          <wp:inline distT="0" distB="0" distL="0" distR="0">
            <wp:extent cx="1390650" cy="1314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0650" cy="1314450"/>
                    </a:xfrm>
                    <a:prstGeom prst="rect">
                      <a:avLst/>
                    </a:prstGeom>
                    <a:noFill/>
                    <a:ln>
                      <a:noFill/>
                    </a:ln>
                  </pic:spPr>
                </pic:pic>
              </a:graphicData>
            </a:graphic>
          </wp:inline>
        </w:drawing>
      </w:r>
    </w:p>
    <w:p>
      <w:pPr>
        <w:tabs>
          <w:tab w:val="left" w:pos="2410"/>
        </w:tabs>
        <w:autoSpaceDE w:val="0"/>
        <w:autoSpaceDN w:val="0"/>
        <w:adjustRightInd w:val="0"/>
        <w:snapToGrid w:val="0"/>
        <w:spacing w:line="360" w:lineRule="auto"/>
        <w:rPr>
          <w:rFonts w:ascii="Arial Black" w:hAnsi="Arial Black"/>
          <w:color w:val="000000"/>
          <w:sz w:val="44"/>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pStyle w:val="8"/>
        <w:spacing w:line="500" w:lineRule="exact"/>
        <w:ind w:firstLine="723" w:firstLineChars="200"/>
        <w:jc w:val="both"/>
        <w:rPr>
          <w:rFonts w:hint="default" w:ascii="宋体" w:hAnsi="DotumChe" w:eastAsia="宋体" w:cs="宋体"/>
          <w:b/>
          <w:color w:val="000000"/>
          <w:spacing w:val="20"/>
          <w:kern w:val="0"/>
          <w:sz w:val="32"/>
          <w:szCs w:val="32"/>
          <w:lang w:val="en-US" w:eastAsia="zh-CN"/>
        </w:rPr>
      </w:pPr>
      <w:r>
        <w:rPr>
          <w:rFonts w:hint="eastAsia" w:ascii="宋体" w:hAnsi="DotumChe" w:cs="宋体"/>
          <w:b/>
          <w:color w:val="000000"/>
          <w:spacing w:val="20"/>
          <w:kern w:val="0"/>
          <w:sz w:val="32"/>
          <w:szCs w:val="32"/>
        </w:rPr>
        <w:t>项目名称：合肥文旅博览集团有限公司及子公司2024年度电力常规中长期交易</w:t>
      </w:r>
      <w:r>
        <w:rPr>
          <w:rFonts w:hint="eastAsia" w:ascii="宋体" w:hAnsi="DotumChe" w:cs="宋体"/>
          <w:b/>
          <w:color w:val="000000"/>
          <w:spacing w:val="20"/>
          <w:kern w:val="0"/>
          <w:sz w:val="32"/>
          <w:szCs w:val="32"/>
          <w:lang w:val="en-US" w:eastAsia="zh-CN"/>
        </w:rPr>
        <w:t>项目</w:t>
      </w:r>
    </w:p>
    <w:p>
      <w:pPr>
        <w:pStyle w:val="8"/>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项目编号：2023WLBLZB000</w:t>
      </w:r>
      <w:r>
        <w:rPr>
          <w:rFonts w:hint="eastAsia" w:ascii="宋体" w:hAnsi="DotumChe" w:cs="宋体"/>
          <w:b/>
          <w:color w:val="000000"/>
          <w:spacing w:val="20"/>
          <w:kern w:val="0"/>
          <w:sz w:val="32"/>
          <w:szCs w:val="32"/>
          <w:lang w:val="en-US" w:eastAsia="zh-CN"/>
        </w:rPr>
        <w:t>90</w:t>
      </w:r>
      <w:r>
        <w:rPr>
          <w:rFonts w:hint="eastAsia" w:ascii="宋体" w:hAnsi="DotumChe" w:cs="宋体"/>
          <w:b/>
          <w:color w:val="000000"/>
          <w:spacing w:val="20"/>
          <w:kern w:val="0"/>
          <w:sz w:val="32"/>
          <w:szCs w:val="32"/>
        </w:rPr>
        <w:t>号</w:t>
      </w:r>
    </w:p>
    <w:p>
      <w:pPr>
        <w:pStyle w:val="8"/>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 标 人：合肥文旅博览集团有限公司</w:t>
      </w:r>
    </w:p>
    <w:p>
      <w:pPr>
        <w:pStyle w:val="8"/>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招标时间：2023年</w:t>
      </w:r>
      <w:r>
        <w:rPr>
          <w:rFonts w:hint="eastAsia" w:ascii="宋体" w:hAnsi="DotumChe" w:cs="宋体"/>
          <w:b/>
          <w:color w:val="000000"/>
          <w:spacing w:val="20"/>
          <w:kern w:val="0"/>
          <w:sz w:val="32"/>
          <w:szCs w:val="32"/>
          <w:lang w:val="en-US" w:eastAsia="zh-CN"/>
        </w:rPr>
        <w:t>11</w:t>
      </w:r>
      <w:r>
        <w:rPr>
          <w:rFonts w:hint="eastAsia" w:ascii="宋体" w:hAnsi="DotumChe" w:cs="宋体"/>
          <w:b/>
          <w:color w:val="000000"/>
          <w:spacing w:val="20"/>
          <w:kern w:val="0"/>
          <w:sz w:val="32"/>
          <w:szCs w:val="32"/>
        </w:rPr>
        <w:t>月</w:t>
      </w:r>
    </w:p>
    <w:p>
      <w:pPr>
        <w:tabs>
          <w:tab w:val="left" w:pos="2410"/>
        </w:tabs>
        <w:autoSpaceDE w:val="0"/>
        <w:autoSpaceDN w:val="0"/>
        <w:adjustRightInd w:val="0"/>
        <w:snapToGrid w:val="0"/>
        <w:spacing w:line="360" w:lineRule="auto"/>
        <w:ind w:firstLine="723" w:firstLineChars="200"/>
        <w:rPr>
          <w:rFonts w:ascii="宋体" w:hAnsi="DotumChe" w:cs="宋体"/>
          <w:b/>
          <w:color w:val="000000"/>
          <w:spacing w:val="20"/>
          <w:kern w:val="0"/>
          <w:sz w:val="32"/>
          <w:szCs w:val="32"/>
        </w:rPr>
      </w:pPr>
    </w:p>
    <w:p>
      <w:pPr>
        <w:tabs>
          <w:tab w:val="left" w:pos="2410"/>
        </w:tabs>
        <w:autoSpaceDE w:val="0"/>
        <w:autoSpaceDN w:val="0"/>
        <w:adjustRightInd w:val="0"/>
        <w:snapToGrid w:val="0"/>
        <w:spacing w:line="360" w:lineRule="auto"/>
        <w:ind w:firstLine="723" w:firstLineChars="200"/>
        <w:rPr>
          <w:rFonts w:ascii="宋体" w:hAnsi="DotumChe" w:cs="宋体"/>
          <w:b/>
          <w:i w:val="0"/>
          <w:iCs w:val="0"/>
          <w:color w:val="000000"/>
          <w:spacing w:val="20"/>
          <w:kern w:val="0"/>
          <w:sz w:val="32"/>
          <w:szCs w:val="32"/>
        </w:rPr>
      </w:pPr>
    </w:p>
    <w:p>
      <w:pPr>
        <w:spacing w:line="360" w:lineRule="auto"/>
        <w:jc w:val="center"/>
        <w:rPr>
          <w:rFonts w:ascii="黑体" w:hAnsi="宋体" w:eastAsia="黑体"/>
          <w:i w:val="0"/>
          <w:iCs w:val="0"/>
          <w:color w:val="000000"/>
          <w:sz w:val="32"/>
        </w:rPr>
      </w:pPr>
      <w:r>
        <w:rPr>
          <w:rFonts w:hint="eastAsia" w:ascii="黑体" w:hAnsi="宋体" w:eastAsia="黑体"/>
          <w:i w:val="0"/>
          <w:iCs w:val="0"/>
          <w:color w:val="000000"/>
          <w:sz w:val="32"/>
        </w:rPr>
        <w:t>目    录</w:t>
      </w:r>
    </w:p>
    <w:p>
      <w:pPr>
        <w:jc w:val="center"/>
        <w:rPr>
          <w:i w:val="0"/>
          <w:iCs w:val="0"/>
          <w:color w:val="000000"/>
        </w:rPr>
      </w:pPr>
      <w:bookmarkStart w:id="0" w:name="_Hlt533241375"/>
      <w:bookmarkEnd w:id="0"/>
      <w:bookmarkStart w:id="1" w:name="_Hlt519045295"/>
      <w:bookmarkEnd w:id="1"/>
      <w:bookmarkStart w:id="2" w:name="_Hlt526418134"/>
      <w:bookmarkEnd w:id="2"/>
    </w:p>
    <w:p>
      <w:pPr>
        <w:pStyle w:val="14"/>
        <w:tabs>
          <w:tab w:val="right" w:leader="dot" w:pos="9413"/>
          <w:tab w:val="clear" w:pos="9403"/>
        </w:tabs>
        <w:rPr>
          <w:i w:val="0"/>
          <w:iCs w:val="0"/>
        </w:rPr>
      </w:pPr>
      <w:r>
        <w:rPr>
          <w:i w:val="0"/>
          <w:iCs w:val="0"/>
          <w:color w:val="000000"/>
        </w:rPr>
        <w:fldChar w:fldCharType="begin"/>
      </w:r>
      <w:r>
        <w:rPr>
          <w:i w:val="0"/>
          <w:iCs w:val="0"/>
          <w:color w:val="000000"/>
        </w:rPr>
        <w:instrText xml:space="preserve">TOC \o "1-3" \h \u </w:instrText>
      </w:r>
      <w:r>
        <w:rPr>
          <w:i w:val="0"/>
          <w:iCs w:val="0"/>
          <w:color w:val="000000"/>
        </w:rPr>
        <w:fldChar w:fldCharType="separate"/>
      </w:r>
      <w:r>
        <w:rPr>
          <w:i w:val="0"/>
          <w:iCs w:val="0"/>
          <w:color w:val="000000"/>
        </w:rPr>
        <w:fldChar w:fldCharType="begin"/>
      </w:r>
      <w:r>
        <w:rPr>
          <w:i w:val="0"/>
          <w:iCs w:val="0"/>
        </w:rPr>
        <w:instrText xml:space="preserve"> HYPERLINK \l _Toc21424 </w:instrText>
      </w:r>
      <w:r>
        <w:rPr>
          <w:i w:val="0"/>
          <w:iCs w:val="0"/>
        </w:rPr>
        <w:fldChar w:fldCharType="separate"/>
      </w:r>
      <w:r>
        <w:rPr>
          <w:rFonts w:hint="eastAsia" w:ascii="宋体" w:hAnsi="宋体" w:eastAsia="宋体"/>
          <w:i w:val="0"/>
          <w:iCs w:val="0"/>
        </w:rPr>
        <w:t>第一章 投标邀请（招标公告）</w:t>
      </w:r>
      <w:r>
        <w:rPr>
          <w:i w:val="0"/>
          <w:iCs w:val="0"/>
        </w:rPr>
        <w:tab/>
      </w:r>
      <w:r>
        <w:rPr>
          <w:i w:val="0"/>
          <w:iCs w:val="0"/>
        </w:rPr>
        <w:fldChar w:fldCharType="begin"/>
      </w:r>
      <w:r>
        <w:rPr>
          <w:i w:val="0"/>
          <w:iCs w:val="0"/>
        </w:rPr>
        <w:instrText xml:space="preserve"> PAGEREF _Toc21424 \h </w:instrText>
      </w:r>
      <w:r>
        <w:rPr>
          <w:i w:val="0"/>
          <w:iCs w:val="0"/>
        </w:rPr>
        <w:fldChar w:fldCharType="separate"/>
      </w:r>
      <w:r>
        <w:rPr>
          <w:i w:val="0"/>
          <w:iCs w:val="0"/>
        </w:rPr>
        <w:t>3</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_Toc11552 </w:instrText>
      </w:r>
      <w:r>
        <w:rPr>
          <w:i w:val="0"/>
          <w:iCs w:val="0"/>
        </w:rPr>
        <w:fldChar w:fldCharType="separate"/>
      </w:r>
      <w:r>
        <w:rPr>
          <w:rFonts w:hint="eastAsia" w:ascii="宋体" w:hAnsi="宋体" w:eastAsia="宋体"/>
          <w:i w:val="0"/>
          <w:iCs w:val="0"/>
        </w:rPr>
        <w:t>第二章 投标人须知前附表</w:t>
      </w:r>
      <w:r>
        <w:rPr>
          <w:i w:val="0"/>
          <w:iCs w:val="0"/>
        </w:rPr>
        <w:tab/>
      </w:r>
      <w:r>
        <w:rPr>
          <w:i w:val="0"/>
          <w:iCs w:val="0"/>
        </w:rPr>
        <w:fldChar w:fldCharType="begin"/>
      </w:r>
      <w:r>
        <w:rPr>
          <w:i w:val="0"/>
          <w:iCs w:val="0"/>
        </w:rPr>
        <w:instrText xml:space="preserve"> PAGEREF _Toc11552 \h </w:instrText>
      </w:r>
      <w:r>
        <w:rPr>
          <w:i w:val="0"/>
          <w:iCs w:val="0"/>
        </w:rPr>
        <w:fldChar w:fldCharType="separate"/>
      </w:r>
      <w:r>
        <w:rPr>
          <w:i w:val="0"/>
          <w:iCs w:val="0"/>
        </w:rPr>
        <w:t>5</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_Toc6622 </w:instrText>
      </w:r>
      <w:r>
        <w:rPr>
          <w:i w:val="0"/>
          <w:iCs w:val="0"/>
        </w:rPr>
        <w:fldChar w:fldCharType="separate"/>
      </w:r>
      <w:r>
        <w:rPr>
          <w:rFonts w:hint="eastAsia" w:ascii="宋体" w:hAnsi="宋体" w:eastAsia="宋体"/>
          <w:i w:val="0"/>
          <w:iCs w:val="0"/>
        </w:rPr>
        <w:t xml:space="preserve">第三章 </w:t>
      </w:r>
      <w:r>
        <w:rPr>
          <w:rFonts w:hint="eastAsia" w:ascii="宋体" w:hAnsi="宋体" w:eastAsia="宋体"/>
          <w:i w:val="0"/>
          <w:iCs w:val="0"/>
          <w:szCs w:val="36"/>
        </w:rPr>
        <w:t>招标需求</w:t>
      </w:r>
      <w:r>
        <w:rPr>
          <w:i w:val="0"/>
          <w:iCs w:val="0"/>
        </w:rPr>
        <w:tab/>
      </w:r>
      <w:r>
        <w:rPr>
          <w:i w:val="0"/>
          <w:iCs w:val="0"/>
        </w:rPr>
        <w:fldChar w:fldCharType="begin"/>
      </w:r>
      <w:r>
        <w:rPr>
          <w:i w:val="0"/>
          <w:iCs w:val="0"/>
        </w:rPr>
        <w:instrText xml:space="preserve"> PAGEREF _Toc6622 \h </w:instrText>
      </w:r>
      <w:r>
        <w:rPr>
          <w:i w:val="0"/>
          <w:iCs w:val="0"/>
        </w:rPr>
        <w:fldChar w:fldCharType="separate"/>
      </w:r>
      <w:r>
        <w:rPr>
          <w:i w:val="0"/>
          <w:iCs w:val="0"/>
        </w:rPr>
        <w:t>7</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_Toc22437 </w:instrText>
      </w:r>
      <w:r>
        <w:rPr>
          <w:i w:val="0"/>
          <w:iCs w:val="0"/>
        </w:rPr>
        <w:fldChar w:fldCharType="separate"/>
      </w:r>
      <w:r>
        <w:rPr>
          <w:rFonts w:hint="eastAsia" w:ascii="宋体" w:hAnsi="宋体" w:eastAsia="宋体"/>
          <w:i w:val="0"/>
          <w:iCs w:val="0"/>
        </w:rPr>
        <w:t>第四章 评标办法</w:t>
      </w:r>
      <w:r>
        <w:rPr>
          <w:i w:val="0"/>
          <w:iCs w:val="0"/>
        </w:rPr>
        <w:tab/>
      </w:r>
      <w:r>
        <w:rPr>
          <w:i w:val="0"/>
          <w:iCs w:val="0"/>
        </w:rPr>
        <w:fldChar w:fldCharType="begin"/>
      </w:r>
      <w:r>
        <w:rPr>
          <w:i w:val="0"/>
          <w:iCs w:val="0"/>
        </w:rPr>
        <w:instrText xml:space="preserve"> PAGEREF _Toc22437 \h </w:instrText>
      </w:r>
      <w:r>
        <w:rPr>
          <w:i w:val="0"/>
          <w:iCs w:val="0"/>
        </w:rPr>
        <w:fldChar w:fldCharType="separate"/>
      </w:r>
      <w:r>
        <w:rPr>
          <w:i w:val="0"/>
          <w:iCs w:val="0"/>
        </w:rPr>
        <w:t>9</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_Toc29597 </w:instrText>
      </w:r>
      <w:r>
        <w:rPr>
          <w:i w:val="0"/>
          <w:iCs w:val="0"/>
        </w:rPr>
        <w:fldChar w:fldCharType="separate"/>
      </w:r>
      <w:r>
        <w:rPr>
          <w:rFonts w:hint="eastAsia" w:ascii="宋体" w:hAnsi="宋体" w:eastAsia="宋体"/>
          <w:i w:val="0"/>
          <w:iCs w:val="0"/>
        </w:rPr>
        <w:t>第五章 投标文件格式</w:t>
      </w:r>
      <w:r>
        <w:rPr>
          <w:i w:val="0"/>
          <w:iCs w:val="0"/>
        </w:rPr>
        <w:tab/>
      </w:r>
      <w:r>
        <w:rPr>
          <w:i w:val="0"/>
          <w:iCs w:val="0"/>
        </w:rPr>
        <w:fldChar w:fldCharType="begin"/>
      </w:r>
      <w:r>
        <w:rPr>
          <w:i w:val="0"/>
          <w:iCs w:val="0"/>
        </w:rPr>
        <w:instrText xml:space="preserve"> PAGEREF _Toc29597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_Toc23803 </w:instrText>
      </w:r>
      <w:r>
        <w:rPr>
          <w:i w:val="0"/>
          <w:iCs w:val="0"/>
        </w:rPr>
        <w:fldChar w:fldCharType="separate"/>
      </w:r>
      <w:r>
        <w:rPr>
          <w:rFonts w:hint="eastAsia" w:ascii="Arial" w:hAnsi="Arial" w:cs="Calibri"/>
          <w:bCs/>
          <w:i w:val="0"/>
          <w:iCs w:val="0"/>
          <w:szCs w:val="32"/>
        </w:rPr>
        <w:t>评审因素索引表</w:t>
      </w:r>
      <w:r>
        <w:rPr>
          <w:i w:val="0"/>
          <w:iCs w:val="0"/>
        </w:rPr>
        <w:tab/>
      </w:r>
      <w:r>
        <w:rPr>
          <w:i w:val="0"/>
          <w:iCs w:val="0"/>
        </w:rPr>
        <w:fldChar w:fldCharType="begin"/>
      </w:r>
      <w:r>
        <w:rPr>
          <w:i w:val="0"/>
          <w:iCs w:val="0"/>
        </w:rPr>
        <w:instrText xml:space="preserve"> PAGEREF _Toc23803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4"/>
        <w:tabs>
          <w:tab w:val="right" w:leader="dot" w:pos="9413"/>
          <w:tab w:val="clear" w:pos="9403"/>
        </w:tabs>
        <w:rPr>
          <w:i w:val="0"/>
          <w:iCs w:val="0"/>
        </w:rPr>
      </w:pPr>
      <w:r>
        <w:rPr>
          <w:i w:val="0"/>
          <w:iCs w:val="0"/>
          <w:color w:val="000000"/>
        </w:rPr>
        <w:fldChar w:fldCharType="begin"/>
      </w:r>
      <w:r>
        <w:rPr>
          <w:i w:val="0"/>
          <w:iCs w:val="0"/>
        </w:rPr>
        <w:instrText xml:space="preserve"> HYPERLINK \l _Toc29052 </w:instrText>
      </w:r>
      <w:r>
        <w:rPr>
          <w:i w:val="0"/>
          <w:iCs w:val="0"/>
        </w:rPr>
        <w:fldChar w:fldCharType="separate"/>
      </w:r>
      <w:r>
        <w:rPr>
          <w:rFonts w:hint="eastAsia" w:ascii="宋体" w:hAnsi="宋体"/>
          <w:bCs/>
          <w:i w:val="0"/>
          <w:iCs w:val="0"/>
          <w:szCs w:val="32"/>
        </w:rPr>
        <w:t>投标文件格式及资料清单</w:t>
      </w:r>
      <w:r>
        <w:rPr>
          <w:i w:val="0"/>
          <w:iCs w:val="0"/>
        </w:rPr>
        <w:tab/>
      </w:r>
      <w:r>
        <w:rPr>
          <w:i w:val="0"/>
          <w:iCs w:val="0"/>
        </w:rPr>
        <w:fldChar w:fldCharType="begin"/>
      </w:r>
      <w:r>
        <w:rPr>
          <w:i w:val="0"/>
          <w:iCs w:val="0"/>
        </w:rPr>
        <w:instrText xml:space="preserve"> PAGEREF _Toc29052 \h </w:instrText>
      </w:r>
      <w:r>
        <w:rPr>
          <w:i w:val="0"/>
          <w:iCs w:val="0"/>
        </w:rPr>
        <w:fldChar w:fldCharType="separate"/>
      </w:r>
      <w:r>
        <w:rPr>
          <w:i w:val="0"/>
          <w:iCs w:val="0"/>
        </w:rPr>
        <w:t>14</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_Toc26843 </w:instrText>
      </w:r>
      <w:r>
        <w:rPr>
          <w:i w:val="0"/>
          <w:iCs w:val="0"/>
        </w:rPr>
        <w:fldChar w:fldCharType="separate"/>
      </w:r>
      <w:r>
        <w:rPr>
          <w:rFonts w:hint="eastAsia" w:ascii="宋体" w:hAnsi="宋体"/>
          <w:bCs/>
          <w:i w:val="0"/>
          <w:iCs w:val="0"/>
          <w:szCs w:val="32"/>
        </w:rPr>
        <w:t>一．投标函</w:t>
      </w:r>
      <w:r>
        <w:rPr>
          <w:i w:val="0"/>
          <w:iCs w:val="0"/>
        </w:rPr>
        <w:tab/>
      </w:r>
      <w:r>
        <w:rPr>
          <w:i w:val="0"/>
          <w:iCs w:val="0"/>
        </w:rPr>
        <w:fldChar w:fldCharType="begin"/>
      </w:r>
      <w:r>
        <w:rPr>
          <w:i w:val="0"/>
          <w:iCs w:val="0"/>
        </w:rPr>
        <w:instrText xml:space="preserve"> PAGEREF _Toc26843 \h </w:instrText>
      </w:r>
      <w:r>
        <w:rPr>
          <w:i w:val="0"/>
          <w:iCs w:val="0"/>
        </w:rPr>
        <w:fldChar w:fldCharType="separate"/>
      </w:r>
      <w:r>
        <w:rPr>
          <w:i w:val="0"/>
          <w:iCs w:val="0"/>
        </w:rPr>
        <w:t>15</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_Toc12295 </w:instrText>
      </w:r>
      <w:r>
        <w:rPr>
          <w:i w:val="0"/>
          <w:iCs w:val="0"/>
        </w:rPr>
        <w:fldChar w:fldCharType="separate"/>
      </w:r>
      <w:r>
        <w:rPr>
          <w:rFonts w:hint="eastAsia" w:ascii="宋体" w:hAnsi="宋体"/>
          <w:bCs/>
          <w:i w:val="0"/>
          <w:iCs w:val="0"/>
          <w:szCs w:val="32"/>
        </w:rPr>
        <w:t>二．投标人情况综合简介</w:t>
      </w:r>
      <w:r>
        <w:rPr>
          <w:i w:val="0"/>
          <w:iCs w:val="0"/>
        </w:rPr>
        <w:tab/>
      </w:r>
      <w:r>
        <w:rPr>
          <w:i w:val="0"/>
          <w:iCs w:val="0"/>
        </w:rPr>
        <w:fldChar w:fldCharType="begin"/>
      </w:r>
      <w:r>
        <w:rPr>
          <w:i w:val="0"/>
          <w:iCs w:val="0"/>
        </w:rPr>
        <w:instrText xml:space="preserve"> PAGEREF _Toc12295 \h </w:instrText>
      </w:r>
      <w:r>
        <w:rPr>
          <w:i w:val="0"/>
          <w:iCs w:val="0"/>
        </w:rPr>
        <w:fldChar w:fldCharType="separate"/>
      </w:r>
      <w:r>
        <w:rPr>
          <w:i w:val="0"/>
          <w:iCs w:val="0"/>
        </w:rPr>
        <w:t>16</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_Toc11993 </w:instrText>
      </w:r>
      <w:r>
        <w:rPr>
          <w:i w:val="0"/>
          <w:iCs w:val="0"/>
        </w:rPr>
        <w:fldChar w:fldCharType="separate"/>
      </w:r>
      <w:r>
        <w:rPr>
          <w:rFonts w:hint="eastAsia" w:cs="@仿宋_GB2312" w:asciiTheme="minorEastAsia" w:hAnsiTheme="minorEastAsia" w:eastAsiaTheme="minorEastAsia"/>
          <w:i w:val="0"/>
          <w:iCs w:val="0"/>
          <w:szCs w:val="24"/>
        </w:rPr>
        <w:t>第一轮报价</w:t>
      </w:r>
      <w:r>
        <w:rPr>
          <w:i w:val="0"/>
          <w:iCs w:val="0"/>
        </w:rPr>
        <w:tab/>
      </w:r>
      <w:r>
        <w:rPr>
          <w:i w:val="0"/>
          <w:iCs w:val="0"/>
        </w:rPr>
        <w:fldChar w:fldCharType="begin"/>
      </w:r>
      <w:r>
        <w:rPr>
          <w:i w:val="0"/>
          <w:iCs w:val="0"/>
        </w:rPr>
        <w:instrText xml:space="preserve"> PAGEREF _Toc11993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_Toc24791 </w:instrText>
      </w:r>
      <w:r>
        <w:rPr>
          <w:i w:val="0"/>
          <w:iCs w:val="0"/>
        </w:rPr>
        <w:fldChar w:fldCharType="separate"/>
      </w:r>
      <w:r>
        <w:rPr>
          <w:rFonts w:hint="eastAsia" w:ascii="宋体" w:hAnsi="宋体"/>
          <w:bCs/>
          <w:i w:val="0"/>
          <w:iCs w:val="0"/>
          <w:szCs w:val="32"/>
        </w:rPr>
        <w:t>三．开标一览表</w:t>
      </w:r>
      <w:r>
        <w:rPr>
          <w:i w:val="0"/>
          <w:iCs w:val="0"/>
        </w:rPr>
        <w:tab/>
      </w:r>
      <w:r>
        <w:rPr>
          <w:i w:val="0"/>
          <w:iCs w:val="0"/>
        </w:rPr>
        <w:fldChar w:fldCharType="begin"/>
      </w:r>
      <w:r>
        <w:rPr>
          <w:i w:val="0"/>
          <w:iCs w:val="0"/>
        </w:rPr>
        <w:instrText xml:space="preserve"> PAGEREF _Toc24791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_Toc32049 </w:instrText>
      </w:r>
      <w:r>
        <w:rPr>
          <w:i w:val="0"/>
          <w:iCs w:val="0"/>
        </w:rPr>
        <w:fldChar w:fldCharType="separate"/>
      </w:r>
      <w:r>
        <w:rPr>
          <w:rFonts w:hint="eastAsia" w:ascii="宋体" w:hAnsi="宋体"/>
          <w:bCs/>
          <w:i w:val="0"/>
          <w:iCs w:val="0"/>
          <w:szCs w:val="32"/>
        </w:rPr>
        <w:t>第二轮报价表（最终报价）</w:t>
      </w:r>
      <w:r>
        <w:rPr>
          <w:i w:val="0"/>
          <w:iCs w:val="0"/>
        </w:rPr>
        <w:tab/>
      </w:r>
      <w:r>
        <w:rPr>
          <w:i w:val="0"/>
          <w:iCs w:val="0"/>
        </w:rPr>
        <w:fldChar w:fldCharType="begin"/>
      </w:r>
      <w:r>
        <w:rPr>
          <w:i w:val="0"/>
          <w:iCs w:val="0"/>
        </w:rPr>
        <w:instrText xml:space="preserve"> PAGEREF _Toc32049 \h </w:instrText>
      </w:r>
      <w:r>
        <w:rPr>
          <w:i w:val="0"/>
          <w:iCs w:val="0"/>
        </w:rPr>
        <w:fldChar w:fldCharType="separate"/>
      </w:r>
      <w:r>
        <w:rPr>
          <w:i w:val="0"/>
          <w:iCs w:val="0"/>
        </w:rPr>
        <w:t>18</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_Toc6163 </w:instrText>
      </w:r>
      <w:r>
        <w:rPr>
          <w:i w:val="0"/>
          <w:iCs w:val="0"/>
        </w:rPr>
        <w:fldChar w:fldCharType="separate"/>
      </w:r>
      <w:r>
        <w:rPr>
          <w:rFonts w:hint="eastAsia" w:ascii="宋体" w:hAnsi="宋体"/>
          <w:bCs/>
          <w:i w:val="0"/>
          <w:iCs w:val="0"/>
          <w:szCs w:val="32"/>
        </w:rPr>
        <w:t>四．单项报价表（如有）</w:t>
      </w:r>
      <w:r>
        <w:rPr>
          <w:i w:val="0"/>
          <w:iCs w:val="0"/>
        </w:rPr>
        <w:tab/>
      </w:r>
      <w:r>
        <w:rPr>
          <w:i w:val="0"/>
          <w:iCs w:val="0"/>
        </w:rPr>
        <w:fldChar w:fldCharType="begin"/>
      </w:r>
      <w:r>
        <w:rPr>
          <w:i w:val="0"/>
          <w:iCs w:val="0"/>
        </w:rPr>
        <w:instrText xml:space="preserve"> PAGEREF _Toc6163 \h </w:instrText>
      </w:r>
      <w:r>
        <w:rPr>
          <w:i w:val="0"/>
          <w:iCs w:val="0"/>
        </w:rPr>
        <w:fldChar w:fldCharType="separate"/>
      </w:r>
      <w:r>
        <w:rPr>
          <w:i w:val="0"/>
          <w:iCs w:val="0"/>
        </w:rPr>
        <w:t>19</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_Toc8906 </w:instrText>
      </w:r>
      <w:r>
        <w:rPr>
          <w:i w:val="0"/>
          <w:iCs w:val="0"/>
        </w:rPr>
        <w:fldChar w:fldCharType="separate"/>
      </w:r>
      <w:r>
        <w:rPr>
          <w:rFonts w:hint="eastAsia" w:ascii="宋体" w:hAnsi="宋体"/>
          <w:bCs/>
          <w:i w:val="0"/>
          <w:iCs w:val="0"/>
          <w:szCs w:val="32"/>
        </w:rPr>
        <w:t>五．投标人信用承诺</w:t>
      </w:r>
      <w:r>
        <w:rPr>
          <w:i w:val="0"/>
          <w:iCs w:val="0"/>
        </w:rPr>
        <w:tab/>
      </w:r>
      <w:r>
        <w:rPr>
          <w:i w:val="0"/>
          <w:iCs w:val="0"/>
        </w:rPr>
        <w:fldChar w:fldCharType="begin"/>
      </w:r>
      <w:r>
        <w:rPr>
          <w:i w:val="0"/>
          <w:iCs w:val="0"/>
        </w:rPr>
        <w:instrText xml:space="preserve"> PAGEREF _Toc8906 \h </w:instrText>
      </w:r>
      <w:r>
        <w:rPr>
          <w:i w:val="0"/>
          <w:iCs w:val="0"/>
        </w:rPr>
        <w:fldChar w:fldCharType="separate"/>
      </w:r>
      <w:r>
        <w:rPr>
          <w:i w:val="0"/>
          <w:iCs w:val="0"/>
        </w:rPr>
        <w:t>20</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_Toc12032 </w:instrText>
      </w:r>
      <w:r>
        <w:rPr>
          <w:i w:val="0"/>
          <w:iCs w:val="0"/>
        </w:rPr>
        <w:fldChar w:fldCharType="separate"/>
      </w:r>
      <w:r>
        <w:rPr>
          <w:rFonts w:hint="eastAsia" w:ascii="宋体" w:hAnsi="宋体"/>
          <w:bCs/>
          <w:i w:val="0"/>
          <w:iCs w:val="0"/>
          <w:szCs w:val="32"/>
        </w:rPr>
        <w:t>六.投标业绩</w:t>
      </w:r>
      <w:r>
        <w:rPr>
          <w:i w:val="0"/>
          <w:iCs w:val="0"/>
        </w:rPr>
        <w:tab/>
      </w:r>
      <w:r>
        <w:rPr>
          <w:i w:val="0"/>
          <w:iCs w:val="0"/>
        </w:rPr>
        <w:fldChar w:fldCharType="begin"/>
      </w:r>
      <w:r>
        <w:rPr>
          <w:i w:val="0"/>
          <w:iCs w:val="0"/>
        </w:rPr>
        <w:instrText xml:space="preserve"> PAGEREF _Toc12032 \h </w:instrText>
      </w:r>
      <w:r>
        <w:rPr>
          <w:i w:val="0"/>
          <w:iCs w:val="0"/>
        </w:rPr>
        <w:fldChar w:fldCharType="separate"/>
      </w:r>
      <w:r>
        <w:rPr>
          <w:i w:val="0"/>
          <w:iCs w:val="0"/>
        </w:rPr>
        <w:t>21</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_Toc2562 </w:instrText>
      </w:r>
      <w:r>
        <w:rPr>
          <w:i w:val="0"/>
          <w:iCs w:val="0"/>
        </w:rPr>
        <w:fldChar w:fldCharType="separate"/>
      </w:r>
      <w:r>
        <w:rPr>
          <w:rFonts w:hint="eastAsia" w:ascii="宋体" w:hAnsi="宋体"/>
          <w:bCs/>
          <w:i w:val="0"/>
          <w:iCs w:val="0"/>
          <w:szCs w:val="32"/>
        </w:rPr>
        <w:t>七．拟投入本项目的人员情况（如有）</w:t>
      </w:r>
      <w:r>
        <w:rPr>
          <w:i w:val="0"/>
          <w:iCs w:val="0"/>
        </w:rPr>
        <w:tab/>
      </w:r>
      <w:r>
        <w:rPr>
          <w:i w:val="0"/>
          <w:iCs w:val="0"/>
        </w:rPr>
        <w:fldChar w:fldCharType="begin"/>
      </w:r>
      <w:r>
        <w:rPr>
          <w:i w:val="0"/>
          <w:iCs w:val="0"/>
        </w:rPr>
        <w:instrText xml:space="preserve"> PAGEREF _Toc2562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_Toc11263 </w:instrText>
      </w:r>
      <w:r>
        <w:rPr>
          <w:i w:val="0"/>
          <w:iCs w:val="0"/>
        </w:rPr>
        <w:fldChar w:fldCharType="separate"/>
      </w:r>
      <w:r>
        <w:rPr>
          <w:rFonts w:hint="eastAsia" w:ascii="宋体" w:hAnsi="宋体"/>
          <w:bCs/>
          <w:i w:val="0"/>
          <w:iCs w:val="0"/>
          <w:szCs w:val="32"/>
        </w:rPr>
        <w:t>八．服务方案</w:t>
      </w:r>
      <w:r>
        <w:rPr>
          <w:i w:val="0"/>
          <w:iCs w:val="0"/>
        </w:rPr>
        <w:tab/>
      </w:r>
      <w:r>
        <w:rPr>
          <w:i w:val="0"/>
          <w:iCs w:val="0"/>
        </w:rPr>
        <w:fldChar w:fldCharType="begin"/>
      </w:r>
      <w:r>
        <w:rPr>
          <w:i w:val="0"/>
          <w:iCs w:val="0"/>
        </w:rPr>
        <w:instrText xml:space="preserve"> PAGEREF _Toc11263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_Toc22313 </w:instrText>
      </w:r>
      <w:r>
        <w:rPr>
          <w:i w:val="0"/>
          <w:iCs w:val="0"/>
        </w:rPr>
        <w:fldChar w:fldCharType="separate"/>
      </w:r>
      <w:r>
        <w:rPr>
          <w:rFonts w:hint="eastAsia" w:ascii="宋体" w:hAnsi="宋体"/>
          <w:bCs/>
          <w:i w:val="0"/>
          <w:iCs w:val="0"/>
          <w:szCs w:val="32"/>
        </w:rPr>
        <w:t>九．有关证明文件</w:t>
      </w:r>
      <w:r>
        <w:rPr>
          <w:i w:val="0"/>
          <w:iCs w:val="0"/>
        </w:rPr>
        <w:tab/>
      </w:r>
      <w:r>
        <w:rPr>
          <w:i w:val="0"/>
          <w:iCs w:val="0"/>
        </w:rPr>
        <w:fldChar w:fldCharType="begin"/>
      </w:r>
      <w:r>
        <w:rPr>
          <w:i w:val="0"/>
          <w:iCs w:val="0"/>
        </w:rPr>
        <w:instrText xml:space="preserve"> PAGEREF _Toc22313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_Toc25527 </w:instrText>
      </w:r>
      <w:r>
        <w:rPr>
          <w:i w:val="0"/>
          <w:iCs w:val="0"/>
        </w:rPr>
        <w:fldChar w:fldCharType="separate"/>
      </w:r>
      <w:r>
        <w:rPr>
          <w:rFonts w:hint="eastAsia" w:ascii="宋体" w:hAnsi="宋体"/>
          <w:bCs/>
          <w:i w:val="0"/>
          <w:iCs w:val="0"/>
          <w:szCs w:val="32"/>
        </w:rPr>
        <w:t>十．投标授权书</w:t>
      </w:r>
      <w:r>
        <w:rPr>
          <w:i w:val="0"/>
          <w:iCs w:val="0"/>
        </w:rPr>
        <w:tab/>
      </w:r>
      <w:r>
        <w:rPr>
          <w:i w:val="0"/>
          <w:iCs w:val="0"/>
        </w:rPr>
        <w:fldChar w:fldCharType="begin"/>
      </w:r>
      <w:r>
        <w:rPr>
          <w:i w:val="0"/>
          <w:iCs w:val="0"/>
        </w:rPr>
        <w:instrText xml:space="preserve"> PAGEREF _Toc25527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10"/>
        <w:tabs>
          <w:tab w:val="right" w:leader="dot" w:pos="9413"/>
          <w:tab w:val="clear" w:pos="9403"/>
        </w:tabs>
        <w:rPr>
          <w:i w:val="0"/>
          <w:iCs w:val="0"/>
        </w:rPr>
      </w:pPr>
      <w:r>
        <w:rPr>
          <w:i w:val="0"/>
          <w:iCs w:val="0"/>
          <w:color w:val="000000"/>
        </w:rPr>
        <w:fldChar w:fldCharType="begin"/>
      </w:r>
      <w:r>
        <w:rPr>
          <w:i w:val="0"/>
          <w:iCs w:val="0"/>
        </w:rPr>
        <w:instrText xml:space="preserve"> HYPERLINK \l _Toc3996 </w:instrText>
      </w:r>
      <w:r>
        <w:rPr>
          <w:i w:val="0"/>
          <w:iCs w:val="0"/>
        </w:rPr>
        <w:fldChar w:fldCharType="separate"/>
      </w:r>
      <w:r>
        <w:rPr>
          <w:rFonts w:hint="eastAsia" w:ascii="宋体" w:hAnsi="宋体"/>
          <w:bCs/>
          <w:i w:val="0"/>
          <w:iCs w:val="0"/>
          <w:szCs w:val="32"/>
        </w:rPr>
        <w:t>十一．投标人认为需提供的其他</w:t>
      </w:r>
      <w:r>
        <w:rPr>
          <w:i w:val="0"/>
          <w:iCs w:val="0"/>
        </w:rPr>
        <w:tab/>
      </w:r>
      <w:r>
        <w:rPr>
          <w:i w:val="0"/>
          <w:iCs w:val="0"/>
        </w:rPr>
        <w:fldChar w:fldCharType="begin"/>
      </w:r>
      <w:r>
        <w:rPr>
          <w:i w:val="0"/>
          <w:iCs w:val="0"/>
        </w:rPr>
        <w:instrText xml:space="preserve"> PAGEREF _Toc3996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13"/>
        <w:tabs>
          <w:tab w:val="right" w:leader="dot" w:pos="9413"/>
        </w:tabs>
        <w:rPr>
          <w:i w:val="0"/>
          <w:iCs w:val="0"/>
        </w:rPr>
      </w:pPr>
    </w:p>
    <w:p>
      <w:pPr>
        <w:rPr>
          <w:i/>
          <w:iCs/>
          <w:color w:val="000000"/>
        </w:rPr>
        <w:sectPr>
          <w:headerReference r:id="rId3" w:type="default"/>
          <w:footerReference r:id="rId4" w:type="default"/>
          <w:pgSz w:w="11907" w:h="16840"/>
          <w:pgMar w:top="1440" w:right="1247" w:bottom="1440" w:left="1247" w:header="851" w:footer="992" w:gutter="0"/>
          <w:cols w:space="720" w:num="1"/>
          <w:docGrid w:linePitch="303" w:charSpace="0"/>
        </w:sectPr>
      </w:pPr>
      <w:r>
        <w:rPr>
          <w:i w:val="0"/>
          <w:iCs w:val="0"/>
          <w:color w:val="000000"/>
        </w:rPr>
        <w:fldChar w:fldCharType="end"/>
      </w:r>
    </w:p>
    <w:p>
      <w:pPr>
        <w:pStyle w:val="5"/>
        <w:spacing w:before="0" w:after="0" w:line="360" w:lineRule="auto"/>
        <w:ind w:firstLine="0"/>
        <w:jc w:val="both"/>
        <w:rPr>
          <w:rFonts w:ascii="宋体" w:hAnsi="宋体" w:eastAsia="宋体"/>
          <w:color w:val="000000"/>
        </w:rPr>
      </w:pPr>
      <w:bookmarkStart w:id="3" w:name="_Toc126309118"/>
      <w:bookmarkStart w:id="4" w:name="_Toc183"/>
    </w:p>
    <w:p>
      <w:pPr>
        <w:pStyle w:val="5"/>
        <w:spacing w:before="0" w:after="0" w:line="360" w:lineRule="auto"/>
        <w:ind w:firstLine="0"/>
        <w:rPr>
          <w:rFonts w:ascii="宋体" w:hAnsi="宋体" w:eastAsia="宋体"/>
          <w:color w:val="000000"/>
        </w:rPr>
      </w:pPr>
      <w:bookmarkStart w:id="5" w:name="_Toc21424"/>
      <w:r>
        <w:rPr>
          <w:rFonts w:hint="eastAsia" w:ascii="宋体" w:hAnsi="宋体" w:eastAsia="宋体"/>
          <w:color w:val="000000"/>
        </w:rPr>
        <w:t>第一章 投标邀请（招标公告）</w:t>
      </w:r>
      <w:bookmarkEnd w:id="3"/>
      <w:bookmarkEnd w:id="4"/>
      <w:bookmarkEnd w:id="5"/>
    </w:p>
    <w:p>
      <w:pPr>
        <w:tabs>
          <w:tab w:val="left" w:pos="2410"/>
        </w:tabs>
        <w:autoSpaceDE w:val="0"/>
        <w:autoSpaceDN w:val="0"/>
        <w:adjustRightInd w:val="0"/>
        <w:snapToGrid w:val="0"/>
        <w:spacing w:line="500" w:lineRule="exact"/>
        <w:ind w:firstLine="480" w:firstLineChars="200"/>
        <w:rPr>
          <w:rFonts w:ascii="宋体" w:hAnsi="宋体"/>
          <w:color w:val="000000"/>
          <w:sz w:val="24"/>
          <w:szCs w:val="24"/>
        </w:rPr>
      </w:pPr>
      <w:r>
        <w:rPr>
          <w:rFonts w:hint="eastAsia" w:ascii="宋体" w:hAnsi="宋体"/>
          <w:color w:val="000000"/>
          <w:sz w:val="24"/>
          <w:szCs w:val="24"/>
        </w:rPr>
        <w:t>合肥文旅博览集团有限公司（以下简称：文旅集团）现对合肥文旅博览集团有限公司及子公司2024年度电力常规中长期交易（以下简称“本项目”）进行竞价，欢迎具备条件的投标人参加投标。</w:t>
      </w:r>
    </w:p>
    <w:p>
      <w:pPr>
        <w:spacing w:line="500" w:lineRule="exact"/>
        <w:ind w:firstLine="482" w:firstLineChars="200"/>
        <w:rPr>
          <w:rFonts w:ascii="宋体" w:hAnsi="宋体"/>
          <w:b/>
          <w:color w:val="000000"/>
          <w:sz w:val="24"/>
          <w:szCs w:val="24"/>
        </w:rPr>
      </w:pPr>
      <w:r>
        <w:rPr>
          <w:rFonts w:hint="eastAsia" w:ascii="宋体" w:hAnsi="宋体"/>
          <w:b/>
          <w:color w:val="000000"/>
          <w:sz w:val="24"/>
          <w:szCs w:val="24"/>
        </w:rPr>
        <w:t>一、项目概况</w:t>
      </w:r>
    </w:p>
    <w:p>
      <w:pPr>
        <w:pStyle w:val="8"/>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（1）项目名称：合肥文旅博览集团有限公司及子公司2024年度电力常规中长期交易</w:t>
      </w:r>
    </w:p>
    <w:p>
      <w:pPr>
        <w:spacing w:line="500" w:lineRule="exact"/>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（2）项目编号：2023WLBLZB000</w:t>
      </w:r>
      <w:r>
        <w:rPr>
          <w:rFonts w:hint="eastAsia" w:ascii="宋体" w:hAnsi="宋体"/>
          <w:color w:val="000000"/>
          <w:sz w:val="24"/>
          <w:szCs w:val="24"/>
          <w:lang w:val="en-US" w:eastAsia="zh-CN"/>
        </w:rPr>
        <w:t>90</w:t>
      </w:r>
      <w:r>
        <w:rPr>
          <w:rFonts w:hint="eastAsia" w:ascii="宋体" w:hAnsi="宋体"/>
          <w:color w:val="000000"/>
          <w:sz w:val="24"/>
          <w:szCs w:val="24"/>
        </w:rPr>
        <w:t>号</w:t>
      </w:r>
    </w:p>
    <w:p>
      <w:pPr>
        <w:spacing w:line="500" w:lineRule="exact"/>
        <w:ind w:firstLine="480" w:firstLineChars="200"/>
        <w:rPr>
          <w:rFonts w:hint="eastAsia" w:ascii="宋体" w:hAnsi="宋体" w:eastAsia="宋体"/>
          <w:color w:val="000000"/>
          <w:sz w:val="24"/>
          <w:szCs w:val="24"/>
          <w:lang w:val="en-US" w:eastAsia="zh-CN"/>
        </w:rPr>
      </w:pPr>
      <w:r>
        <w:rPr>
          <w:rFonts w:hint="eastAsia" w:ascii="宋体" w:hAnsi="宋体"/>
          <w:color w:val="000000"/>
          <w:sz w:val="24"/>
          <w:szCs w:val="24"/>
        </w:rPr>
        <w:t>（3）项目预算：19.56万</w:t>
      </w:r>
    </w:p>
    <w:p>
      <w:pPr>
        <w:pStyle w:val="8"/>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（4）服务范围</w:t>
      </w:r>
      <w:r>
        <w:rPr>
          <w:rFonts w:hint="eastAsia" w:ascii="宋体" w:hAnsi="宋体"/>
          <w:color w:val="000000"/>
          <w:sz w:val="24"/>
          <w:szCs w:val="24"/>
          <w:lang w:eastAsia="zh-CN"/>
        </w:rPr>
        <w:t>：</w:t>
      </w:r>
      <w:r>
        <w:rPr>
          <w:rFonts w:hint="eastAsia" w:ascii="宋体" w:hAnsi="宋体"/>
          <w:color w:val="000000"/>
          <w:sz w:val="24"/>
          <w:szCs w:val="24"/>
          <w:lang w:val="en-US" w:eastAsia="zh-CN"/>
        </w:rPr>
        <w:t>通过竞价方式确定</w:t>
      </w:r>
      <w:r>
        <w:rPr>
          <w:rFonts w:hint="eastAsia" w:ascii="宋体" w:hAnsi="宋体"/>
          <w:color w:val="000000"/>
          <w:sz w:val="24"/>
          <w:szCs w:val="24"/>
        </w:rPr>
        <w:t>售电公司，</w:t>
      </w:r>
      <w:r>
        <w:rPr>
          <w:rFonts w:hint="eastAsia" w:ascii="宋体" w:hAnsi="宋体"/>
          <w:color w:val="000000"/>
          <w:sz w:val="24"/>
          <w:szCs w:val="24"/>
          <w:lang w:val="en-US" w:eastAsia="zh-CN"/>
        </w:rPr>
        <w:t>由其</w:t>
      </w:r>
      <w:r>
        <w:rPr>
          <w:rFonts w:hint="eastAsia" w:ascii="宋体" w:hAnsi="宋体"/>
          <w:color w:val="000000"/>
          <w:sz w:val="24"/>
          <w:szCs w:val="24"/>
        </w:rPr>
        <w:t>代理合肥文旅博览集团有限公司、安徽泓瑞嘉珑酒店管理有限公司、合肥政文国际会展管理有限公司等3家公司</w:t>
      </w:r>
      <w:r>
        <w:rPr>
          <w:rFonts w:hint="eastAsia" w:ascii="宋体" w:hAnsi="宋体"/>
          <w:color w:val="000000"/>
          <w:sz w:val="24"/>
          <w:szCs w:val="24"/>
          <w:lang w:val="en-US" w:eastAsia="zh-CN"/>
        </w:rPr>
        <w:t>2024年</w:t>
      </w:r>
      <w:r>
        <w:rPr>
          <w:rFonts w:hint="eastAsia" w:ascii="宋体" w:hAnsi="宋体"/>
          <w:color w:val="000000"/>
          <w:sz w:val="24"/>
          <w:szCs w:val="24"/>
        </w:rPr>
        <w:t>电力交易事宜。</w:t>
      </w:r>
    </w:p>
    <w:p>
      <w:pPr>
        <w:pStyle w:val="8"/>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（5）项目类型：服务类</w:t>
      </w:r>
    </w:p>
    <w:p>
      <w:pPr>
        <w:spacing w:line="500" w:lineRule="exact"/>
        <w:ind w:firstLine="482" w:firstLineChars="200"/>
        <w:rPr>
          <w:rFonts w:hint="eastAsia" w:ascii="宋体" w:hAnsi="宋体" w:eastAsia="宋体"/>
          <w:b/>
          <w:color w:val="000000"/>
          <w:sz w:val="24"/>
          <w:szCs w:val="24"/>
          <w:lang w:eastAsia="zh-CN"/>
        </w:rPr>
      </w:pPr>
      <w:r>
        <w:rPr>
          <w:rFonts w:hint="eastAsia" w:ascii="宋体" w:hAnsi="宋体"/>
          <w:b/>
          <w:color w:val="000000"/>
          <w:sz w:val="24"/>
          <w:szCs w:val="24"/>
        </w:rPr>
        <w:t>二、投标人</w:t>
      </w:r>
      <w:r>
        <w:rPr>
          <w:rFonts w:hint="eastAsia" w:ascii="宋体" w:hAnsi="宋体"/>
          <w:b/>
          <w:color w:val="000000"/>
          <w:sz w:val="24"/>
          <w:szCs w:val="24"/>
          <w:lang w:val="en-US" w:eastAsia="zh-CN"/>
        </w:rPr>
        <w:t>资格</w:t>
      </w:r>
    </w:p>
    <w:p>
      <w:pPr>
        <w:widowControl/>
        <w:spacing w:line="500" w:lineRule="exact"/>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1、具有独立承担民事责任的能力</w:t>
      </w:r>
      <w:r>
        <w:rPr>
          <w:rFonts w:hint="eastAsia" w:ascii="宋体" w:hAnsi="宋体"/>
          <w:color w:val="000000"/>
          <w:sz w:val="24"/>
          <w:szCs w:val="24"/>
          <w:lang w:eastAsia="zh-CN"/>
        </w:rPr>
        <w:t>，</w:t>
      </w:r>
      <w:r>
        <w:rPr>
          <w:rFonts w:hint="eastAsia" w:ascii="宋体" w:hAnsi="宋体"/>
          <w:color w:val="000000"/>
          <w:sz w:val="24"/>
          <w:szCs w:val="24"/>
          <w:lang w:val="en-US" w:eastAsia="zh-CN"/>
        </w:rPr>
        <w:t>和</w:t>
      </w:r>
      <w:r>
        <w:rPr>
          <w:rFonts w:hint="eastAsia" w:ascii="宋体" w:hAnsi="宋体"/>
          <w:color w:val="000000"/>
          <w:sz w:val="24"/>
          <w:szCs w:val="24"/>
        </w:rPr>
        <w:t>电力销售或售电业务资格（提供营业执照或其他材料）</w:t>
      </w:r>
      <w:r>
        <w:rPr>
          <w:rFonts w:hint="eastAsia" w:ascii="宋体" w:hAnsi="宋体"/>
          <w:color w:val="000000"/>
          <w:sz w:val="24"/>
          <w:szCs w:val="24"/>
          <w:lang w:eastAsia="zh-CN"/>
        </w:rPr>
        <w:t>。</w:t>
      </w:r>
    </w:p>
    <w:p>
      <w:pPr>
        <w:widowControl/>
        <w:spacing w:line="50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2</w:t>
      </w:r>
      <w:r>
        <w:rPr>
          <w:rFonts w:hint="eastAsia" w:ascii="宋体" w:hAnsi="宋体"/>
          <w:color w:val="000000"/>
          <w:sz w:val="24"/>
          <w:szCs w:val="24"/>
        </w:rPr>
        <w:t>、已通过安徽省电力交易中心审核、公示，为安徽省内有效的电力市场交易主体。（提供证明</w:t>
      </w:r>
      <w:r>
        <w:rPr>
          <w:rFonts w:hint="eastAsia" w:ascii="宋体" w:hAnsi="宋体"/>
          <w:color w:val="000000"/>
          <w:sz w:val="24"/>
          <w:szCs w:val="24"/>
          <w:lang w:val="en-US" w:eastAsia="zh-CN"/>
        </w:rPr>
        <w:t>文件</w:t>
      </w:r>
      <w:r>
        <w:rPr>
          <w:rFonts w:hint="eastAsia" w:ascii="宋体" w:hAnsi="宋体"/>
          <w:color w:val="000000"/>
          <w:sz w:val="24"/>
          <w:szCs w:val="24"/>
        </w:rPr>
        <w:t>，并加盖公章）</w:t>
      </w:r>
    </w:p>
    <w:p>
      <w:pPr>
        <w:widowControl/>
        <w:spacing w:line="500" w:lineRule="exact"/>
        <w:ind w:firstLine="480" w:firstLineChars="200"/>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3、售电公司风险系数≤1.0，且2022年度开展有电力交易业务。</w:t>
      </w:r>
      <w:r>
        <w:rPr>
          <w:rFonts w:hint="eastAsia" w:ascii="宋体" w:hAnsi="宋体"/>
          <w:color w:val="000000"/>
          <w:sz w:val="24"/>
          <w:szCs w:val="24"/>
        </w:rPr>
        <w:t>（</w:t>
      </w:r>
      <w:r>
        <w:rPr>
          <w:rFonts w:hint="eastAsia" w:ascii="宋体" w:hAnsi="宋体"/>
          <w:color w:val="000000"/>
          <w:sz w:val="24"/>
          <w:szCs w:val="24"/>
          <w:lang w:val="en-US" w:eastAsia="zh-CN"/>
        </w:rPr>
        <w:t>无需提供证明材料</w:t>
      </w:r>
      <w:r>
        <w:rPr>
          <w:rFonts w:hint="eastAsia" w:ascii="宋体" w:hAnsi="宋体"/>
          <w:color w:val="000000"/>
          <w:sz w:val="24"/>
          <w:szCs w:val="24"/>
        </w:rPr>
        <w:t>）</w:t>
      </w:r>
    </w:p>
    <w:p>
      <w:pPr>
        <w:widowControl/>
        <w:spacing w:line="500" w:lineRule="exact"/>
        <w:ind w:firstLine="480" w:firstLineChars="200"/>
        <w:rPr>
          <w:rFonts w:hint="eastAsia" w:ascii="宋体" w:hAnsi="宋体"/>
          <w:color w:val="000000"/>
          <w:sz w:val="24"/>
          <w:szCs w:val="24"/>
          <w:lang w:eastAsia="zh-CN"/>
        </w:rPr>
      </w:pPr>
      <w:r>
        <w:rPr>
          <w:rFonts w:hint="eastAsia" w:ascii="宋体" w:hAnsi="宋体"/>
          <w:color w:val="000000"/>
          <w:sz w:val="24"/>
          <w:szCs w:val="24"/>
          <w:lang w:val="en-US" w:eastAsia="zh-CN"/>
        </w:rPr>
        <w:t>4、售电公司在安徽省电力交易中心缴纳的有效履约保函或履约保险额度达1500万元及以上。（提供有效期内的证明文件，并加盖公章）</w:t>
      </w:r>
      <w:r>
        <w:rPr>
          <w:rFonts w:hint="eastAsia" w:ascii="宋体" w:hAnsi="宋体"/>
          <w:color w:val="000000"/>
          <w:sz w:val="24"/>
          <w:szCs w:val="24"/>
          <w:lang w:eastAsia="zh-CN"/>
        </w:rPr>
        <w:t>。</w:t>
      </w:r>
    </w:p>
    <w:p>
      <w:pPr>
        <w:widowControl/>
        <w:spacing w:line="500" w:lineRule="exact"/>
        <w:ind w:firstLine="480" w:firstLineChars="200"/>
        <w:rPr>
          <w:rFonts w:hint="eastAsia" w:ascii="宋体" w:hAnsi="宋体" w:eastAsia="宋体"/>
          <w:color w:val="000000"/>
          <w:sz w:val="24"/>
          <w:szCs w:val="24"/>
          <w:lang w:eastAsia="zh-CN"/>
        </w:rPr>
      </w:pPr>
      <w:r>
        <w:rPr>
          <w:rFonts w:hint="eastAsia" w:ascii="宋体" w:hAnsi="宋体"/>
          <w:color w:val="000000"/>
          <w:sz w:val="24"/>
          <w:szCs w:val="24"/>
          <w:lang w:val="en-US" w:eastAsia="zh-CN"/>
        </w:rPr>
        <w:t>5</w:t>
      </w:r>
      <w:r>
        <w:rPr>
          <w:rFonts w:hint="eastAsia" w:ascii="宋体" w:hAnsi="宋体"/>
          <w:color w:val="000000"/>
          <w:sz w:val="24"/>
          <w:szCs w:val="24"/>
        </w:rPr>
        <w:t>.本项目不接受联合体投标</w:t>
      </w:r>
      <w:r>
        <w:rPr>
          <w:rFonts w:hint="eastAsia" w:ascii="宋体" w:hAnsi="宋体"/>
          <w:color w:val="000000"/>
          <w:sz w:val="24"/>
          <w:szCs w:val="24"/>
          <w:lang w:eastAsia="zh-CN"/>
        </w:rPr>
        <w:t>。</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lang w:val="en-US" w:eastAsia="zh-CN"/>
        </w:rPr>
        <w:t>6</w:t>
      </w:r>
      <w:r>
        <w:rPr>
          <w:rFonts w:hint="eastAsia" w:ascii="宋体" w:hAnsi="宋体"/>
          <w:color w:val="000000"/>
          <w:sz w:val="24"/>
          <w:szCs w:val="24"/>
        </w:rPr>
        <w:t>.符合下列情形之一：</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（1）开标日前两年内未被合肥市及其所辖县（市）公共资源交易监督管理局记不良行为记录或记不良行为记录累计未满10分的。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（2）最近一次被合肥市及其所辖县（市）公共资源交易监督管理局记不良行为记录累计记分达10分(含10分)到15分且公布日距开标日超过6个月。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（3）最近一次被合肥市及其所辖县（市）公共资源交易监督管理局记不良行为记录累计记分达15分(含15分)到20分且公布日距开标日超过12个月。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（4）最近一次被合肥市及其所辖县（市）公共资源交易监督管理局记不良行为记录累计记分达20分(含20分)及以上且公布日距开标日超过24个月。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lang w:val="en-US" w:eastAsia="zh-CN"/>
        </w:rPr>
        <w:t>7</w:t>
      </w:r>
      <w:r>
        <w:rPr>
          <w:rFonts w:hint="eastAsia" w:ascii="宋体" w:hAnsi="宋体"/>
          <w:color w:val="000000"/>
          <w:sz w:val="24"/>
          <w:szCs w:val="24"/>
        </w:rPr>
        <w:t>.投标人存在以下不良信用记录情形之一的，不得推荐为中标候选人，不得确定为中标人：</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（1）投标人被人民法院列入失信被执行人的；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（2）投标人或其法定代表人或拟派项目经理（项目负责人）被人民检察院列入行贿犯罪档案的；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（3）投标人被工商行政管理部门列入企业经营异常名录的；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（4）投标人被税务部门列入重大税收违法案件当事人名单的。</w:t>
      </w:r>
    </w:p>
    <w:p>
      <w:pPr>
        <w:autoSpaceDE w:val="0"/>
        <w:autoSpaceDN w:val="0"/>
        <w:adjustRightInd w:val="0"/>
        <w:spacing w:line="500" w:lineRule="exact"/>
        <w:ind w:firstLine="241" w:firstLineChars="100"/>
        <w:jc w:val="left"/>
        <w:rPr>
          <w:rFonts w:ascii="宋体" w:hAnsi="宋体"/>
          <w:b/>
          <w:bCs/>
          <w:color w:val="000000"/>
          <w:sz w:val="24"/>
          <w:szCs w:val="24"/>
        </w:rPr>
      </w:pPr>
      <w:r>
        <w:rPr>
          <w:rFonts w:hint="eastAsia" w:ascii="宋体" w:hAnsi="宋体"/>
          <w:b/>
          <w:bCs/>
          <w:color w:val="000000"/>
          <w:sz w:val="24"/>
          <w:szCs w:val="24"/>
        </w:rPr>
        <w:t>三、投标报名</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bCs/>
          <w:color w:val="000000"/>
          <w:sz w:val="24"/>
          <w:szCs w:val="24"/>
        </w:rPr>
        <w:t>1.</w:t>
      </w:r>
      <w:r>
        <w:rPr>
          <w:rFonts w:hint="eastAsia" w:ascii="宋体" w:hAnsi="宋体" w:cs="宋体"/>
          <w:color w:val="000000"/>
          <w:kern w:val="0"/>
          <w:sz w:val="24"/>
          <w:szCs w:val="24"/>
        </w:rPr>
        <w:t>报名日期：</w:t>
      </w:r>
      <w:r>
        <w:rPr>
          <w:rFonts w:ascii="宋体" w:hAnsi="宋体" w:cs="宋体"/>
          <w:color w:val="000000"/>
          <w:kern w:val="0"/>
          <w:sz w:val="24"/>
          <w:szCs w:val="24"/>
          <w:u w:val="single"/>
        </w:rPr>
        <w:t>2023</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21</w:t>
      </w:r>
      <w:r>
        <w:rPr>
          <w:rFonts w:hint="eastAsia" w:ascii="宋体" w:hAnsi="宋体" w:cs="宋体"/>
          <w:color w:val="000000"/>
          <w:kern w:val="0"/>
          <w:sz w:val="24"/>
          <w:szCs w:val="24"/>
          <w:u w:val="single"/>
        </w:rPr>
        <w:t>日上午9:00至</w:t>
      </w:r>
      <w:r>
        <w:rPr>
          <w:rFonts w:ascii="宋体" w:hAnsi="宋体" w:cs="宋体"/>
          <w:color w:val="000000"/>
          <w:kern w:val="0"/>
          <w:sz w:val="24"/>
          <w:szCs w:val="24"/>
          <w:u w:val="single"/>
        </w:rPr>
        <w:t>2023</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23</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17</w:t>
      </w:r>
      <w:r>
        <w:rPr>
          <w:rFonts w:hint="eastAsia" w:ascii="宋体" w:hAnsi="宋体" w:cs="宋体"/>
          <w:color w:val="000000"/>
          <w:kern w:val="0"/>
          <w:sz w:val="24"/>
          <w:szCs w:val="24"/>
          <w:u w:val="single"/>
        </w:rPr>
        <w:t>:00</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2.领取方法：登录合肥文旅博览集团有限公司网站</w:t>
      </w:r>
      <w:r>
        <w:rPr>
          <w:rFonts w:ascii="宋体" w:hAnsi="宋体" w:cs="宋体"/>
          <w:color w:val="000000"/>
          <w:kern w:val="0"/>
          <w:sz w:val="24"/>
          <w:szCs w:val="24"/>
        </w:rPr>
        <w:t>http://www.zwzcgl.com</w:t>
      </w:r>
      <w:r>
        <w:rPr>
          <w:rFonts w:hint="eastAsia" w:ascii="宋体" w:hAnsi="宋体" w:cs="宋体"/>
          <w:color w:val="000000"/>
          <w:kern w:val="0"/>
          <w:sz w:val="24"/>
          <w:szCs w:val="24"/>
        </w:rPr>
        <w:t>下载标书</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3.报名方法：下载附件《××单位投××项目报名信息表》并完整填写信息后在规定的报名日期内发送至邮箱：</w:t>
      </w:r>
      <w:r>
        <w:fldChar w:fldCharType="begin"/>
      </w:r>
      <w:r>
        <w:instrText xml:space="preserve"> HYPERLINK "mailto:120156961@qq.com" </w:instrText>
      </w:r>
      <w:r>
        <w:fldChar w:fldCharType="separate"/>
      </w:r>
      <w:r>
        <w:rPr>
          <w:rFonts w:hint="eastAsia" w:cs="宋体"/>
          <w:color w:val="000000"/>
          <w:kern w:val="0"/>
          <w:sz w:val="24"/>
          <w:szCs w:val="24"/>
          <w:u w:val="single"/>
        </w:rPr>
        <w:t>361923526@qq.com</w:t>
      </w:r>
      <w:r>
        <w:rPr>
          <w:rFonts w:hint="eastAsia" w:cs="宋体"/>
          <w:color w:val="000000"/>
          <w:kern w:val="0"/>
          <w:sz w:val="24"/>
          <w:szCs w:val="24"/>
          <w:u w:val="single"/>
        </w:rPr>
        <w:fldChar w:fldCharType="end"/>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四、开标时间及地点</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rPr>
        <w:t>1.开标时间：</w:t>
      </w:r>
      <w:r>
        <w:rPr>
          <w:rFonts w:hint="eastAsia" w:ascii="宋体" w:hAnsi="宋体" w:cs="宋体"/>
          <w:color w:val="000000"/>
          <w:kern w:val="0"/>
          <w:sz w:val="24"/>
          <w:szCs w:val="24"/>
          <w:u w:val="single"/>
        </w:rPr>
        <w:t>2023年</w:t>
      </w:r>
      <w:r>
        <w:rPr>
          <w:rFonts w:hint="eastAsia" w:ascii="宋体" w:hAnsi="宋体" w:cs="宋体"/>
          <w:color w:val="000000"/>
          <w:kern w:val="0"/>
          <w:sz w:val="24"/>
          <w:szCs w:val="24"/>
          <w:u w:val="single"/>
          <w:lang w:val="en-US" w:eastAsia="zh-CN"/>
        </w:rPr>
        <w:t>11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24</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15</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0</w:t>
      </w:r>
      <w:r>
        <w:rPr>
          <w:rFonts w:hint="eastAsia" w:ascii="宋体" w:hAnsi="宋体" w:cs="宋体"/>
          <w:color w:val="000000"/>
          <w:kern w:val="0"/>
          <w:sz w:val="24"/>
          <w:szCs w:val="24"/>
          <w:u w:val="single"/>
        </w:rPr>
        <w:t>0</w:t>
      </w:r>
    </w:p>
    <w:p>
      <w:pPr>
        <w:autoSpaceDE w:val="0"/>
        <w:autoSpaceDN w:val="0"/>
        <w:adjustRightInd w:val="0"/>
        <w:spacing w:line="500" w:lineRule="exact"/>
        <w:ind w:firstLine="200"/>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2.开标地点：合肥市蜀山区习友路与茂荫路交口投资大厦</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楼</w:t>
      </w:r>
      <w:r>
        <w:rPr>
          <w:rFonts w:hint="eastAsia" w:ascii="宋体" w:hAnsi="宋体" w:cs="宋体"/>
          <w:color w:val="000000"/>
          <w:kern w:val="0"/>
          <w:sz w:val="24"/>
          <w:szCs w:val="24"/>
          <w:lang w:val="en-US" w:eastAsia="zh-CN"/>
        </w:rPr>
        <w:t>多功能厅</w:t>
      </w:r>
      <w:bookmarkStart w:id="118" w:name="_GoBack"/>
      <w:bookmarkEnd w:id="118"/>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五、投标截止时间</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u w:val="single"/>
        </w:rPr>
        <w:t>2023年</w:t>
      </w:r>
      <w:r>
        <w:rPr>
          <w:rFonts w:hint="eastAsia" w:ascii="宋体" w:hAnsi="宋体" w:cs="宋体"/>
          <w:color w:val="000000"/>
          <w:kern w:val="0"/>
          <w:sz w:val="24"/>
          <w:szCs w:val="24"/>
          <w:u w:val="single"/>
          <w:lang w:val="en-US" w:eastAsia="zh-CN"/>
        </w:rPr>
        <w:t>11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24</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15</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0</w:t>
      </w:r>
      <w:r>
        <w:rPr>
          <w:rFonts w:hint="eastAsia" w:ascii="宋体" w:hAnsi="宋体" w:cs="宋体"/>
          <w:color w:val="000000"/>
          <w:kern w:val="0"/>
          <w:sz w:val="24"/>
          <w:szCs w:val="24"/>
          <w:u w:val="single"/>
        </w:rPr>
        <w:t>0</w:t>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六、联系方法</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招 标 人：合肥文旅博览集团有限公司</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地    址：合肥市蜀山区习友路与茂荫路交口投资大厦</w:t>
      </w:r>
    </w:p>
    <w:p>
      <w:pPr>
        <w:autoSpaceDE w:val="0"/>
        <w:autoSpaceDN w:val="0"/>
        <w:adjustRightInd w:val="0"/>
        <w:spacing w:line="500" w:lineRule="exact"/>
        <w:ind w:firstLine="200"/>
        <w:jc w:val="left"/>
        <w:rPr>
          <w:rFonts w:ascii="宋体" w:hAnsi="宋体" w:cs="宋体"/>
          <w:color w:val="000000"/>
          <w:kern w:val="0"/>
          <w:sz w:val="24"/>
        </w:rPr>
      </w:pPr>
      <w:r>
        <w:rPr>
          <w:rFonts w:hint="eastAsia" w:ascii="宋体" w:hAnsi="宋体" w:cs="宋体"/>
          <w:color w:val="000000"/>
          <w:kern w:val="0"/>
          <w:sz w:val="24"/>
          <w:szCs w:val="24"/>
        </w:rPr>
        <w:t>联 系 人：</w:t>
      </w:r>
      <w:r>
        <w:rPr>
          <w:rFonts w:hint="eastAsia" w:ascii="宋体" w:hAnsi="宋体" w:cs="宋体"/>
          <w:color w:val="000000"/>
          <w:kern w:val="0"/>
          <w:sz w:val="24"/>
        </w:rPr>
        <w:t xml:space="preserve">汪工 </w:t>
      </w:r>
      <w:r>
        <w:rPr>
          <w:rFonts w:hint="eastAsia" w:ascii="宋体" w:hAnsi="宋体" w:cs="宋体"/>
          <w:color w:val="000000"/>
          <w:kern w:val="0"/>
          <w:sz w:val="24"/>
          <w:szCs w:val="24"/>
        </w:rPr>
        <w:t>电话：</w:t>
      </w:r>
      <w:r>
        <w:rPr>
          <w:rFonts w:hint="eastAsia" w:ascii="宋体" w:hAnsi="宋体" w:cs="宋体"/>
          <w:color w:val="000000"/>
          <w:kern w:val="0"/>
          <w:sz w:val="24"/>
        </w:rPr>
        <w:t>0551-63530687</w:t>
      </w:r>
    </w:p>
    <w:p>
      <w:pPr>
        <w:widowControl/>
        <w:spacing w:line="500" w:lineRule="exact"/>
        <w:ind w:firstLine="723" w:firstLineChars="300"/>
        <w:rPr>
          <w:rFonts w:ascii="宋体" w:hAnsi="宋体" w:cs="宋体"/>
          <w:b/>
          <w:color w:val="000000"/>
          <w:kern w:val="0"/>
          <w:sz w:val="24"/>
          <w:szCs w:val="24"/>
        </w:rPr>
      </w:pPr>
      <w:r>
        <w:rPr>
          <w:rFonts w:hint="eastAsia" w:ascii="宋体" w:hAnsi="宋体" w:cs="宋体"/>
          <w:b/>
          <w:color w:val="000000"/>
          <w:kern w:val="0"/>
          <w:sz w:val="24"/>
          <w:szCs w:val="24"/>
        </w:rPr>
        <w:t>七、其他补充事宜</w:t>
      </w:r>
    </w:p>
    <w:p>
      <w:pPr>
        <w:widowControl/>
        <w:spacing w:line="500" w:lineRule="exact"/>
        <w:ind w:firstLine="560"/>
        <w:rPr>
          <w:rFonts w:ascii="宋体" w:hAnsi="宋体" w:cs="宋体"/>
          <w:color w:val="000000"/>
          <w:kern w:val="0"/>
          <w:sz w:val="24"/>
          <w:szCs w:val="24"/>
        </w:rPr>
      </w:pPr>
      <w:r>
        <w:rPr>
          <w:rFonts w:hint="eastAsia" w:ascii="宋体" w:hAnsi="宋体" w:cs="宋体"/>
          <w:color w:val="000000"/>
          <w:kern w:val="0"/>
          <w:sz w:val="24"/>
          <w:szCs w:val="24"/>
        </w:rPr>
        <w:t>有任何疑问或问题，请在工作时间（周一至周五，上午08:00-12:00，下午2:30-5:30，节假日休息）与项目联系人联系。</w:t>
      </w:r>
    </w:p>
    <w:p>
      <w:pPr>
        <w:widowControl/>
        <w:spacing w:line="460" w:lineRule="exact"/>
        <w:ind w:firstLine="482" w:firstLineChars="200"/>
        <w:jc w:val="left"/>
        <w:outlineLvl w:val="1"/>
        <w:rPr>
          <w:rFonts w:ascii="宋体" w:hAnsi="宋体" w:cs="宋体"/>
          <w:b/>
          <w:kern w:val="0"/>
          <w:sz w:val="24"/>
          <w:szCs w:val="24"/>
        </w:rPr>
      </w:pPr>
      <w:bookmarkStart w:id="6" w:name="_Toc26881"/>
      <w:r>
        <w:rPr>
          <w:rFonts w:hint="eastAsia" w:ascii="宋体" w:hAnsi="宋体" w:cs="宋体"/>
          <w:b/>
          <w:kern w:val="0"/>
          <w:sz w:val="24"/>
          <w:szCs w:val="24"/>
        </w:rPr>
        <w:t>八、 招标文件的异议、投诉</w:t>
      </w:r>
      <w:bookmarkEnd w:id="6"/>
    </w:p>
    <w:p>
      <w:pPr>
        <w:widowControl/>
        <w:autoSpaceDE w:val="0"/>
        <w:autoSpaceDN w:val="0"/>
        <w:adjustRightInd w:val="0"/>
        <w:spacing w:line="500" w:lineRule="exact"/>
        <w:ind w:firstLine="200" w:firstLineChars="0"/>
        <w:jc w:val="left"/>
        <w:rPr>
          <w:rFonts w:hint="eastAsia" w:ascii="宋体" w:hAnsi="宋体" w:cs="宋体"/>
          <w:color w:val="auto"/>
          <w:kern w:val="0"/>
          <w:sz w:val="24"/>
          <w:szCs w:val="24"/>
        </w:rPr>
      </w:pPr>
      <w:r>
        <w:rPr>
          <w:rFonts w:hint="eastAsia" w:ascii="宋体" w:hAnsi="宋体" w:cs="宋体"/>
          <w:color w:val="auto"/>
          <w:kern w:val="0"/>
          <w:sz w:val="24"/>
          <w:szCs w:val="24"/>
        </w:rPr>
        <w:t>1、投标人或者其他利害关系人对招标文件有异议的，应当在规定时间通过电子邮件形式提出或以书面形式向招标人提出。</w:t>
      </w:r>
    </w:p>
    <w:p>
      <w:pPr>
        <w:autoSpaceDE w:val="0"/>
        <w:autoSpaceDN w:val="0"/>
        <w:adjustRightInd w:val="0"/>
        <w:spacing w:line="500" w:lineRule="exact"/>
        <w:ind w:firstLine="200" w:firstLineChars="0"/>
        <w:jc w:val="left"/>
        <w:outlineLvl w:val="9"/>
        <w:rPr>
          <w:rFonts w:hint="eastAsia" w:ascii="宋体" w:hAnsi="宋体" w:eastAsia="宋体" w:cs="宋体"/>
          <w:b w:val="0"/>
          <w:bCs w:val="0"/>
          <w:color w:val="auto"/>
          <w:kern w:val="0"/>
          <w:sz w:val="24"/>
          <w:szCs w:val="24"/>
        </w:rPr>
      </w:pPr>
      <w:bookmarkStart w:id="7" w:name="_Toc31157"/>
      <w:r>
        <w:rPr>
          <w:rFonts w:hint="eastAsia" w:ascii="宋体" w:hAnsi="宋体" w:eastAsia="宋体" w:cs="宋体"/>
          <w:b w:val="0"/>
          <w:bCs w:val="0"/>
          <w:color w:val="auto"/>
          <w:kern w:val="0"/>
          <w:sz w:val="24"/>
          <w:szCs w:val="24"/>
        </w:rPr>
        <w:t>2、招标人未在规定时间内予以答复的，可以向招标人纪检监察部门反映。联系电话：0551-63539209。</w:t>
      </w:r>
      <w:bookmarkEnd w:id="7"/>
    </w:p>
    <w:p>
      <w:pPr>
        <w:autoSpaceDE/>
        <w:autoSpaceDN/>
        <w:adjustRightInd/>
        <w:spacing w:line="240" w:lineRule="auto"/>
        <w:ind w:firstLine="0"/>
        <w:rPr>
          <w:rFonts w:ascii="宋体" w:hAnsi="宋体" w:cs="宋体"/>
          <w:color w:val="000000"/>
          <w:kern w:val="0"/>
          <w:sz w:val="24"/>
          <w:szCs w:val="24"/>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pStyle w:val="5"/>
        <w:spacing w:before="0" w:after="0" w:line="360" w:lineRule="auto"/>
        <w:ind w:firstLine="0"/>
        <w:rPr>
          <w:rFonts w:hint="eastAsia" w:ascii="宋体" w:hAnsi="宋体" w:eastAsia="宋体"/>
          <w:color w:val="000000"/>
        </w:rPr>
      </w:pPr>
      <w:bookmarkStart w:id="8" w:name="_Toc11552"/>
      <w:r>
        <w:rPr>
          <w:rFonts w:hint="eastAsia" w:ascii="宋体" w:hAnsi="宋体" w:eastAsia="宋体"/>
          <w:color w:val="000000"/>
        </w:rPr>
        <w:t>第二章 投标人须知前附表</w:t>
      </w:r>
      <w:bookmarkEnd w:id="8"/>
    </w:p>
    <w:tbl>
      <w:tblPr>
        <w:tblStyle w:val="15"/>
        <w:tblW w:w="93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
                <w:color w:val="000000"/>
                <w:sz w:val="24"/>
              </w:rPr>
            </w:pPr>
            <w:r>
              <w:rPr>
                <w:rFonts w:hint="eastAsia" w:ascii="宋体" w:hAnsi="宋体"/>
                <w:b/>
                <w:color w:val="000000"/>
                <w:sz w:val="24"/>
              </w:rPr>
              <w:t>序号</w:t>
            </w:r>
          </w:p>
        </w:tc>
        <w:tc>
          <w:tcPr>
            <w:tcW w:w="1559" w:type="dxa"/>
            <w:vAlign w:val="center"/>
          </w:tcPr>
          <w:p>
            <w:pPr>
              <w:jc w:val="center"/>
              <w:rPr>
                <w:rFonts w:ascii="宋体" w:hAnsi="宋体"/>
                <w:b/>
                <w:color w:val="000000"/>
                <w:sz w:val="24"/>
              </w:rPr>
            </w:pPr>
            <w:r>
              <w:rPr>
                <w:rFonts w:hint="eastAsia" w:ascii="宋体" w:hAnsi="宋体"/>
                <w:b/>
                <w:color w:val="000000"/>
                <w:sz w:val="24"/>
              </w:rPr>
              <w:t>内容</w:t>
            </w:r>
          </w:p>
        </w:tc>
        <w:tc>
          <w:tcPr>
            <w:tcW w:w="7077" w:type="dxa"/>
            <w:vAlign w:val="center"/>
          </w:tcPr>
          <w:p>
            <w:pPr>
              <w:pStyle w:val="18"/>
              <w:widowControl w:val="0"/>
              <w:spacing w:before="0" w:beforeAutospacing="0" w:after="0" w:afterAutospacing="0"/>
              <w:rPr>
                <w:bCs w:val="0"/>
                <w:color w:val="000000"/>
                <w:kern w:val="2"/>
                <w:sz w:val="24"/>
                <w:szCs w:val="20"/>
              </w:rPr>
            </w:pPr>
            <w:r>
              <w:rPr>
                <w:rFonts w:hint="eastAsia"/>
                <w:bCs w:val="0"/>
                <w:color w:val="000000"/>
                <w:kern w:val="2"/>
                <w:sz w:val="24"/>
                <w:szCs w:val="20"/>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pStyle w:val="19"/>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1</w:t>
            </w:r>
          </w:p>
        </w:tc>
        <w:tc>
          <w:tcPr>
            <w:tcW w:w="1559" w:type="dxa"/>
            <w:vAlign w:val="center"/>
          </w:tcPr>
          <w:p>
            <w:pPr>
              <w:jc w:val="center"/>
              <w:rPr>
                <w:rFonts w:ascii="宋体" w:hAnsi="宋体"/>
                <w:bCs/>
                <w:color w:val="000000"/>
                <w:sz w:val="24"/>
              </w:rPr>
            </w:pPr>
            <w:r>
              <w:rPr>
                <w:rFonts w:hint="eastAsia" w:ascii="宋体" w:hAnsi="宋体"/>
                <w:bCs/>
                <w:color w:val="000000"/>
                <w:sz w:val="24"/>
              </w:rPr>
              <w:t>招标人</w:t>
            </w:r>
          </w:p>
        </w:tc>
        <w:tc>
          <w:tcPr>
            <w:tcW w:w="7077" w:type="dxa"/>
            <w:vAlign w:val="center"/>
          </w:tcPr>
          <w:p>
            <w:pPr>
              <w:pStyle w:val="18"/>
              <w:widowControl w:val="0"/>
              <w:spacing w:before="0" w:beforeAutospacing="0" w:after="0" w:afterAutospacing="0"/>
              <w:jc w:val="both"/>
              <w:rPr>
                <w:b w:val="0"/>
                <w:color w:val="000000"/>
                <w:kern w:val="2"/>
                <w:sz w:val="24"/>
                <w:szCs w:val="20"/>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2</w:t>
            </w:r>
          </w:p>
        </w:tc>
        <w:tc>
          <w:tcPr>
            <w:tcW w:w="1559" w:type="dxa"/>
            <w:vAlign w:val="center"/>
          </w:tcPr>
          <w:p>
            <w:pPr>
              <w:jc w:val="center"/>
              <w:rPr>
                <w:rFonts w:ascii="宋体" w:hAnsi="宋体"/>
                <w:bCs/>
                <w:color w:val="000000"/>
                <w:sz w:val="24"/>
              </w:rPr>
            </w:pPr>
            <w:r>
              <w:rPr>
                <w:rFonts w:hint="eastAsia" w:ascii="宋体" w:hAnsi="宋体"/>
                <w:bCs/>
                <w:color w:val="000000"/>
                <w:sz w:val="24"/>
              </w:rPr>
              <w:t>委托人</w:t>
            </w:r>
          </w:p>
        </w:tc>
        <w:tc>
          <w:tcPr>
            <w:tcW w:w="7077" w:type="dxa"/>
            <w:vAlign w:val="center"/>
          </w:tcPr>
          <w:p>
            <w:pPr>
              <w:pStyle w:val="18"/>
              <w:widowControl w:val="0"/>
              <w:spacing w:before="0" w:beforeAutospacing="0" w:after="0" w:afterAutospacing="0"/>
              <w:jc w:val="both"/>
              <w:rPr>
                <w:b w:val="0"/>
                <w:bCs w:val="0"/>
                <w:color w:val="000000"/>
                <w:sz w:val="24"/>
                <w:szCs w:val="18"/>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3</w:t>
            </w:r>
          </w:p>
        </w:tc>
        <w:tc>
          <w:tcPr>
            <w:tcW w:w="1559" w:type="dxa"/>
            <w:vAlign w:val="center"/>
          </w:tcPr>
          <w:p>
            <w:pPr>
              <w:jc w:val="center"/>
              <w:rPr>
                <w:rFonts w:ascii="宋体" w:hAnsi="宋体"/>
                <w:color w:val="000000"/>
                <w:sz w:val="24"/>
              </w:rPr>
            </w:pPr>
            <w:r>
              <w:rPr>
                <w:rFonts w:hint="eastAsia" w:ascii="宋体" w:hAnsi="宋体"/>
                <w:color w:val="000000"/>
                <w:sz w:val="24"/>
              </w:rPr>
              <w:t>项目名称</w:t>
            </w:r>
          </w:p>
        </w:tc>
        <w:tc>
          <w:tcPr>
            <w:tcW w:w="7077" w:type="dxa"/>
            <w:vAlign w:val="center"/>
          </w:tcPr>
          <w:p>
            <w:pPr>
              <w:pStyle w:val="8"/>
              <w:spacing w:line="500" w:lineRule="exact"/>
              <w:jc w:val="both"/>
              <w:rPr>
                <w:rFonts w:ascii="宋体" w:hAnsi="宋体"/>
                <w:color w:val="000000"/>
                <w:sz w:val="24"/>
                <w:szCs w:val="24"/>
              </w:rPr>
            </w:pPr>
            <w:r>
              <w:rPr>
                <w:rFonts w:hint="eastAsia" w:ascii="宋体" w:hAnsi="宋体"/>
                <w:bCs/>
                <w:color w:val="000000"/>
                <w:sz w:val="24"/>
                <w:szCs w:val="20"/>
              </w:rPr>
              <w:t>合肥文旅博览集团有限公司及子公司2024年度电力常规中长期交易服务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4</w:t>
            </w:r>
          </w:p>
        </w:tc>
        <w:tc>
          <w:tcPr>
            <w:tcW w:w="1559" w:type="dxa"/>
            <w:vAlign w:val="center"/>
          </w:tcPr>
          <w:p>
            <w:pPr>
              <w:jc w:val="center"/>
              <w:rPr>
                <w:rFonts w:ascii="宋体" w:hAnsi="宋体"/>
                <w:color w:val="000000"/>
                <w:sz w:val="24"/>
              </w:rPr>
            </w:pPr>
            <w:r>
              <w:rPr>
                <w:rFonts w:hint="eastAsia" w:ascii="宋体" w:hAnsi="宋体"/>
                <w:color w:val="000000"/>
                <w:sz w:val="24"/>
              </w:rPr>
              <w:t>项目编号</w:t>
            </w:r>
          </w:p>
        </w:tc>
        <w:tc>
          <w:tcPr>
            <w:tcW w:w="7077" w:type="dxa"/>
            <w:vAlign w:val="center"/>
          </w:tcPr>
          <w:p>
            <w:pPr>
              <w:autoSpaceDE w:val="0"/>
              <w:autoSpaceDN w:val="0"/>
              <w:adjustRightInd w:val="0"/>
              <w:spacing w:line="360" w:lineRule="auto"/>
              <w:jc w:val="left"/>
              <w:rPr>
                <w:rFonts w:ascii="宋体" w:hAnsi="宋体"/>
                <w:color w:val="000000"/>
                <w:sz w:val="24"/>
                <w:szCs w:val="18"/>
              </w:rPr>
            </w:pPr>
            <w:r>
              <w:rPr>
                <w:rFonts w:hint="eastAsia" w:ascii="宋体" w:hAnsi="宋体"/>
                <w:color w:val="000000"/>
                <w:sz w:val="24"/>
                <w:szCs w:val="24"/>
              </w:rPr>
              <w:t>2023WLBLZB000</w:t>
            </w:r>
            <w:r>
              <w:rPr>
                <w:rFonts w:hint="eastAsia" w:ascii="宋体" w:hAnsi="宋体"/>
                <w:color w:val="000000"/>
                <w:sz w:val="24"/>
                <w:szCs w:val="24"/>
                <w:lang w:val="en-US" w:eastAsia="zh-CN"/>
              </w:rPr>
              <w:t>90</w:t>
            </w:r>
            <w:r>
              <w:rPr>
                <w:rFonts w:hint="eastAsia" w:ascii="宋体" w:hAnsi="宋体"/>
                <w:color w:val="000000"/>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9" w:type="dxa"/>
            <w:vAlign w:val="center"/>
          </w:tcPr>
          <w:p>
            <w:pPr>
              <w:jc w:val="center"/>
              <w:rPr>
                <w:rFonts w:ascii="宋体" w:hAnsi="宋体"/>
                <w:bCs/>
                <w:color w:val="000000"/>
                <w:sz w:val="24"/>
              </w:rPr>
            </w:pPr>
            <w:r>
              <w:rPr>
                <w:rFonts w:hint="eastAsia" w:ascii="宋体" w:hAnsi="宋体"/>
                <w:bCs/>
                <w:color w:val="000000"/>
                <w:sz w:val="24"/>
              </w:rPr>
              <w:t>5</w:t>
            </w:r>
          </w:p>
        </w:tc>
        <w:tc>
          <w:tcPr>
            <w:tcW w:w="1559" w:type="dxa"/>
            <w:vAlign w:val="center"/>
          </w:tcPr>
          <w:p>
            <w:pPr>
              <w:jc w:val="center"/>
              <w:rPr>
                <w:rFonts w:ascii="宋体" w:hAnsi="宋体"/>
                <w:color w:val="000000"/>
                <w:sz w:val="24"/>
              </w:rPr>
            </w:pPr>
            <w:r>
              <w:rPr>
                <w:rFonts w:hint="eastAsia" w:ascii="宋体" w:hAnsi="宋体"/>
                <w:color w:val="000000"/>
                <w:sz w:val="24"/>
              </w:rPr>
              <w:t>项目性质</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6</w:t>
            </w:r>
          </w:p>
        </w:tc>
        <w:tc>
          <w:tcPr>
            <w:tcW w:w="1559" w:type="dxa"/>
            <w:vAlign w:val="center"/>
          </w:tcPr>
          <w:p>
            <w:pPr>
              <w:jc w:val="center"/>
              <w:rPr>
                <w:rFonts w:ascii="宋体" w:hAnsi="宋体"/>
                <w:color w:val="000000"/>
                <w:sz w:val="24"/>
              </w:rPr>
            </w:pPr>
            <w:r>
              <w:rPr>
                <w:rFonts w:hint="eastAsia" w:ascii="宋体" w:hAnsi="宋体"/>
                <w:color w:val="000000"/>
                <w:sz w:val="24"/>
              </w:rPr>
              <w:t>资金来源</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 xml:space="preserve">□财政投资    </w:t>
            </w:r>
            <w:r>
              <w:rPr>
                <w:rFonts w:hint="eastAsia"/>
                <w:b w:val="0"/>
                <w:bCs w:val="0"/>
                <w:color w:val="000000"/>
                <w:sz w:val="24"/>
              </w:rPr>
              <w:sym w:font="Wingdings" w:char="F0FE"/>
            </w:r>
            <w:r>
              <w:rPr>
                <w:rFonts w:hint="eastAsia"/>
                <w:b w:val="0"/>
                <w:bCs w:val="0"/>
                <w:color w:val="000000"/>
                <w:sz w:val="24"/>
              </w:rPr>
              <w:t>委托人</w:t>
            </w:r>
            <w:r>
              <w:rPr>
                <w:rFonts w:hint="eastAsia"/>
                <w:b w:val="0"/>
                <w:color w:val="000000"/>
                <w:sz w:val="24"/>
              </w:rPr>
              <w:t xml:space="preserve">自筹    </w:t>
            </w:r>
            <w:r>
              <w:rPr>
                <w:rFonts w:hint="eastAsia"/>
                <w:b w:val="0"/>
                <w:bCs w:val="0"/>
                <w:color w:val="000000"/>
                <w:sz w:val="24"/>
              </w:rPr>
              <w:t>□</w:t>
            </w:r>
            <w:r>
              <w:rPr>
                <w:rFonts w:hint="eastAsia"/>
                <w:b w:val="0"/>
                <w:color w:val="000000"/>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7</w:t>
            </w:r>
          </w:p>
        </w:tc>
        <w:tc>
          <w:tcPr>
            <w:tcW w:w="1559" w:type="dxa"/>
          </w:tcPr>
          <w:p>
            <w:pPr>
              <w:spacing w:line="500" w:lineRule="exact"/>
              <w:jc w:val="center"/>
              <w:rPr>
                <w:rFonts w:ascii="宋体" w:hAnsi="宋体"/>
                <w:color w:val="000000"/>
                <w:sz w:val="24"/>
                <w:lang w:val="zh-CN"/>
              </w:rPr>
            </w:pPr>
            <w:r>
              <w:rPr>
                <w:rFonts w:hint="eastAsia" w:ascii="宋体" w:hAnsi="宋体"/>
                <w:color w:val="000000"/>
                <w:sz w:val="24"/>
              </w:rPr>
              <w:t>标段划分</w:t>
            </w:r>
          </w:p>
        </w:tc>
        <w:tc>
          <w:tcPr>
            <w:tcW w:w="7077" w:type="dxa"/>
            <w:vAlign w:val="center"/>
          </w:tcPr>
          <w:p>
            <w:pPr>
              <w:spacing w:line="500" w:lineRule="exact"/>
              <w:ind w:left="841" w:hanging="841"/>
              <w:rPr>
                <w:rFonts w:ascii="宋体" w:hAnsi="宋体"/>
                <w:bCs/>
                <w:color w:val="000000"/>
                <w:sz w:val="24"/>
              </w:rPr>
            </w:pPr>
            <w:r>
              <w:rPr>
                <w:rFonts w:hint="eastAsia"/>
                <w:bCs/>
                <w:color w:val="000000"/>
                <w:sz w:val="24"/>
              </w:rPr>
              <w:sym w:font="Wingdings" w:char="F0FE"/>
            </w:r>
            <w:r>
              <w:rPr>
                <w:rFonts w:hint="eastAsia" w:ascii="宋体" w:hAnsi="宋体"/>
                <w:color w:val="000000"/>
                <w:sz w:val="24"/>
              </w:rPr>
              <w:t>不分标段   □分为  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9" w:type="dxa"/>
            <w:vAlign w:val="center"/>
          </w:tcPr>
          <w:p>
            <w:pPr>
              <w:spacing w:line="500" w:lineRule="exact"/>
              <w:ind w:right="102"/>
              <w:jc w:val="center"/>
              <w:rPr>
                <w:rFonts w:ascii="宋体" w:hAnsi="宋体"/>
                <w:color w:val="000000"/>
                <w:sz w:val="24"/>
                <w:lang w:val="zh-CN"/>
              </w:rPr>
            </w:pPr>
            <w:r>
              <w:rPr>
                <w:rFonts w:hint="eastAsia" w:ascii="宋体" w:hAnsi="宋体"/>
                <w:color w:val="000000"/>
                <w:sz w:val="24"/>
                <w:lang w:val="zh-CN"/>
              </w:rPr>
              <w:t>8</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lang w:val="zh-CN"/>
              </w:rPr>
              <w:t>付款方式</w:t>
            </w:r>
          </w:p>
        </w:tc>
        <w:tc>
          <w:tcPr>
            <w:tcW w:w="7077" w:type="dxa"/>
            <w:vAlign w:val="center"/>
          </w:tcPr>
          <w:p>
            <w:pPr>
              <w:spacing w:line="360" w:lineRule="auto"/>
              <w:ind w:firstLine="480" w:firstLineChars="200"/>
              <w:jc w:val="center"/>
              <w:outlineLvl w:val="0"/>
              <w:rPr>
                <w:rFonts w:hint="eastAsia" w:ascii="宋体" w:hAnsi="宋体" w:eastAsia="宋体"/>
                <w:bCs/>
                <w:color w:val="000000"/>
                <w:sz w:val="24"/>
                <w:szCs w:val="20"/>
                <w:lang w:eastAsia="zh-CN"/>
              </w:rPr>
            </w:pPr>
            <w:r>
              <w:rPr>
                <w:rFonts w:hint="eastAsia" w:ascii="宋体" w:hAnsi="宋体"/>
                <w:bCs/>
                <w:color w:val="000000"/>
                <w:sz w:val="24"/>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9</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联合体投标</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w:t>
            </w:r>
            <w:r>
              <w:rPr>
                <w:rFonts w:hint="eastAsia" w:ascii="宋体" w:hAnsi="宋体"/>
                <w:color w:val="000000"/>
                <w:sz w:val="24"/>
                <w:lang w:val="zh-CN"/>
              </w:rPr>
              <w:t xml:space="preserve">接受  </w:t>
            </w:r>
            <w:r>
              <w:rPr>
                <w:b/>
                <w:bCs/>
                <w:color w:val="000000"/>
                <w:sz w:val="24"/>
              </w:rPr>
              <w:sym w:font="Wingdings" w:char="F0FE"/>
            </w:r>
            <w:r>
              <w:rPr>
                <w:rFonts w:hint="eastAsia" w:ascii="宋体" w:hAnsi="宋体"/>
                <w:color w:val="000000"/>
                <w:sz w:val="24"/>
              </w:rPr>
              <w:t>不</w:t>
            </w:r>
            <w:r>
              <w:rPr>
                <w:rFonts w:hint="eastAsia" w:ascii="宋体" w:hAnsi="宋体"/>
                <w:color w:val="000000"/>
                <w:sz w:val="24"/>
                <w:lang w:val="zh-CN"/>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10</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投标有效期</w:t>
            </w:r>
          </w:p>
        </w:tc>
        <w:tc>
          <w:tcPr>
            <w:tcW w:w="7077" w:type="dxa"/>
            <w:vAlign w:val="center"/>
          </w:tcPr>
          <w:p>
            <w:pPr>
              <w:spacing w:line="500" w:lineRule="exact"/>
              <w:rPr>
                <w:rFonts w:ascii="宋体" w:hAnsi="宋体"/>
                <w:color w:val="000000"/>
                <w:sz w:val="24"/>
                <w:szCs w:val="24"/>
              </w:rPr>
            </w:pPr>
            <w:r>
              <w:rPr>
                <w:rFonts w:hint="eastAsia" w:ascii="宋体" w:hAnsi="宋体"/>
                <w:color w:val="000000"/>
                <w:sz w:val="24"/>
                <w:szCs w:val="24"/>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11</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服务地点</w:t>
            </w:r>
          </w:p>
        </w:tc>
        <w:tc>
          <w:tcPr>
            <w:tcW w:w="7077" w:type="dxa"/>
            <w:vAlign w:val="center"/>
          </w:tcPr>
          <w:p>
            <w:pPr>
              <w:spacing w:line="360" w:lineRule="auto"/>
              <w:rPr>
                <w:rFonts w:ascii="宋体" w:hAnsi="宋体"/>
                <w:color w:val="000000"/>
                <w:sz w:val="24"/>
                <w:szCs w:val="24"/>
              </w:rPr>
            </w:pPr>
            <w:r>
              <w:rPr>
                <w:rFonts w:hint="eastAsia"/>
                <w:color w:val="000000"/>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12</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服务期限</w:t>
            </w:r>
          </w:p>
        </w:tc>
        <w:tc>
          <w:tcPr>
            <w:tcW w:w="7077" w:type="dxa"/>
            <w:vAlign w:val="center"/>
          </w:tcPr>
          <w:p>
            <w:pPr>
              <w:autoSpaceDE w:val="0"/>
              <w:autoSpaceDN w:val="0"/>
              <w:adjustRightInd w:val="0"/>
              <w:spacing w:line="440" w:lineRule="exact"/>
              <w:jc w:val="left"/>
              <w:rPr>
                <w:rFonts w:hint="default" w:ascii="宋体" w:hAnsi="宋体" w:eastAsia="宋体"/>
                <w:color w:val="000000"/>
                <w:sz w:val="24"/>
                <w:lang w:val="en-US" w:eastAsia="zh-CN"/>
              </w:rPr>
            </w:pPr>
            <w:r>
              <w:rPr>
                <w:rFonts w:hint="eastAsia" w:ascii="宋体" w:hAnsi="宋体"/>
                <w:color w:val="000000"/>
                <w:sz w:val="24"/>
                <w:lang w:val="en-US" w:eastAsia="zh-CN"/>
              </w:rPr>
              <w:t>2024年1月1日至2024年12月31日。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13</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踏勘现场</w:t>
            </w:r>
          </w:p>
        </w:tc>
        <w:tc>
          <w:tcPr>
            <w:tcW w:w="7077" w:type="dxa"/>
            <w:vAlign w:val="center"/>
          </w:tcPr>
          <w:p>
            <w:pPr>
              <w:spacing w:line="500" w:lineRule="exact"/>
              <w:rPr>
                <w:rFonts w:ascii="宋体" w:hAnsi="宋体"/>
                <w:color w:val="000000"/>
                <w:sz w:val="24"/>
                <w:lang w:val="zh-CN"/>
              </w:rPr>
            </w:pPr>
            <w:r>
              <w:rPr>
                <w:rFonts w:hint="eastAsia"/>
                <w:b/>
                <w:bCs/>
                <w:color w:val="000000"/>
                <w:sz w:val="24"/>
              </w:rPr>
              <w:sym w:font="Wingdings" w:char="F0FE"/>
            </w:r>
            <w:r>
              <w:rPr>
                <w:rFonts w:hint="eastAsia" w:ascii="宋体" w:hAnsi="宋体"/>
                <w:bCs/>
                <w:color w:val="000000"/>
                <w:sz w:val="24"/>
              </w:rPr>
              <w:t xml:space="preserve">自行踏勘  </w:t>
            </w:r>
            <w:r>
              <w:rPr>
                <w:rFonts w:hint="eastAsia" w:ascii="宋体" w:hAnsi="宋体"/>
                <w:color w:val="000000"/>
                <w:sz w:val="24"/>
              </w:rPr>
              <w:t>□招标人</w:t>
            </w:r>
            <w:r>
              <w:rPr>
                <w:rFonts w:hint="eastAsia" w:ascii="宋体" w:hAnsi="宋体"/>
                <w:color w:val="000000"/>
                <w:sz w:val="24"/>
                <w:lang w:val="zh-CN"/>
              </w:rPr>
              <w:t>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14</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投标文件</w:t>
            </w:r>
          </w:p>
        </w:tc>
        <w:tc>
          <w:tcPr>
            <w:tcW w:w="7077" w:type="dxa"/>
            <w:vAlign w:val="center"/>
          </w:tcPr>
          <w:p>
            <w:pPr>
              <w:spacing w:line="500" w:lineRule="exact"/>
              <w:rPr>
                <w:b/>
                <w:bCs/>
                <w:color w:val="000000"/>
                <w:sz w:val="24"/>
              </w:rPr>
            </w:pPr>
            <w:r>
              <w:rPr>
                <w:rFonts w:hint="eastAsia" w:ascii="宋体" w:hAnsi="宋体"/>
                <w:color w:val="000000"/>
                <w:kern w:val="0"/>
                <w:sz w:val="24"/>
              </w:rPr>
              <w:t>正、副本各一，装订成册并封装于一个文件袋内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15</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开标时间</w:t>
            </w:r>
          </w:p>
          <w:p>
            <w:pPr>
              <w:spacing w:line="500" w:lineRule="exact"/>
              <w:jc w:val="center"/>
              <w:rPr>
                <w:rFonts w:ascii="宋体" w:hAnsi="宋体"/>
                <w:bCs/>
                <w:color w:val="000000"/>
                <w:sz w:val="24"/>
              </w:rPr>
            </w:pPr>
            <w:r>
              <w:rPr>
                <w:rFonts w:hint="eastAsia" w:ascii="宋体" w:hAnsi="宋体"/>
                <w:color w:val="000000"/>
                <w:sz w:val="24"/>
              </w:rPr>
              <w:t>及地点</w:t>
            </w:r>
          </w:p>
        </w:tc>
        <w:tc>
          <w:tcPr>
            <w:tcW w:w="7077" w:type="dxa"/>
            <w:vAlign w:val="center"/>
          </w:tcPr>
          <w:p>
            <w:pPr>
              <w:spacing w:line="500" w:lineRule="exact"/>
              <w:rPr>
                <w:rFonts w:ascii="宋体" w:hAnsi="宋体"/>
                <w:bCs/>
                <w:color w:val="000000"/>
                <w:sz w:val="24"/>
                <w:u w:val="single"/>
              </w:rPr>
            </w:pPr>
            <w:r>
              <w:rPr>
                <w:rFonts w:hint="eastAsia" w:ascii="宋体" w:hAnsi="宋体"/>
                <w:color w:val="000000"/>
                <w:sz w:val="24"/>
              </w:rPr>
              <w:t>开标时间：</w:t>
            </w:r>
            <w:r>
              <w:rPr>
                <w:rFonts w:hint="eastAsia" w:ascii="宋体" w:hAnsi="宋体"/>
                <w:color w:val="000000"/>
                <w:sz w:val="24"/>
                <w:lang w:val="zh-CN"/>
              </w:rPr>
              <w:t>详见招标公告</w:t>
            </w:r>
          </w:p>
          <w:p>
            <w:pPr>
              <w:spacing w:line="500" w:lineRule="exact"/>
              <w:rPr>
                <w:rFonts w:ascii="宋体" w:hAnsi="宋体"/>
                <w:color w:val="000000"/>
                <w:sz w:val="24"/>
              </w:rPr>
            </w:pPr>
            <w:r>
              <w:rPr>
                <w:rFonts w:hint="eastAsia" w:ascii="宋体" w:hAnsi="宋体"/>
                <w:color w:val="000000"/>
                <w:sz w:val="24"/>
              </w:rPr>
              <w:t>开标地点：</w:t>
            </w:r>
            <w:r>
              <w:rPr>
                <w:rFonts w:hint="eastAsia" w:ascii="宋体" w:hAnsi="宋体"/>
                <w:color w:val="000000"/>
                <w:sz w:val="24"/>
                <w:lang w:val="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16</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评标办法</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有效最低价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w:t>
            </w:r>
            <w:r>
              <w:rPr>
                <w:rFonts w:ascii="宋体" w:hAnsi="宋体"/>
                <w:color w:val="000000"/>
                <w:sz w:val="24"/>
              </w:rPr>
              <w:t>7</w:t>
            </w:r>
          </w:p>
        </w:tc>
        <w:tc>
          <w:tcPr>
            <w:tcW w:w="1559" w:type="dxa"/>
            <w:vAlign w:val="center"/>
          </w:tcPr>
          <w:p>
            <w:pPr>
              <w:spacing w:line="500" w:lineRule="exact"/>
              <w:jc w:val="center"/>
              <w:rPr>
                <w:rFonts w:ascii="宋体" w:hAnsi="宋体"/>
                <w:bCs/>
                <w:color w:val="000000"/>
                <w:sz w:val="24"/>
                <w:szCs w:val="24"/>
              </w:rPr>
            </w:pPr>
            <w:r>
              <w:rPr>
                <w:rFonts w:hint="eastAsia" w:ascii="宋体" w:hAnsi="宋体"/>
                <w:color w:val="000000"/>
                <w:sz w:val="24"/>
                <w:szCs w:val="24"/>
              </w:rPr>
              <w:t>履约保证金</w:t>
            </w:r>
          </w:p>
        </w:tc>
        <w:tc>
          <w:tcPr>
            <w:tcW w:w="7077" w:type="dxa"/>
            <w:vAlign w:val="center"/>
          </w:tcPr>
          <w:p>
            <w:pPr>
              <w:adjustRightInd w:val="0"/>
              <w:snapToGrid w:val="0"/>
              <w:spacing w:line="360" w:lineRule="auto"/>
              <w:rPr>
                <w:rFonts w:ascii="宋体" w:hAnsi="宋体"/>
                <w:color w:val="000000"/>
                <w:sz w:val="24"/>
                <w:szCs w:val="24"/>
              </w:rPr>
            </w:pPr>
            <w:r>
              <w:rPr>
                <w:rFonts w:hint="eastAsia" w:ascii="宋体" w:hAnsi="宋体"/>
                <w:color w:val="000000"/>
                <w:sz w:val="24"/>
                <w:szCs w:val="24"/>
              </w:rPr>
              <w:t>1.履约保证金数额：中标价的</w:t>
            </w:r>
            <w:r>
              <w:rPr>
                <w:rFonts w:hint="eastAsia" w:ascii="宋体" w:hAnsi="宋体"/>
                <w:color w:val="000000"/>
                <w:sz w:val="24"/>
                <w:szCs w:val="24"/>
                <w:u w:val="single"/>
              </w:rPr>
              <w:t xml:space="preserve"> </w:t>
            </w:r>
            <w:r>
              <w:rPr>
                <w:rFonts w:ascii="宋体" w:hAnsi="宋体"/>
                <w:color w:val="000000"/>
                <w:sz w:val="24"/>
                <w:szCs w:val="24"/>
                <w:u w:val="single"/>
              </w:rPr>
              <w:t>/</w:t>
            </w:r>
            <w:r>
              <w:rPr>
                <w:rFonts w:hint="eastAsia" w:ascii="宋体" w:hAnsi="宋体"/>
                <w:color w:val="000000"/>
                <w:sz w:val="24"/>
                <w:szCs w:val="24"/>
              </w:rPr>
              <w:t>％</w:t>
            </w:r>
          </w:p>
          <w:p>
            <w:pPr>
              <w:spacing w:line="360" w:lineRule="auto"/>
              <w:ind w:left="841" w:hanging="841"/>
              <w:rPr>
                <w:rFonts w:ascii="宋体" w:hAnsi="宋体"/>
                <w:color w:val="000000"/>
                <w:sz w:val="24"/>
                <w:szCs w:val="24"/>
              </w:rPr>
            </w:pPr>
            <w:r>
              <w:rPr>
                <w:rFonts w:hint="eastAsia" w:ascii="宋体" w:hAnsi="宋体"/>
                <w:color w:val="000000"/>
                <w:sz w:val="24"/>
                <w:szCs w:val="24"/>
              </w:rPr>
              <w:t>2.收受方式为：</w:t>
            </w:r>
            <w:r>
              <w:rPr>
                <w:rFonts w:hint="eastAsia" w:ascii="MS Mincho" w:hAnsi="MS Mincho" w:eastAsia="MS Mincho" w:cs="MS Mincho"/>
                <w:color w:val="000000"/>
                <w:sz w:val="24"/>
                <w:szCs w:val="24"/>
              </w:rPr>
              <w:t>□</w:t>
            </w:r>
            <w:r>
              <w:rPr>
                <w:rFonts w:hint="eastAsia" w:ascii="宋体" w:hAnsi="宋体" w:cs="宋体"/>
                <w:color w:val="000000"/>
                <w:sz w:val="24"/>
                <w:szCs w:val="24"/>
              </w:rPr>
              <w:t>现金保证</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现金支票</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银行汇</w:t>
            </w:r>
            <w:r>
              <w:rPr>
                <w:rFonts w:hint="eastAsia" w:ascii="宋体" w:hAnsi="宋体"/>
                <w:color w:val="000000"/>
                <w:sz w:val="24"/>
                <w:szCs w:val="24"/>
              </w:rPr>
              <w:t>票</w:t>
            </w:r>
          </w:p>
          <w:p>
            <w:pPr>
              <w:spacing w:line="360" w:lineRule="auto"/>
              <w:ind w:left="839" w:leftChars="114" w:hanging="600" w:hangingChars="250"/>
              <w:rPr>
                <w:rFonts w:ascii="宋体" w:hAnsi="宋体"/>
                <w:color w:val="000000"/>
                <w:sz w:val="24"/>
                <w:szCs w:val="24"/>
              </w:rPr>
            </w:pPr>
            <w:r>
              <w:rPr>
                <w:rFonts w:hint="eastAsia" w:ascii="MS Mincho" w:hAnsi="MS Mincho" w:eastAsia="MS Mincho" w:cs="MS Mincho"/>
                <w:color w:val="000000"/>
                <w:sz w:val="24"/>
                <w:szCs w:val="24"/>
              </w:rPr>
              <w:t>☑</w:t>
            </w:r>
            <w:r>
              <w:rPr>
                <w:rFonts w:hint="eastAsia" w:ascii="宋体" w:hAnsi="宋体" w:cs="宋体"/>
                <w:color w:val="000000"/>
                <w:sz w:val="24"/>
                <w:szCs w:val="24"/>
              </w:rPr>
              <w:t>银行保函</w:t>
            </w:r>
            <w:r>
              <w:rPr>
                <w:rFonts w:hint="eastAsia" w:ascii="宋体" w:hAnsi="宋体"/>
                <w:color w:val="000000"/>
                <w:sz w:val="24"/>
                <w:szCs w:val="24"/>
              </w:rPr>
              <w:t xml:space="preserve">  </w:t>
            </w:r>
            <w:r>
              <w:rPr>
                <w:rFonts w:hint="eastAsia" w:ascii="MS Mincho" w:hAnsi="MS Mincho" w:eastAsia="MS Mincho" w:cs="MS Mincho"/>
                <w:color w:val="000000"/>
                <w:sz w:val="24"/>
                <w:szCs w:val="24"/>
              </w:rPr>
              <w:t>☑</w:t>
            </w:r>
            <w:r>
              <w:rPr>
                <w:rFonts w:hint="eastAsia" w:ascii="宋体" w:hAnsi="宋体" w:cs="宋体"/>
                <w:color w:val="000000"/>
                <w:sz w:val="24"/>
                <w:szCs w:val="24"/>
              </w:rPr>
              <w:t>银行转账</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工程担保</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保证保</w:t>
            </w:r>
            <w:r>
              <w:rPr>
                <w:rFonts w:hint="eastAsia" w:ascii="宋体" w:hAnsi="宋体"/>
                <w:color w:val="000000"/>
                <w:sz w:val="24"/>
                <w:szCs w:val="24"/>
              </w:rPr>
              <w:t>险</w:t>
            </w:r>
          </w:p>
          <w:p>
            <w:pPr>
              <w:spacing w:line="360" w:lineRule="auto"/>
              <w:rPr>
                <w:rFonts w:ascii="宋体" w:hAnsi="宋体"/>
                <w:color w:val="000000"/>
                <w:sz w:val="24"/>
                <w:szCs w:val="24"/>
              </w:rPr>
            </w:pPr>
            <w:r>
              <w:rPr>
                <w:rFonts w:hint="eastAsia" w:ascii="宋体" w:hAnsi="宋体"/>
                <w:color w:val="000000"/>
                <w:sz w:val="24"/>
                <w:szCs w:val="24"/>
              </w:rPr>
              <w:t>3.收受人为:□招标人、</w:t>
            </w:r>
            <w:r>
              <w:rPr>
                <w:rFonts w:ascii="宋体" w:hAnsi="宋体"/>
                <w:color w:val="000000"/>
                <w:sz w:val="24"/>
                <w:szCs w:val="24"/>
              </w:rPr>
              <w:sym w:font="Wingdings" w:char="F0FE"/>
            </w:r>
            <w:r>
              <w:rPr>
                <w:rFonts w:hint="eastAsia" w:ascii="宋体" w:hAnsi="宋体"/>
                <w:color w:val="000000"/>
                <w:sz w:val="24"/>
                <w:szCs w:val="24"/>
              </w:rPr>
              <w:t>委托人</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4.提交时限：合同签订前按规定提交履约保证金，若中标人在规定时限内未提交保证金的，招标人将书面通知中标人，5日内不能办理的，招标人将有权取消其中标资格。</w:t>
            </w:r>
          </w:p>
          <w:p>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5.退还：</w:t>
            </w:r>
            <w:r>
              <w:rPr>
                <w:rFonts w:hint="eastAsia" w:ascii="宋体" w:hAnsi="宋体"/>
                <w:color w:val="000000"/>
                <w:sz w:val="24"/>
                <w:szCs w:val="24"/>
                <w:u w:val="single"/>
              </w:rPr>
              <w:t>合同履约完成后30日内一次性无息退还。</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6.如采用银行保函，银行保函由合肥本地银行或在合肥具有分支机构的银行出具的见索即付无条件保函。</w:t>
            </w:r>
          </w:p>
          <w:p>
            <w:pPr>
              <w:spacing w:line="360" w:lineRule="auto"/>
              <w:rPr>
                <w:rFonts w:ascii="宋体" w:hAnsi="宋体"/>
                <w:color w:val="000000"/>
                <w:sz w:val="24"/>
                <w:szCs w:val="24"/>
              </w:rPr>
            </w:pPr>
            <w:r>
              <w:rPr>
                <w:rFonts w:hint="eastAsia" w:ascii="宋体" w:hAnsi="宋体"/>
                <w:color w:val="000000"/>
                <w:sz w:val="24"/>
                <w:szCs w:val="24"/>
              </w:rPr>
              <w:t>7.如采用工程担保，工程担保由注册地在合肥市或在合肥具有分支机构的国有担保公司出具的无条件担保。</w:t>
            </w:r>
          </w:p>
        </w:tc>
      </w:tr>
    </w:tbl>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pStyle w:val="2"/>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240" w:lineRule="auto"/>
        <w:rPr>
          <w:rFonts w:ascii="宋体" w:hAnsi="宋体"/>
          <w:color w:val="000000"/>
          <w:sz w:val="24"/>
          <w:szCs w:val="24"/>
        </w:rPr>
      </w:pPr>
    </w:p>
    <w:p>
      <w:pPr>
        <w:pStyle w:val="5"/>
        <w:spacing w:line="500" w:lineRule="exact"/>
        <w:ind w:firstLine="0"/>
        <w:rPr>
          <w:rFonts w:ascii="宋体" w:hAnsi="宋体" w:eastAsia="宋体"/>
          <w:color w:val="000000"/>
          <w:szCs w:val="36"/>
        </w:rPr>
      </w:pPr>
      <w:bookmarkStart w:id="9" w:name="_Toc6622"/>
      <w:bookmarkStart w:id="10" w:name="_Toc136500647"/>
      <w:r>
        <w:rPr>
          <w:rFonts w:hint="eastAsia" w:ascii="宋体" w:hAnsi="宋体" w:eastAsia="宋体"/>
          <w:color w:val="000000"/>
        </w:rPr>
        <w:t>第</w:t>
      </w:r>
      <w:bookmarkStart w:id="11" w:name="_Hlt240110027"/>
      <w:bookmarkEnd w:id="11"/>
      <w:r>
        <w:rPr>
          <w:rFonts w:hint="eastAsia" w:ascii="宋体" w:hAnsi="宋体" w:eastAsia="宋体"/>
          <w:color w:val="000000"/>
        </w:rPr>
        <w:t>三章</w:t>
      </w:r>
      <w:bookmarkStart w:id="12" w:name="_Hlt509716920"/>
      <w:bookmarkEnd w:id="12"/>
      <w:r>
        <w:rPr>
          <w:rFonts w:hint="eastAsia" w:ascii="宋体" w:hAnsi="宋体" w:eastAsia="宋体"/>
          <w:color w:val="000000"/>
        </w:rPr>
        <w:t xml:space="preserve"> </w:t>
      </w:r>
      <w:r>
        <w:rPr>
          <w:rFonts w:hint="eastAsia" w:ascii="宋体" w:hAnsi="宋体" w:eastAsia="宋体"/>
          <w:color w:val="000000"/>
          <w:szCs w:val="36"/>
        </w:rPr>
        <w:t>招标需求</w:t>
      </w:r>
      <w:bookmarkEnd w:id="9"/>
      <w:bookmarkEnd w:id="10"/>
    </w:p>
    <w:p>
      <w:pPr>
        <w:spacing w:line="360" w:lineRule="auto"/>
        <w:ind w:firstLine="562" w:firstLineChars="200"/>
        <w:rPr>
          <w:rFonts w:hint="eastAsia" w:ascii="宋体" w:hAnsi="宋体" w:cs="宋体"/>
          <w:b/>
          <w:sz w:val="28"/>
          <w:szCs w:val="28"/>
          <w:lang w:val="en-US" w:eastAsia="zh-CN"/>
        </w:rPr>
      </w:pPr>
      <w:r>
        <w:rPr>
          <w:rFonts w:hint="eastAsia" w:ascii="宋体" w:hAnsi="宋体" w:cs="宋体"/>
          <w:b/>
          <w:sz w:val="28"/>
          <w:szCs w:val="28"/>
        </w:rPr>
        <w:t>一、</w:t>
      </w:r>
      <w:r>
        <w:rPr>
          <w:rFonts w:hint="eastAsia" w:ascii="宋体" w:hAnsi="宋体" w:cs="宋体"/>
          <w:b/>
          <w:sz w:val="28"/>
          <w:szCs w:val="28"/>
          <w:lang w:val="en-US" w:eastAsia="zh-CN"/>
        </w:rPr>
        <w:t>项目概况</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合肥文旅博览集团有限公司、安徽泓瑞嘉珑酒店管理有限公司、合肥政文国际会展管理有限公司等公司</w:t>
      </w:r>
      <w:r>
        <w:rPr>
          <w:rFonts w:hint="eastAsia" w:ascii="宋体" w:hAnsi="宋体" w:cs="宋体"/>
          <w:color w:val="000000"/>
          <w:kern w:val="0"/>
          <w:sz w:val="24"/>
          <w:szCs w:val="24"/>
          <w:lang w:val="en-US" w:eastAsia="zh-CN"/>
        </w:rPr>
        <w:t>电力</w:t>
      </w:r>
      <w:r>
        <w:rPr>
          <w:rFonts w:hint="eastAsia" w:ascii="宋体" w:hAnsi="宋体" w:cs="宋体"/>
          <w:color w:val="000000"/>
          <w:kern w:val="0"/>
          <w:sz w:val="24"/>
          <w:szCs w:val="24"/>
        </w:rPr>
        <w:t>使用情况按照《2021年全省电力中长期交易实施方案》（皖能源电力[2020]60号）“执行工商业及其他用电(单一制)电价且单一户号年用电量(单一制)大于50万千瓦时的经营性电力用户可纳入市场交易主体”等条件进行统计，其20</w:t>
      </w:r>
      <w:r>
        <w:rPr>
          <w:rFonts w:hint="eastAsia" w:ascii="宋体" w:hAnsi="宋体" w:cs="宋体"/>
          <w:color w:val="000000"/>
          <w:kern w:val="0"/>
          <w:sz w:val="24"/>
          <w:szCs w:val="24"/>
          <w:lang w:val="en-US" w:eastAsia="zh-CN"/>
        </w:rPr>
        <w:t>22</w:t>
      </w:r>
      <w:r>
        <w:rPr>
          <w:rFonts w:hint="eastAsia" w:ascii="宋体" w:hAnsi="宋体" w:cs="宋体"/>
          <w:color w:val="000000"/>
          <w:kern w:val="0"/>
          <w:sz w:val="24"/>
          <w:szCs w:val="24"/>
        </w:rPr>
        <w:t>年消耗电量见明细表，表中电量仅供参考，请投标人自行核实真实用电情况。</w:t>
      </w:r>
    </w:p>
    <w:p>
      <w:pPr>
        <w:spacing w:line="520" w:lineRule="exact"/>
        <w:jc w:val="center"/>
        <w:rPr>
          <w:rFonts w:hint="eastAsia" w:ascii="宋体" w:hAnsi="宋体"/>
          <w:sz w:val="24"/>
          <w:szCs w:val="24"/>
        </w:rPr>
      </w:pPr>
      <w:r>
        <w:rPr>
          <w:rFonts w:hint="eastAsia" w:ascii="宋体" w:hAnsi="宋体"/>
          <w:sz w:val="24"/>
          <w:szCs w:val="24"/>
        </w:rPr>
        <w:t>表</w:t>
      </w:r>
      <w:r>
        <w:rPr>
          <w:rFonts w:hint="eastAsia" w:ascii="宋体" w:hAnsi="宋体"/>
          <w:sz w:val="24"/>
          <w:szCs w:val="24"/>
          <w:lang w:val="en-US" w:eastAsia="zh-CN"/>
        </w:rPr>
        <w:t xml:space="preserve">   2022年度</w:t>
      </w:r>
      <w:r>
        <w:rPr>
          <w:rFonts w:hint="eastAsia" w:ascii="宋体" w:hAnsi="宋体"/>
          <w:sz w:val="24"/>
          <w:szCs w:val="24"/>
        </w:rPr>
        <w:t>用电统计表</w:t>
      </w:r>
    </w:p>
    <w:tbl>
      <w:tblPr>
        <w:tblStyle w:val="15"/>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5"/>
        <w:gridCol w:w="2011"/>
        <w:gridCol w:w="2262"/>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05" w:type="dxa"/>
            <w:noWrap w:val="0"/>
            <w:vAlign w:val="center"/>
          </w:tcPr>
          <w:p>
            <w:pPr>
              <w:spacing w:line="520" w:lineRule="exact"/>
              <w:jc w:val="center"/>
              <w:rPr>
                <w:rFonts w:hint="eastAsia" w:ascii="宋体" w:hAnsi="宋体"/>
                <w:b/>
                <w:bCs/>
                <w:sz w:val="24"/>
                <w:szCs w:val="24"/>
              </w:rPr>
            </w:pPr>
            <w:r>
              <w:rPr>
                <w:rFonts w:hint="eastAsia" w:ascii="宋体" w:hAnsi="宋体"/>
                <w:b/>
                <w:bCs/>
                <w:sz w:val="24"/>
                <w:szCs w:val="24"/>
              </w:rPr>
              <w:t>户名</w:t>
            </w:r>
          </w:p>
        </w:tc>
        <w:tc>
          <w:tcPr>
            <w:tcW w:w="2011" w:type="dxa"/>
            <w:noWrap w:val="0"/>
            <w:vAlign w:val="center"/>
          </w:tcPr>
          <w:p>
            <w:pPr>
              <w:spacing w:line="520" w:lineRule="exact"/>
              <w:jc w:val="center"/>
              <w:rPr>
                <w:rFonts w:hint="eastAsia" w:ascii="宋体" w:hAnsi="宋体"/>
                <w:b/>
                <w:bCs/>
                <w:sz w:val="24"/>
                <w:szCs w:val="24"/>
              </w:rPr>
            </w:pPr>
            <w:r>
              <w:rPr>
                <w:rFonts w:hint="eastAsia" w:ascii="宋体" w:hAnsi="宋体"/>
                <w:b/>
                <w:bCs/>
                <w:sz w:val="24"/>
                <w:szCs w:val="24"/>
              </w:rPr>
              <w:t>户号</w:t>
            </w:r>
          </w:p>
        </w:tc>
        <w:tc>
          <w:tcPr>
            <w:tcW w:w="2262" w:type="dxa"/>
            <w:noWrap w:val="0"/>
            <w:vAlign w:val="center"/>
          </w:tcPr>
          <w:p>
            <w:pPr>
              <w:spacing w:line="520" w:lineRule="exact"/>
              <w:jc w:val="center"/>
              <w:rPr>
                <w:rFonts w:hint="eastAsia" w:ascii="宋体" w:hAnsi="宋体"/>
                <w:b/>
                <w:bCs/>
                <w:sz w:val="24"/>
                <w:szCs w:val="24"/>
              </w:rPr>
            </w:pPr>
            <w:r>
              <w:rPr>
                <w:rFonts w:hint="eastAsia" w:ascii="宋体" w:hAnsi="宋体"/>
                <w:b/>
                <w:bCs/>
                <w:sz w:val="24"/>
                <w:szCs w:val="24"/>
              </w:rPr>
              <w:t>20</w:t>
            </w:r>
            <w:r>
              <w:rPr>
                <w:rFonts w:hint="eastAsia" w:ascii="宋体" w:hAnsi="宋体"/>
                <w:b/>
                <w:bCs/>
                <w:sz w:val="24"/>
                <w:szCs w:val="24"/>
                <w:lang w:val="en-US" w:eastAsia="zh-CN"/>
              </w:rPr>
              <w:t>22</w:t>
            </w:r>
            <w:r>
              <w:rPr>
                <w:rFonts w:hint="eastAsia" w:ascii="宋体" w:hAnsi="宋体"/>
                <w:b/>
                <w:bCs/>
                <w:sz w:val="24"/>
                <w:szCs w:val="24"/>
              </w:rPr>
              <w:t>年全年用电量</w:t>
            </w:r>
          </w:p>
          <w:p>
            <w:pPr>
              <w:spacing w:line="520" w:lineRule="exact"/>
              <w:jc w:val="center"/>
              <w:rPr>
                <w:rFonts w:hint="eastAsia" w:ascii="宋体" w:hAnsi="宋体"/>
                <w:b/>
                <w:bCs/>
                <w:sz w:val="24"/>
                <w:szCs w:val="24"/>
              </w:rPr>
            </w:pPr>
            <w:r>
              <w:rPr>
                <w:rFonts w:hint="eastAsia" w:ascii="宋体" w:hAnsi="宋体"/>
                <w:b/>
                <w:bCs/>
                <w:sz w:val="24"/>
                <w:szCs w:val="24"/>
              </w:rPr>
              <w:t>（千瓦时）</w:t>
            </w:r>
          </w:p>
        </w:tc>
        <w:tc>
          <w:tcPr>
            <w:tcW w:w="1454" w:type="dxa"/>
            <w:noWrap w:val="0"/>
            <w:vAlign w:val="center"/>
          </w:tcPr>
          <w:p>
            <w:pPr>
              <w:spacing w:line="520" w:lineRule="exact"/>
              <w:jc w:val="center"/>
              <w:rPr>
                <w:rFonts w:ascii="宋体" w:hAnsi="宋体"/>
                <w:b/>
                <w:bCs/>
                <w:sz w:val="24"/>
                <w:szCs w:val="24"/>
              </w:rPr>
            </w:pPr>
            <w:r>
              <w:rPr>
                <w:rFonts w:hint="eastAsia" w:ascii="宋体" w:hAnsi="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5" w:type="dxa"/>
            <w:noWrap w:val="0"/>
            <w:vAlign w:val="center"/>
          </w:tcPr>
          <w:p>
            <w:pPr>
              <w:spacing w:line="520" w:lineRule="exact"/>
              <w:jc w:val="center"/>
              <w:rPr>
                <w:rFonts w:hint="eastAsia" w:ascii="宋体" w:hAnsi="宋体"/>
                <w:sz w:val="24"/>
                <w:szCs w:val="24"/>
              </w:rPr>
            </w:pPr>
            <w:r>
              <w:rPr>
                <w:rFonts w:hint="eastAsia" w:ascii="宋体" w:hAnsi="宋体"/>
                <w:sz w:val="24"/>
                <w:szCs w:val="24"/>
              </w:rPr>
              <w:t>合肥文旅博览集团有限公司</w:t>
            </w:r>
          </w:p>
        </w:tc>
        <w:tc>
          <w:tcPr>
            <w:tcW w:w="2011" w:type="dxa"/>
            <w:noWrap w:val="0"/>
            <w:vAlign w:val="center"/>
          </w:tcPr>
          <w:p>
            <w:pPr>
              <w:spacing w:line="520" w:lineRule="exact"/>
              <w:jc w:val="center"/>
              <w:rPr>
                <w:rFonts w:hint="default" w:ascii="宋体" w:hAnsi="宋体" w:eastAsia="宋体"/>
                <w:sz w:val="24"/>
                <w:szCs w:val="24"/>
                <w:lang w:val="en-US" w:eastAsia="zh-CN"/>
              </w:rPr>
            </w:pPr>
            <w:r>
              <w:rPr>
                <w:rFonts w:hint="eastAsia" w:ascii="宋体" w:hAnsi="宋体"/>
                <w:sz w:val="24"/>
                <w:szCs w:val="24"/>
              </w:rPr>
              <w:t>3405105001696</w:t>
            </w:r>
            <w:r>
              <w:rPr>
                <w:rFonts w:hint="eastAsia" w:ascii="宋体" w:hAnsi="宋体"/>
                <w:sz w:val="24"/>
                <w:szCs w:val="24"/>
                <w:lang w:val="en-US" w:eastAsia="zh-CN"/>
              </w:rPr>
              <w:t>等8个户号</w:t>
            </w:r>
          </w:p>
        </w:tc>
        <w:tc>
          <w:tcPr>
            <w:tcW w:w="2262" w:type="dxa"/>
            <w:noWrap w:val="0"/>
            <w:vAlign w:val="center"/>
          </w:tcPr>
          <w:p>
            <w:pPr>
              <w:spacing w:line="520" w:lineRule="exact"/>
              <w:jc w:val="center"/>
              <w:rPr>
                <w:rFonts w:hint="eastAsia" w:ascii="宋体" w:hAnsi="宋体"/>
                <w:sz w:val="24"/>
                <w:szCs w:val="24"/>
              </w:rPr>
            </w:pPr>
            <w:r>
              <w:rPr>
                <w:rFonts w:hint="eastAsia" w:ascii="宋体" w:hAnsi="宋体"/>
                <w:sz w:val="24"/>
                <w:szCs w:val="24"/>
                <w:lang w:val="en-US" w:eastAsia="zh-CN"/>
              </w:rPr>
              <w:t>2659.64</w:t>
            </w:r>
            <w:r>
              <w:rPr>
                <w:rFonts w:hint="eastAsia" w:ascii="宋体" w:hAnsi="宋体"/>
                <w:sz w:val="24"/>
                <w:szCs w:val="24"/>
              </w:rPr>
              <w:t>万</w:t>
            </w:r>
          </w:p>
        </w:tc>
        <w:tc>
          <w:tcPr>
            <w:tcW w:w="1454" w:type="dxa"/>
            <w:noWrap w:val="0"/>
            <w:vAlign w:val="center"/>
          </w:tcPr>
          <w:p>
            <w:pPr>
              <w:spacing w:line="52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5" w:type="dxa"/>
            <w:noWrap w:val="0"/>
            <w:vAlign w:val="center"/>
          </w:tcPr>
          <w:p>
            <w:pPr>
              <w:spacing w:line="520" w:lineRule="exact"/>
              <w:jc w:val="center"/>
              <w:rPr>
                <w:rFonts w:hint="eastAsia" w:ascii="宋体" w:hAnsi="宋体"/>
                <w:sz w:val="24"/>
                <w:szCs w:val="24"/>
              </w:rPr>
            </w:pPr>
            <w:r>
              <w:rPr>
                <w:rFonts w:hint="eastAsia" w:ascii="宋体" w:hAnsi="宋体"/>
                <w:sz w:val="24"/>
                <w:szCs w:val="24"/>
              </w:rPr>
              <w:t>安徽泓瑞嘉珑酒店管理有限公司</w:t>
            </w:r>
          </w:p>
        </w:tc>
        <w:tc>
          <w:tcPr>
            <w:tcW w:w="2011" w:type="dxa"/>
            <w:noWrap w:val="0"/>
            <w:vAlign w:val="center"/>
          </w:tcPr>
          <w:p>
            <w:pPr>
              <w:spacing w:line="520" w:lineRule="exact"/>
              <w:jc w:val="center"/>
              <w:rPr>
                <w:rFonts w:hint="default" w:ascii="宋体" w:hAnsi="宋体" w:eastAsia="宋体"/>
                <w:sz w:val="24"/>
                <w:szCs w:val="24"/>
                <w:lang w:val="en-US" w:eastAsia="zh-CN"/>
              </w:rPr>
            </w:pPr>
            <w:r>
              <w:rPr>
                <w:rFonts w:hint="eastAsia" w:ascii="宋体" w:hAnsi="宋体"/>
                <w:sz w:val="24"/>
                <w:szCs w:val="24"/>
              </w:rPr>
              <w:t>5100039004</w:t>
            </w:r>
            <w:r>
              <w:rPr>
                <w:rFonts w:hint="eastAsia" w:ascii="宋体" w:hAnsi="宋体"/>
                <w:sz w:val="24"/>
                <w:szCs w:val="24"/>
                <w:lang w:val="en-US" w:eastAsia="zh-CN"/>
              </w:rPr>
              <w:t>等1个户号</w:t>
            </w:r>
          </w:p>
        </w:tc>
        <w:tc>
          <w:tcPr>
            <w:tcW w:w="2262" w:type="dxa"/>
            <w:noWrap w:val="0"/>
            <w:vAlign w:val="center"/>
          </w:tcPr>
          <w:p>
            <w:pPr>
              <w:spacing w:line="520" w:lineRule="exact"/>
              <w:jc w:val="center"/>
              <w:rPr>
                <w:rFonts w:hint="eastAsia" w:ascii="宋体" w:hAnsi="宋体"/>
                <w:sz w:val="24"/>
                <w:szCs w:val="24"/>
              </w:rPr>
            </w:pPr>
            <w:r>
              <w:rPr>
                <w:rFonts w:hint="eastAsia" w:ascii="宋体" w:hAnsi="宋体"/>
                <w:sz w:val="24"/>
                <w:szCs w:val="24"/>
                <w:lang w:val="en-US" w:eastAsia="zh-CN"/>
              </w:rPr>
              <w:t>195.723</w:t>
            </w:r>
            <w:r>
              <w:rPr>
                <w:rFonts w:hint="eastAsia" w:ascii="宋体" w:hAnsi="宋体"/>
                <w:sz w:val="24"/>
                <w:szCs w:val="24"/>
              </w:rPr>
              <w:t>万</w:t>
            </w:r>
          </w:p>
        </w:tc>
        <w:tc>
          <w:tcPr>
            <w:tcW w:w="1454" w:type="dxa"/>
            <w:noWrap w:val="0"/>
            <w:vAlign w:val="center"/>
          </w:tcPr>
          <w:p>
            <w:pPr>
              <w:spacing w:line="52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5" w:type="dxa"/>
            <w:noWrap w:val="0"/>
            <w:vAlign w:val="center"/>
          </w:tcPr>
          <w:p>
            <w:pPr>
              <w:spacing w:line="520" w:lineRule="exact"/>
              <w:jc w:val="center"/>
              <w:rPr>
                <w:rFonts w:hint="eastAsia" w:ascii="宋体" w:hAnsi="宋体"/>
                <w:sz w:val="24"/>
                <w:szCs w:val="24"/>
              </w:rPr>
            </w:pPr>
            <w:r>
              <w:rPr>
                <w:rFonts w:hint="eastAsia" w:ascii="宋体" w:hAnsi="宋体"/>
                <w:sz w:val="24"/>
                <w:szCs w:val="24"/>
              </w:rPr>
              <w:t>合肥政文国际会展管理有限公司</w:t>
            </w:r>
          </w:p>
        </w:tc>
        <w:tc>
          <w:tcPr>
            <w:tcW w:w="2011" w:type="dxa"/>
            <w:noWrap w:val="0"/>
            <w:vAlign w:val="center"/>
          </w:tcPr>
          <w:p>
            <w:pPr>
              <w:spacing w:line="520" w:lineRule="exact"/>
              <w:jc w:val="center"/>
              <w:rPr>
                <w:rFonts w:hint="default" w:ascii="宋体" w:hAnsi="宋体" w:eastAsia="宋体"/>
                <w:sz w:val="24"/>
                <w:szCs w:val="24"/>
                <w:lang w:val="en-US" w:eastAsia="zh-CN"/>
              </w:rPr>
            </w:pPr>
            <w:r>
              <w:rPr>
                <w:rFonts w:hint="eastAsia" w:ascii="宋体" w:hAnsi="宋体"/>
                <w:sz w:val="24"/>
                <w:szCs w:val="24"/>
              </w:rPr>
              <w:t>5127245626</w:t>
            </w:r>
            <w:r>
              <w:rPr>
                <w:rFonts w:hint="eastAsia" w:ascii="宋体" w:hAnsi="宋体"/>
                <w:sz w:val="24"/>
                <w:szCs w:val="24"/>
                <w:lang w:val="en-US" w:eastAsia="zh-CN"/>
              </w:rPr>
              <w:t>等2个户号</w:t>
            </w:r>
          </w:p>
        </w:tc>
        <w:tc>
          <w:tcPr>
            <w:tcW w:w="2262" w:type="dxa"/>
            <w:noWrap w:val="0"/>
            <w:vAlign w:val="center"/>
          </w:tcPr>
          <w:p>
            <w:pPr>
              <w:spacing w:line="520" w:lineRule="exact"/>
              <w:jc w:val="center"/>
              <w:rPr>
                <w:rFonts w:hint="eastAsia" w:ascii="宋体" w:hAnsi="宋体"/>
                <w:sz w:val="24"/>
                <w:szCs w:val="24"/>
              </w:rPr>
            </w:pPr>
            <w:r>
              <w:rPr>
                <w:rFonts w:hint="eastAsia" w:ascii="宋体" w:hAnsi="宋体"/>
                <w:sz w:val="24"/>
                <w:szCs w:val="24"/>
                <w:lang w:val="en-US" w:eastAsia="zh-CN"/>
              </w:rPr>
              <w:t>904.71</w:t>
            </w:r>
            <w:r>
              <w:rPr>
                <w:rFonts w:hint="eastAsia" w:ascii="宋体" w:hAnsi="宋体"/>
                <w:sz w:val="24"/>
                <w:szCs w:val="24"/>
              </w:rPr>
              <w:t>万</w:t>
            </w:r>
          </w:p>
        </w:tc>
        <w:tc>
          <w:tcPr>
            <w:tcW w:w="1454" w:type="dxa"/>
            <w:noWrap w:val="0"/>
            <w:vAlign w:val="center"/>
          </w:tcPr>
          <w:p>
            <w:pPr>
              <w:spacing w:line="520" w:lineRule="exact"/>
              <w:jc w:val="center"/>
              <w:rPr>
                <w:rFonts w:ascii="宋体" w:hAnsi="宋体"/>
                <w:sz w:val="24"/>
                <w:szCs w:val="24"/>
              </w:rPr>
            </w:pPr>
          </w:p>
        </w:tc>
      </w:tr>
    </w:tbl>
    <w:p>
      <w:pPr>
        <w:adjustRightInd w:val="0"/>
        <w:snapToGrid w:val="0"/>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二、相关要求</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1.投标人必须承担保密义务，不得泄露交易信息；</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2.投标人必须严格执行国家、省级政府或相关部门、监管机构、电力交易机构制定的各项制度、规则，保证诚实守信、遵纪守法，积极履行企业社会责任和职责义务；</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3.投标人在交易过程中应遵守国家《电改》精神及安徽省电力交易中心制定的相关电力交易规则；</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.因投标人原因无法完成合同电量或投标人签约电厂因事故跳机、非计划临修、出力受限、电煤供应困难等而无法进行正常发电，投标人应立即通知</w:t>
      </w:r>
      <w:r>
        <w:rPr>
          <w:rFonts w:hint="eastAsia" w:ascii="宋体" w:hAnsi="宋体" w:cs="宋体"/>
          <w:color w:val="000000"/>
          <w:kern w:val="0"/>
          <w:sz w:val="24"/>
          <w:szCs w:val="24"/>
          <w:lang w:val="en-US" w:eastAsia="zh-CN"/>
        </w:rPr>
        <w:t>招标人</w:t>
      </w:r>
      <w:r>
        <w:rPr>
          <w:rFonts w:hint="eastAsia" w:ascii="宋体" w:hAnsi="宋体" w:cs="宋体"/>
          <w:color w:val="000000"/>
          <w:kern w:val="0"/>
          <w:sz w:val="24"/>
          <w:szCs w:val="24"/>
        </w:rPr>
        <w:t>，并由投标人另行组织余缺电量供应，若由此产生电费增支，全部由投标人承担；</w:t>
      </w:r>
    </w:p>
    <w:p>
      <w:pPr>
        <w:autoSpaceDE w:val="0"/>
        <w:autoSpaceDN w:val="0"/>
        <w:adjustRightInd w:val="0"/>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.未经双方及电力监管机构同意，双方均不得擅自向任何第三方转让本合同电量；</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.投标人中标后，应按照中标价格及投标要求签订</w:t>
      </w:r>
      <w:r>
        <w:rPr>
          <w:rFonts w:hint="eastAsia" w:ascii="宋体" w:hAnsi="宋体" w:eastAsia="宋体" w:cs="宋体"/>
          <w:color w:val="000000"/>
          <w:kern w:val="0"/>
          <w:sz w:val="24"/>
          <w:szCs w:val="24"/>
          <w:lang w:val="en-US" w:eastAsia="zh-CN"/>
        </w:rPr>
        <w:t>购售电合同，同时全力协助招标人按时完成交易资质申报、合同备案等手续，保证交易正常执行；并确保于2024年1月电量交易前在安徽省电力交易中心完成《安徽电力零售市场代理合同》备案及电力交易平台系统绑定工作，确保招标人2024年所有电量全部由投标人代理交易，否则由此造成招标人的实际损失由中标人承担。</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8、后续任何归属电力用户侧的政策性让利全部归招标人所有，包括但不限于发电侧、输配电价（线损）、政府性基</w:t>
      </w:r>
      <w:r>
        <w:rPr>
          <w:rFonts w:hint="eastAsia" w:ascii="宋体" w:hAnsi="宋体" w:eastAsia="宋体" w:cs="宋体"/>
          <w:color w:val="000000"/>
          <w:kern w:val="0"/>
          <w:sz w:val="24"/>
          <w:szCs w:val="24"/>
        </w:rPr>
        <w:t>金及附加让利。</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9、招标人电热锅炉、冰（水）蓄冷空调等不在市场化交易范围内的其他用电，应按照原国家、省发改委等主管部门公布的目录电价执行；若国家或安徽省对此类用电有额外政策，甲乙双方可根据相关政策重新协商交易电价。</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10、招标人不承担偏差考核。</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lang w:val="en-US" w:eastAsia="zh-CN"/>
        </w:rPr>
        <w:t>11、若招标人被归类为高耗能企业且国家或安徽省对高耗能企业电价有额外</w:t>
      </w:r>
      <w:r>
        <w:rPr>
          <w:rFonts w:hint="eastAsia" w:ascii="宋体" w:hAnsi="宋体" w:eastAsia="宋体" w:cs="宋体"/>
          <w:color w:val="000000"/>
          <w:kern w:val="0"/>
          <w:sz w:val="24"/>
          <w:szCs w:val="24"/>
          <w:highlight w:val="none"/>
          <w:lang w:val="en-US" w:eastAsia="zh-CN"/>
        </w:rPr>
        <w:t>政策，中标人需与招标人重新协商交易电价，并经招标人同意后另行签署新的售电合同；否则，因招标人归类为高能耗企业产生的损失由投标人承担。</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12、投标人承诺招标人合同期内所有常规电力成交电价不高于电网企业代理购电价格，否则由此造成的损失由投标人承担。</w:t>
      </w:r>
    </w:p>
    <w:p>
      <w:pPr>
        <w:autoSpaceDE w:val="0"/>
        <w:autoSpaceDN w:val="0"/>
        <w:adjustRightInd w:val="0"/>
        <w:spacing w:line="500" w:lineRule="exact"/>
        <w:ind w:firstLine="480" w:firstLineChars="200"/>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13</w:t>
      </w:r>
      <w:r>
        <w:rPr>
          <w:rFonts w:hint="eastAsia" w:ascii="宋体" w:hAnsi="宋体" w:cs="宋体"/>
          <w:color w:val="000000"/>
          <w:kern w:val="0"/>
          <w:sz w:val="24"/>
          <w:szCs w:val="24"/>
          <w:highlight w:val="none"/>
          <w:lang w:val="en-US" w:eastAsia="zh-CN"/>
        </w:rPr>
        <w:t>、</w:t>
      </w:r>
      <w:r>
        <w:rPr>
          <w:rFonts w:hint="eastAsia" w:ascii="宋体" w:hAnsi="宋体" w:eastAsia="宋体" w:cs="宋体"/>
          <w:b w:val="0"/>
          <w:bCs w:val="0"/>
          <w:color w:val="000000"/>
          <w:kern w:val="0"/>
          <w:sz w:val="24"/>
          <w:szCs w:val="24"/>
          <w:lang w:val="en-US" w:eastAsia="zh-CN"/>
        </w:rPr>
        <w:t>投标人承诺招标人有不低于90%的实际交易电量通过常规中长期交易结算，不高于10%的实际交易电量通过现货市场购(售)电结算</w:t>
      </w:r>
      <w:r>
        <w:rPr>
          <w:rFonts w:hint="eastAsia" w:ascii="宋体" w:hAnsi="宋体" w:eastAsia="宋体" w:cs="宋体"/>
          <w:color w:val="000000"/>
          <w:kern w:val="0"/>
          <w:sz w:val="24"/>
          <w:szCs w:val="24"/>
          <w:lang w:val="en-US" w:eastAsia="zh-CN"/>
        </w:rPr>
        <w:t>。</w:t>
      </w:r>
    </w:p>
    <w:p>
      <w:pPr>
        <w:ind w:firstLine="562" w:firstLineChars="200"/>
        <w:rPr>
          <w:rFonts w:ascii="宋体" w:hAnsi="宋体" w:cs="宋体"/>
          <w:sz w:val="28"/>
          <w:szCs w:val="28"/>
        </w:rPr>
      </w:pPr>
      <w:r>
        <w:rPr>
          <w:rFonts w:hint="eastAsia" w:ascii="宋体" w:hAnsi="宋体" w:cs="宋体"/>
          <w:b/>
          <w:sz w:val="28"/>
          <w:szCs w:val="28"/>
          <w:lang w:val="en-US" w:eastAsia="zh-CN"/>
        </w:rPr>
        <w:t>三</w:t>
      </w:r>
      <w:r>
        <w:rPr>
          <w:rFonts w:hint="eastAsia" w:ascii="宋体" w:hAnsi="宋体" w:cs="宋体"/>
          <w:b/>
          <w:sz w:val="28"/>
          <w:szCs w:val="28"/>
        </w:rPr>
        <w:t>、服务期限：</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s="宋体"/>
          <w:color w:val="000000"/>
          <w:kern w:val="0"/>
          <w:sz w:val="24"/>
          <w:szCs w:val="24"/>
        </w:rPr>
        <w:t>202</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年1月1日至202</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年12月31日。</w:t>
      </w:r>
    </w:p>
    <w:p>
      <w:pPr>
        <w:spacing w:line="360" w:lineRule="auto"/>
        <w:ind w:firstLine="562" w:firstLineChars="200"/>
        <w:rPr>
          <w:rFonts w:ascii="宋体" w:hAnsi="宋体" w:cs="宋体"/>
          <w:b/>
          <w:sz w:val="28"/>
          <w:szCs w:val="28"/>
        </w:rPr>
      </w:pPr>
      <w:r>
        <w:rPr>
          <w:rFonts w:hint="eastAsia" w:ascii="宋体" w:hAnsi="宋体" w:cs="宋体"/>
          <w:b/>
          <w:sz w:val="28"/>
          <w:szCs w:val="28"/>
          <w:lang w:val="en-US" w:eastAsia="zh-CN"/>
        </w:rPr>
        <w:t>四</w:t>
      </w:r>
      <w:r>
        <w:rPr>
          <w:rFonts w:hint="eastAsia" w:ascii="宋体" w:hAnsi="宋体" w:cs="宋体"/>
          <w:b/>
          <w:sz w:val="28"/>
          <w:szCs w:val="28"/>
        </w:rPr>
        <w:t>、报价方式：</w:t>
      </w:r>
    </w:p>
    <w:p>
      <w:pPr>
        <w:autoSpaceDE w:val="0"/>
        <w:autoSpaceDN w:val="0"/>
        <w:adjustRightInd w:val="0"/>
        <w:snapToGrid/>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本项目采用有效最低价中标原则，请投标人按照开标一览表格式报价。</w:t>
      </w:r>
    </w:p>
    <w:p>
      <w:pPr>
        <w:autoSpaceDE w:val="0"/>
        <w:autoSpaceDN w:val="0"/>
        <w:adjustRightInd w:val="0"/>
        <w:snapToGrid/>
        <w:spacing w:line="500" w:lineRule="exact"/>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若有效报价最低者为两家及以上，则投标人需提供交易中心提供的2023年截至10月中长期交易成交的总量，在交易方式同等条件下，以投标人主体有发电厂背景的售电公司</w:t>
      </w:r>
      <w:r>
        <w:rPr>
          <w:rFonts w:hint="eastAsia" w:ascii="宋体" w:hAnsi="宋体" w:cs="宋体"/>
          <w:color w:val="000000"/>
          <w:kern w:val="0"/>
          <w:sz w:val="24"/>
          <w:szCs w:val="24"/>
          <w:lang w:val="en-US" w:eastAsia="zh-CN"/>
        </w:rPr>
        <w:t>且</w:t>
      </w:r>
      <w:r>
        <w:rPr>
          <w:rFonts w:hint="eastAsia" w:ascii="宋体" w:hAnsi="宋体" w:cs="宋体"/>
          <w:color w:val="000000"/>
          <w:kern w:val="0"/>
          <w:sz w:val="24"/>
          <w:szCs w:val="24"/>
        </w:rPr>
        <w:t>2023年的售电交易量不低于20亿kWh优先。（需提供依据）</w:t>
      </w:r>
    </w:p>
    <w:p>
      <w:pPr>
        <w:rPr>
          <w:rFonts w:ascii="宋体" w:hAnsi="宋体" w:eastAsia="宋体"/>
          <w:color w:val="000000"/>
        </w:rPr>
      </w:pPr>
      <w:bookmarkStart w:id="13" w:name="_Toc111099545"/>
      <w:bookmarkStart w:id="14" w:name="_Toc136500652"/>
      <w:bookmarkStart w:id="15" w:name="_Toc38783646"/>
      <w:r>
        <w:rPr>
          <w:rFonts w:ascii="宋体" w:hAnsi="宋体" w:eastAsia="宋体"/>
          <w:color w:val="000000"/>
        </w:rPr>
        <w:br w:type="page"/>
      </w:r>
    </w:p>
    <w:p/>
    <w:p>
      <w:pPr>
        <w:pStyle w:val="5"/>
        <w:spacing w:line="500" w:lineRule="exact"/>
        <w:ind w:firstLine="0"/>
        <w:rPr>
          <w:rFonts w:ascii="宋体" w:hAnsi="宋体" w:eastAsia="宋体"/>
          <w:color w:val="000000"/>
        </w:rPr>
      </w:pPr>
      <w:bookmarkStart w:id="16" w:name="_Toc22437"/>
      <w:r>
        <w:rPr>
          <w:rFonts w:hint="eastAsia" w:ascii="宋体" w:hAnsi="宋体" w:eastAsia="宋体"/>
          <w:color w:val="000000"/>
        </w:rPr>
        <w:t>第四章 评标办法</w:t>
      </w:r>
      <w:bookmarkEnd w:id="13"/>
      <w:bookmarkEnd w:id="16"/>
    </w:p>
    <w:p>
      <w:pPr>
        <w:pStyle w:val="8"/>
        <w:spacing w:line="500" w:lineRule="exact"/>
        <w:ind w:firstLine="482" w:firstLineChars="200"/>
        <w:jc w:val="both"/>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为了做好</w:t>
      </w:r>
      <w:r>
        <w:rPr>
          <w:rFonts w:hint="eastAsia" w:ascii="宋体" w:hAnsi="宋体" w:cs="宋体"/>
          <w:bCs/>
          <w:sz w:val="24"/>
          <w:u w:val="single"/>
        </w:rPr>
        <w:t>合肥文旅博览集团有限公司及子公司202</w:t>
      </w:r>
      <w:r>
        <w:rPr>
          <w:rFonts w:hint="eastAsia" w:ascii="宋体" w:hAnsi="宋体" w:cs="宋体"/>
          <w:bCs/>
          <w:sz w:val="24"/>
          <w:u w:val="single"/>
          <w:lang w:val="en-US" w:eastAsia="zh-CN"/>
        </w:rPr>
        <w:t>4</w:t>
      </w:r>
      <w:r>
        <w:rPr>
          <w:rFonts w:hint="eastAsia" w:ascii="宋体" w:hAnsi="宋体" w:cs="宋体"/>
          <w:bCs/>
          <w:sz w:val="24"/>
          <w:u w:val="single"/>
        </w:rPr>
        <w:t>年度</w:t>
      </w:r>
      <w:r>
        <w:rPr>
          <w:rFonts w:hint="eastAsia" w:ascii="宋体" w:hAnsi="宋体" w:cs="宋体"/>
          <w:bCs/>
          <w:sz w:val="24"/>
          <w:u w:val="single"/>
          <w:lang w:val="en-US" w:eastAsia="zh-CN"/>
        </w:rPr>
        <w:t>电力</w:t>
      </w:r>
      <w:r>
        <w:rPr>
          <w:rFonts w:hint="eastAsia" w:ascii="宋体" w:hAnsi="宋体" w:cs="宋体"/>
          <w:bCs/>
          <w:sz w:val="24"/>
          <w:u w:val="single"/>
        </w:rPr>
        <w:t>常规中长期交易</w:t>
      </w:r>
      <w:r>
        <w:rPr>
          <w:rFonts w:hint="eastAsia" w:ascii="宋体" w:hAnsi="宋体" w:cs="宋体"/>
          <w:bCs/>
          <w:sz w:val="24"/>
          <w:u w:val="single"/>
          <w:lang w:val="en-US" w:eastAsia="zh-CN"/>
        </w:rPr>
        <w:t>项目</w:t>
      </w:r>
      <w:r>
        <w:rPr>
          <w:rFonts w:hint="eastAsia" w:ascii="宋体" w:hAnsi="宋体"/>
          <w:color w:val="000000" w:themeColor="text1"/>
          <w:sz w:val="24"/>
          <w:u w:val="single"/>
          <w14:textFill>
            <w14:solidFill>
              <w14:schemeClr w14:val="tx1"/>
            </w14:solidFill>
          </w14:textFill>
        </w:rPr>
        <w:t>（项目编号：2023WLBLZB000</w:t>
      </w:r>
      <w:r>
        <w:rPr>
          <w:rFonts w:hint="eastAsia" w:ascii="宋体" w:hAnsi="宋体"/>
          <w:color w:val="000000" w:themeColor="text1"/>
          <w:sz w:val="24"/>
          <w:u w:val="single"/>
          <w:lang w:val="en-US" w:eastAsia="zh-CN"/>
          <w14:textFill>
            <w14:solidFill>
              <w14:schemeClr w14:val="tx1"/>
            </w14:solidFill>
          </w14:textFill>
        </w:rPr>
        <w:t>90</w:t>
      </w:r>
      <w:r>
        <w:rPr>
          <w:rFonts w:hint="eastAsia" w:ascii="宋体" w:hAnsi="宋体"/>
          <w:color w:val="000000" w:themeColor="text1"/>
          <w:sz w:val="24"/>
          <w:u w:val="single"/>
          <w14:textFill>
            <w14:solidFill>
              <w14:schemeClr w14:val="tx1"/>
            </w14:solidFill>
          </w14:textFill>
        </w:rPr>
        <w:t>号）</w:t>
      </w:r>
      <w:r>
        <w:rPr>
          <w:rFonts w:hint="eastAsia" w:ascii="宋体" w:hAnsi="宋体"/>
          <w:color w:val="000000" w:themeColor="text1"/>
          <w:sz w:val="24"/>
          <w14:textFill>
            <w14:solidFill>
              <w14:schemeClr w14:val="tx1"/>
            </w14:solidFill>
          </w14:textFill>
        </w:rPr>
        <w:t>的招标评标工作，保证项目评审工作的正常有序进行，维护招标人、投标人的合法权益，依据《中华人民共和国招标投标法》、《中华人民共和国招标投标法实施条例》及其它相关法律法规，本着公开、公平、公正的原则，制定评标办法。</w:t>
      </w:r>
    </w:p>
    <w:p>
      <w:pPr>
        <w:adjustRightInd w:val="0"/>
        <w:snapToGrid w:val="0"/>
        <w:spacing w:line="360" w:lineRule="auto"/>
        <w:ind w:right="-10" w:firstLine="422" w:firstLineChars="175"/>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本次项目评标采用</w:t>
      </w:r>
      <w:r>
        <w:rPr>
          <w:rFonts w:hint="eastAsia" w:ascii="宋体" w:hAnsi="宋体"/>
          <w:b w:val="0"/>
          <w:bCs w:val="0"/>
          <w:color w:val="000000" w:themeColor="text1"/>
          <w:sz w:val="24"/>
          <w:u w:val="single"/>
          <w14:textFill>
            <w14:solidFill>
              <w14:schemeClr w14:val="tx1"/>
            </w14:solidFill>
          </w14:textFill>
        </w:rPr>
        <w:t>有效最低价法</w:t>
      </w:r>
      <w:r>
        <w:rPr>
          <w:rFonts w:hint="eastAsia" w:ascii="宋体" w:hAnsi="宋体"/>
          <w:color w:val="000000" w:themeColor="text1"/>
          <w:sz w:val="24"/>
          <w14:textFill>
            <w14:solidFill>
              <w14:schemeClr w14:val="tx1"/>
            </w14:solidFill>
          </w14:textFill>
        </w:rPr>
        <w:t>作为对投标人标书的比较方法。</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bCs/>
          <w:color w:val="000000"/>
          <w:sz w:val="24"/>
        </w:rPr>
        <w:t>3.</w:t>
      </w:r>
      <w:r>
        <w:rPr>
          <w:rFonts w:hint="eastAsia" w:ascii="宋体" w:hAnsi="宋体"/>
          <w:color w:val="000000"/>
          <w:sz w:val="24"/>
        </w:rPr>
        <w:t>本项目将依法组建不少于</w:t>
      </w:r>
      <w:r>
        <w:rPr>
          <w:rFonts w:ascii="宋体" w:hAnsi="宋体"/>
          <w:b/>
          <w:color w:val="000000"/>
          <w:sz w:val="24"/>
          <w:u w:val="single"/>
        </w:rPr>
        <w:t>3</w:t>
      </w:r>
      <w:r>
        <w:rPr>
          <w:rFonts w:hint="eastAsia" w:ascii="宋体" w:hAnsi="宋体"/>
          <w:color w:val="000000"/>
          <w:sz w:val="24"/>
        </w:rPr>
        <w:t>人的评标委员会，负责本项目的评标工作。</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color w:val="000000"/>
          <w:sz w:val="24"/>
        </w:rPr>
        <w:t>4.</w:t>
      </w:r>
      <w:r>
        <w:rPr>
          <w:rFonts w:hint="eastAsia" w:ascii="宋体" w:hAnsi="宋体"/>
          <w:color w:val="000000"/>
          <w:sz w:val="24"/>
        </w:rPr>
        <w:t>评标委员会按照“客观公正，实事求是”的原则，评价参加本次招标的投标人所提供的产品或服务价格、性能、质量、服务及对招标文件的符合性及响应性。</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5.</w:t>
      </w:r>
      <w:r>
        <w:rPr>
          <w:rFonts w:hint="eastAsia" w:ascii="宋体" w:hAnsi="宋体"/>
          <w:color w:val="000000"/>
          <w:sz w:val="24"/>
        </w:rPr>
        <w:t>有效投标应符合以下原则：</w:t>
      </w:r>
    </w:p>
    <w:p>
      <w:pPr>
        <w:spacing w:line="500" w:lineRule="exact"/>
        <w:ind w:left="480" w:right="-10"/>
        <w:rPr>
          <w:rFonts w:ascii="宋体" w:hAnsi="宋体"/>
          <w:color w:val="000000"/>
          <w:sz w:val="24"/>
        </w:rPr>
      </w:pPr>
      <w:r>
        <w:rPr>
          <w:rFonts w:hint="eastAsia" w:ascii="宋体" w:hAnsi="宋体"/>
          <w:color w:val="000000"/>
          <w:sz w:val="24"/>
        </w:rPr>
        <w:t>5.1满足招标文件的实质性要求；</w:t>
      </w:r>
    </w:p>
    <w:p>
      <w:pPr>
        <w:spacing w:line="500" w:lineRule="exact"/>
        <w:ind w:left="480" w:right="-10"/>
        <w:rPr>
          <w:rFonts w:ascii="宋体" w:hAnsi="宋体"/>
          <w:color w:val="000000"/>
          <w:sz w:val="24"/>
        </w:rPr>
      </w:pPr>
      <w:r>
        <w:rPr>
          <w:rFonts w:hint="eastAsia" w:ascii="宋体" w:hAnsi="宋体"/>
          <w:color w:val="000000"/>
          <w:sz w:val="24"/>
        </w:rPr>
        <w:t>5.2无重大偏离、保留或招标人不能接受的附加条件；</w:t>
      </w:r>
    </w:p>
    <w:p>
      <w:pPr>
        <w:spacing w:line="500" w:lineRule="exact"/>
        <w:ind w:left="480" w:right="-10"/>
        <w:rPr>
          <w:rFonts w:ascii="宋体" w:hAnsi="宋体"/>
          <w:color w:val="000000"/>
          <w:sz w:val="24"/>
        </w:rPr>
      </w:pPr>
      <w:r>
        <w:rPr>
          <w:rFonts w:hint="eastAsia" w:ascii="宋体" w:hAnsi="宋体"/>
          <w:color w:val="000000"/>
          <w:sz w:val="24"/>
        </w:rPr>
        <w:t>5.3通过初审；</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5.4评标委员会依据招标文件认定的其他原则。</w:t>
      </w:r>
    </w:p>
    <w:p>
      <w:pPr>
        <w:adjustRightInd w:val="0"/>
        <w:snapToGrid w:val="0"/>
        <w:spacing w:line="500" w:lineRule="exact"/>
        <w:ind w:right="-10" w:firstLine="482" w:firstLineChars="200"/>
        <w:rPr>
          <w:rFonts w:ascii="宋体" w:hAnsi="宋体" w:cs="宋体-18030"/>
          <w:color w:val="000000"/>
          <w:sz w:val="24"/>
        </w:rPr>
      </w:pPr>
      <w:r>
        <w:rPr>
          <w:rFonts w:hint="eastAsia" w:ascii="宋体" w:hAnsi="宋体"/>
          <w:b/>
          <w:color w:val="000000"/>
          <w:sz w:val="24"/>
        </w:rPr>
        <w:t>6.</w:t>
      </w:r>
      <w:r>
        <w:rPr>
          <w:rFonts w:hint="eastAsia" w:ascii="宋体" w:hAnsi="宋体" w:cs="宋体-18030"/>
          <w:color w:val="000000"/>
          <w:sz w:val="24"/>
        </w:rPr>
        <w:t>评标委员会遵循公开、公平、公正和科学诚信的原则，对所有投标文件均采用相同程序和标准，进行评定。</w:t>
      </w:r>
    </w:p>
    <w:p>
      <w:pPr>
        <w:adjustRightInd w:val="0"/>
        <w:snapToGrid w:val="0"/>
        <w:spacing w:line="500" w:lineRule="exact"/>
        <w:ind w:right="-10" w:firstLine="422" w:firstLineChars="175"/>
        <w:rPr>
          <w:rFonts w:ascii="宋体" w:hAnsi="宋体"/>
          <w:color w:val="000000"/>
          <w:sz w:val="24"/>
          <w:szCs w:val="24"/>
        </w:rPr>
      </w:pPr>
      <w:r>
        <w:rPr>
          <w:rFonts w:hint="eastAsia" w:ascii="宋体" w:hAnsi="宋体" w:cs="宋体-18030"/>
          <w:b/>
          <w:color w:val="000000"/>
          <w:sz w:val="24"/>
        </w:rPr>
        <w:t>7.</w:t>
      </w:r>
      <w:r>
        <w:rPr>
          <w:rFonts w:hint="eastAsia" w:ascii="宋体" w:hAnsi="宋体"/>
          <w:color w:val="000000"/>
          <w:sz w:val="24"/>
          <w:szCs w:val="24"/>
        </w:rPr>
        <w:t xml:space="preserve"> 评标委员会发现投标人的投标文件中对同类问题表述不一致、前后矛盾、有明显文字和计算错误的内容、有可能不符合招标文件规定等情况需要澄清时，评标委员会将以询标的方式告知并要求投标人以书面方式进行必要的澄清、说明或补正。</w:t>
      </w:r>
    </w:p>
    <w:p>
      <w:pPr>
        <w:adjustRightInd w:val="0"/>
        <w:snapToGrid w:val="0"/>
        <w:spacing w:line="500" w:lineRule="exact"/>
        <w:ind w:right="-10" w:firstLine="420" w:firstLineChars="175"/>
        <w:rPr>
          <w:rFonts w:ascii="宋体" w:hAnsi="宋体"/>
          <w:color w:val="000000"/>
          <w:sz w:val="24"/>
          <w:szCs w:val="24"/>
        </w:rPr>
      </w:pPr>
      <w:r>
        <w:rPr>
          <w:rFonts w:hint="eastAsia" w:ascii="宋体" w:hAnsi="宋体"/>
          <w:color w:val="000000"/>
          <w:sz w:val="24"/>
          <w:szCs w:val="24"/>
        </w:rPr>
        <w:t>对于询标后判定的结论（如通过或不通过），评标委员会应提出充足的理由，根据招标文件给定的评审指标进行判定，并予以书面记录。</w:t>
      </w:r>
    </w:p>
    <w:p>
      <w:pPr>
        <w:adjustRightInd w:val="0"/>
        <w:snapToGrid w:val="0"/>
        <w:spacing w:line="500" w:lineRule="exact"/>
        <w:ind w:right="-10" w:firstLine="480" w:firstLineChars="200"/>
        <w:rPr>
          <w:rFonts w:ascii="宋体" w:hAnsi="宋体"/>
          <w:color w:val="000000"/>
          <w:sz w:val="24"/>
        </w:rPr>
      </w:pPr>
      <w:r>
        <w:rPr>
          <w:rFonts w:hint="eastAsia" w:ascii="宋体" w:hAnsi="宋体"/>
          <w:bCs/>
          <w:color w:val="000000"/>
          <w:sz w:val="24"/>
          <w:szCs w:val="24"/>
        </w:rPr>
        <w:t>评标委员会独立评审后，对投标人某项评审指标如有不同意见，按照少数服从多数的原则，确定该项评审指标的最终结论。</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8. 评标委员会按下表内容进行投标有效性评审。</w:t>
      </w:r>
    </w:p>
    <w:p>
      <w:pPr>
        <w:adjustRightInd w:val="0"/>
        <w:snapToGrid w:val="0"/>
        <w:spacing w:line="360" w:lineRule="auto"/>
        <w:ind w:right="-10"/>
        <w:rPr>
          <w:rFonts w:ascii="宋体" w:hAnsi="宋体"/>
          <w:bCs/>
          <w:color w:val="000000"/>
          <w:sz w:val="24"/>
          <w:szCs w:val="24"/>
        </w:rPr>
      </w:pPr>
    </w:p>
    <w:p>
      <w:pPr>
        <w:rPr>
          <w:color w:val="000000" w:themeColor="text1"/>
          <w14:textFill>
            <w14:solidFill>
              <w14:schemeClr w14:val="tx1"/>
            </w14:solidFill>
          </w14:textFill>
        </w:rPr>
      </w:pPr>
    </w:p>
    <w:tbl>
      <w:tblPr>
        <w:tblStyle w:val="15"/>
        <w:tblW w:w="5561"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002"/>
        <w:gridCol w:w="2738"/>
        <w:gridCol w:w="1257"/>
        <w:gridCol w:w="3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3" w:hRule="atLeast"/>
        </w:trPr>
        <w:tc>
          <w:tcPr>
            <w:tcW w:w="5000" w:type="pct"/>
            <w:gridSpan w:val="5"/>
            <w:vAlign w:val="center"/>
          </w:tcPr>
          <w:p>
            <w:pPr>
              <w:adjustRightInd w:val="0"/>
              <w:snapToGrid w:val="0"/>
              <w:ind w:right="-1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kern w:val="0"/>
                <w:sz w:val="24"/>
                <w:szCs w:val="24"/>
                <w14:textFill>
                  <w14:solidFill>
                    <w14:schemeClr w14:val="tx1"/>
                  </w14:solidFill>
                </w14:textFill>
              </w:rPr>
              <w:t>评审表（废标指标一览表）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7"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973"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实质性指标名称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指标要求</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是否通过</w:t>
            </w: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响应文件格式及提交资料要求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7"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973"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投标人名称与营业执照单位名称一致</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7"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c>
          <w:tcPr>
            <w:tcW w:w="973"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营业执照或事业单位法人证书</w:t>
            </w:r>
          </w:p>
        </w:tc>
        <w:tc>
          <w:tcPr>
            <w:tcW w:w="1331"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合法有效</w:t>
            </w:r>
          </w:p>
        </w:tc>
        <w:tc>
          <w:tcPr>
            <w:tcW w:w="611"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提供有效的营业执照（或事业单位法人证书）的扫描件</w:t>
            </w:r>
            <w:r>
              <w:rPr>
                <w:rFonts w:hint="eastAsia" w:ascii="宋体" w:hAnsi="宋体"/>
                <w:b/>
                <w:bCs/>
                <w:color w:val="000000" w:themeColor="text1"/>
                <w:sz w:val="24"/>
                <w:szCs w:val="24"/>
                <w14:textFill>
                  <w14:solidFill>
                    <w14:schemeClr w14:val="tx1"/>
                  </w14:solidFill>
                </w14:textFill>
              </w:rPr>
              <w:t>，应完整的体现出营业执照</w:t>
            </w:r>
            <w:r>
              <w:rPr>
                <w:rFonts w:hint="eastAsia" w:ascii="宋体" w:hAnsi="宋体"/>
                <w:b/>
                <w:color w:val="000000" w:themeColor="text1"/>
                <w:sz w:val="24"/>
                <w:szCs w:val="24"/>
                <w14:textFill>
                  <w14:solidFill>
                    <w14:schemeClr w14:val="tx1"/>
                  </w14:solidFill>
                </w14:textFill>
              </w:rPr>
              <w:t>（或事业单位法人证书）</w:t>
            </w:r>
            <w:r>
              <w:rPr>
                <w:rFonts w:hint="eastAsia" w:ascii="宋体" w:hAnsi="宋体"/>
                <w:b/>
                <w:bCs/>
                <w:color w:val="000000" w:themeColor="text1"/>
                <w:sz w:val="24"/>
                <w:szCs w:val="24"/>
                <w14:textFill>
                  <w14:solidFill>
                    <w14:schemeClr w14:val="tx1"/>
                  </w14:solidFill>
                </w14:textFill>
              </w:rPr>
              <w:t>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投标函中的授权代表须与投标授权书中保持一致，否则投标无效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投标授权书</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详见第五章响应文件格式“投标授权书”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投标人信用记录证明材料</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提供信用记录证明材料扫描件，详见第五章响应文件格式“投标人信用承诺”</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开标一览表</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第五章投标文件格式一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1331" w:type="pct"/>
            <w:vAlign w:val="center"/>
          </w:tcPr>
          <w:p>
            <w:pPr>
              <w:spacing w:after="50" w:line="360" w:lineRule="auto"/>
              <w:ind w:right="-10"/>
              <w:jc w:val="center"/>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7"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w:t>
            </w:r>
          </w:p>
        </w:tc>
        <w:tc>
          <w:tcPr>
            <w:tcW w:w="973" w:type="pct"/>
            <w:vAlign w:val="center"/>
          </w:tcPr>
          <w:p>
            <w:pPr>
              <w:autoSpaceDE w:val="0"/>
              <w:autoSpaceDN w:val="0"/>
              <w:adjustRightInd w:val="0"/>
              <w:spacing w:line="360" w:lineRule="auto"/>
              <w:ind w:firstLine="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投标人资格</w:t>
            </w:r>
          </w:p>
        </w:tc>
        <w:tc>
          <w:tcPr>
            <w:tcW w:w="1331" w:type="pct"/>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详见第一章投标邀请“投标人资格”</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7"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9</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标书响应情况</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付款响应、完工期响应、质保期响应等</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347"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0</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标书规范性</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无严重的编排混乱、内容不全或字迹模糊辨认不清、前后矛盾情况，对评标无实质性影响的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rPr>
        <w:tc>
          <w:tcPr>
            <w:tcW w:w="347"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1</w:t>
            </w:r>
          </w:p>
        </w:tc>
        <w:tc>
          <w:tcPr>
            <w:tcW w:w="973"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其他要求</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上述指标中未列出，但国家相关法律法规或谈判文件有明确规定的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5000" w:type="pct"/>
            <w:gridSpan w:val="5"/>
            <w:vAlign w:val="center"/>
          </w:tcPr>
          <w:p>
            <w:pPr>
              <w:spacing w:before="139"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（1）资格审查采用定性方法，符合性评审，所有评审选项必须全部通过方为合格。</w:t>
            </w:r>
          </w:p>
          <w:p>
            <w:pPr>
              <w:adjustRightInd w:val="0"/>
              <w:snapToGrid w:val="0"/>
              <w:spacing w:line="360" w:lineRule="auto"/>
              <w:ind w:right="-10"/>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评标委员会根据表中所列各项指标对投标人是否为有效标进行评审，未列入上表中的指标不得作为废标依据。符合评审指标通过标准的，为有效投标。未通过评审的投标人将不参与技术标、商务标评审。</w:t>
            </w:r>
          </w:p>
          <w:p>
            <w:pPr>
              <w:adjustRightInd w:val="0"/>
              <w:snapToGrid w:val="0"/>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（2）投标人提供的资料不全、不清楚、超出有效期等情况，将由评审委员会按照对投标人不利的解释去理解，由此产生的一切后果由投标人自行承担。</w:t>
            </w:r>
          </w:p>
          <w:p>
            <w:pPr>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投标人提供的与投标有关的各类证书、证明、文件、资料等的真实性、合法性由投标人负全责。如发现投标人有弄虚作假或提供不实信息以骗取中标的行为，无论在投标有效期内还是在工程实施过程中，一经发现，将被取消其中标资格或终止合同，视为企业不诚信行为。</w:t>
            </w:r>
          </w:p>
        </w:tc>
      </w:tr>
    </w:tbl>
    <w:p>
      <w:pPr>
        <w:spacing w:line="500" w:lineRule="exact"/>
        <w:ind w:left="143" w:leftChars="68" w:firstLine="361" w:firstLineChars="150"/>
        <w:rPr>
          <w:rFonts w:ascii="宋体" w:hAnsi="宋体"/>
          <w:bCs/>
          <w:color w:val="000000"/>
          <w:sz w:val="24"/>
        </w:rPr>
      </w:pPr>
      <w:r>
        <w:rPr>
          <w:rFonts w:hint="eastAsia" w:ascii="宋体" w:hAnsi="宋体"/>
          <w:b/>
          <w:bCs/>
          <w:color w:val="000000"/>
          <w:sz w:val="24"/>
        </w:rPr>
        <w:t>9.</w:t>
      </w:r>
      <w:r>
        <w:rPr>
          <w:rFonts w:hint="eastAsia" w:ascii="宋体" w:hAnsi="宋体"/>
          <w:bCs/>
          <w:color w:val="000000"/>
          <w:sz w:val="24"/>
        </w:rPr>
        <w:t>价格评审:对通过</w:t>
      </w:r>
      <w:r>
        <w:rPr>
          <w:rFonts w:hint="eastAsia" w:ascii="宋体" w:hAnsi="宋体"/>
          <w:color w:val="000000"/>
          <w:sz w:val="24"/>
        </w:rPr>
        <w:t>有效性评审</w:t>
      </w:r>
      <w:r>
        <w:rPr>
          <w:rFonts w:hint="eastAsia" w:ascii="宋体" w:hAnsi="宋体"/>
          <w:bCs/>
          <w:color w:val="000000"/>
          <w:sz w:val="24"/>
        </w:rPr>
        <w:t>的有效投标人，按其最终报价（评标价）由低到高的顺序选出中标候选人。</w:t>
      </w:r>
    </w:p>
    <w:p>
      <w:pPr>
        <w:adjustRightInd/>
        <w:snapToGrid/>
        <w:spacing w:line="520" w:lineRule="exact"/>
        <w:ind w:firstLine="482" w:firstLineChars="200"/>
        <w:jc w:val="left"/>
        <w:rPr>
          <w:rFonts w:hint="eastAsia" w:ascii="宋体" w:hAnsi="宋体" w:cs="Times New Roman"/>
          <w:color w:val="000000"/>
          <w:sz w:val="24"/>
          <w:szCs w:val="22"/>
          <w:highlight w:val="none"/>
        </w:rPr>
      </w:pPr>
      <w:r>
        <w:rPr>
          <w:rFonts w:hint="eastAsia" w:ascii="宋体" w:hAnsi="宋体" w:eastAsia="宋体"/>
          <w:b/>
          <w:color w:val="000000"/>
          <w:sz w:val="24"/>
        </w:rPr>
        <w:t>10.</w:t>
      </w:r>
      <w:r>
        <w:rPr>
          <w:rFonts w:hint="eastAsia" w:ascii="宋体" w:hAnsi="宋体" w:eastAsia="宋体"/>
          <w:color w:val="000000"/>
          <w:sz w:val="24"/>
        </w:rPr>
        <w:t>如果有效投标报价出</w:t>
      </w:r>
      <w:r>
        <w:rPr>
          <w:rFonts w:hint="eastAsia" w:ascii="宋体" w:hAnsi="宋体" w:eastAsia="宋体"/>
          <w:color w:val="000000"/>
          <w:sz w:val="24"/>
          <w:highlight w:val="none"/>
        </w:rPr>
        <w:t>现两家或两家以上相同者，</w:t>
      </w:r>
      <w:r>
        <w:rPr>
          <w:rFonts w:hint="eastAsia" w:ascii="宋体" w:hAnsi="宋体" w:cs="Times New Roman"/>
          <w:color w:val="000000"/>
          <w:sz w:val="24"/>
          <w:szCs w:val="22"/>
          <w:highlight w:val="none"/>
        </w:rPr>
        <w:t>则投标人需提供交易中心提供的2023年截至10月中长期交易成交的总量，在交易方式同等条件下，以投标人主体有发电厂背景的售电公司</w:t>
      </w:r>
      <w:r>
        <w:rPr>
          <w:rFonts w:hint="eastAsia" w:ascii="宋体" w:hAnsi="宋体" w:cs="Times New Roman"/>
          <w:color w:val="000000"/>
          <w:sz w:val="24"/>
          <w:szCs w:val="22"/>
          <w:highlight w:val="none"/>
          <w:lang w:eastAsia="zh-CN"/>
        </w:rPr>
        <w:t>，</w:t>
      </w:r>
      <w:r>
        <w:rPr>
          <w:rFonts w:hint="eastAsia" w:ascii="宋体" w:hAnsi="宋体" w:cs="Times New Roman"/>
          <w:color w:val="000000"/>
          <w:sz w:val="24"/>
          <w:szCs w:val="22"/>
          <w:highlight w:val="none"/>
        </w:rPr>
        <w:t>且2023年的售电交易量不低于20亿kWh优先。（需提供依据）</w:t>
      </w:r>
    </w:p>
    <w:p>
      <w:pPr>
        <w:adjustRightInd w:val="0"/>
        <w:snapToGrid w:val="0"/>
        <w:spacing w:line="500" w:lineRule="exact"/>
        <w:ind w:right="-10" w:firstLine="482" w:firstLineChars="200"/>
        <w:rPr>
          <w:rFonts w:ascii="宋体" w:hAnsi="宋体"/>
          <w:b/>
          <w:color w:val="000000"/>
          <w:sz w:val="24"/>
          <w:highlight w:val="none"/>
        </w:rPr>
      </w:pPr>
      <w:r>
        <w:rPr>
          <w:rFonts w:hint="eastAsia" w:ascii="宋体" w:hAnsi="宋体"/>
          <w:b/>
          <w:color w:val="000000"/>
          <w:sz w:val="24"/>
          <w:highlight w:val="none"/>
        </w:rPr>
        <w:t>11.</w:t>
      </w:r>
      <w:r>
        <w:rPr>
          <w:rFonts w:hint="eastAsia" w:ascii="宋体" w:hAnsi="宋体"/>
          <w:color w:val="000000"/>
          <w:sz w:val="24"/>
          <w:highlight w:val="none"/>
        </w:rPr>
        <w:t>评标委员会在评标过程中发现的问题，应当及时作出处理或者向招标人提出处理建议，并作书面记录。</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12.</w:t>
      </w:r>
      <w:r>
        <w:rPr>
          <w:rFonts w:hint="eastAsia" w:ascii="宋体" w:hAnsi="宋体"/>
          <w:color w:val="000000"/>
          <w:sz w:val="24"/>
        </w:rPr>
        <w:t>在评审过程中，评标委员会发现投标人的报价或者某些分项报价可能低于成本或者高于招标文件设定的最高投标限价的，评标委员会将以询标的方式告知并要求投标人以书面方式进行必要的说明或补正，经评标委员会认定其报价低于成本或者高于招标文件设定的最高投标限价的，将否决其投标。对于询标后判定为不符合招标文件的报价，评委要提出充足的否定理由，并予以书面记录。最终对投标人的评审结论分为通过和未通过。</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13.</w:t>
      </w:r>
      <w:r>
        <w:rPr>
          <w:rFonts w:hint="eastAsia" w:ascii="宋体" w:hAnsi="宋体"/>
          <w:color w:val="000000"/>
          <w:sz w:val="24"/>
        </w:rPr>
        <w:t>投标人投标报价与公布的预算价（或控制价)相比降幅过小，或投标人投标报价明显缺乏竞争性的，评标委员会可以否决所有投标。</w:t>
      </w:r>
    </w:p>
    <w:p>
      <w:pPr>
        <w:adjustRightInd w:val="0"/>
        <w:snapToGrid w:val="0"/>
        <w:spacing w:line="500" w:lineRule="exact"/>
        <w:ind w:right="-10" w:firstLine="472" w:firstLineChars="196"/>
        <w:rPr>
          <w:rFonts w:ascii="宋体" w:hAnsi="宋体"/>
          <w:bCs/>
          <w:color w:val="000000"/>
          <w:sz w:val="24"/>
        </w:rPr>
      </w:pPr>
      <w:r>
        <w:rPr>
          <w:rFonts w:hint="eastAsia" w:ascii="宋体" w:hAnsi="宋体"/>
          <w:b/>
          <w:bCs/>
          <w:color w:val="000000"/>
          <w:sz w:val="24"/>
        </w:rPr>
        <w:t>14.</w:t>
      </w:r>
      <w:r>
        <w:rPr>
          <w:rFonts w:hint="eastAsia" w:ascii="宋体" w:hAnsi="宋体"/>
          <w:bCs/>
          <w:color w:val="000000"/>
          <w:sz w:val="24"/>
        </w:rPr>
        <w:t>评标后，评标委员会应写出评标报告并签字。评标报告是评标委员会根据全体评标成员签字的原始评标记录和评标结果编写的报告，评标委员会全体成员及监督员均须在评标报告上签字。评标报告应如实记录本次评标的主要过程，全面反映评标过程中的各种不同的意见，以及其他澄清、说明、补正事项。</w:t>
      </w:r>
    </w:p>
    <w:p>
      <w:pPr>
        <w:adjustRightInd w:val="0"/>
        <w:snapToGrid w:val="0"/>
        <w:spacing w:line="500" w:lineRule="exact"/>
        <w:ind w:right="-10" w:firstLine="482" w:firstLineChars="200"/>
        <w:rPr>
          <w:rFonts w:ascii="宋体" w:hAnsi="宋体"/>
          <w:color w:val="000000"/>
          <w:sz w:val="24"/>
        </w:rPr>
      </w:pPr>
      <w:r>
        <w:rPr>
          <w:rFonts w:hint="eastAsia" w:ascii="宋体" w:hAnsi="宋体"/>
          <w:b/>
          <w:bCs/>
          <w:color w:val="000000"/>
          <w:sz w:val="24"/>
        </w:rPr>
        <w:t>15.</w:t>
      </w:r>
      <w:r>
        <w:rPr>
          <w:rFonts w:hint="eastAsia" w:ascii="宋体" w:hAnsi="宋体"/>
          <w:color w:val="000000"/>
          <w:sz w:val="24"/>
        </w:rPr>
        <w:t xml:space="preserve"> 评标委员会和评标工作人员应严格遵守国家的法律、法规和规章制度；严格按照本次招标文件进行评标；公正廉洁、不徇私情，不得损害国家利益；保护招、投标人的合法权益。</w:t>
      </w:r>
    </w:p>
    <w:p>
      <w:pPr>
        <w:spacing w:line="500" w:lineRule="exact"/>
        <w:ind w:firstLine="482" w:firstLineChars="200"/>
        <w:rPr>
          <w:color w:val="000000"/>
        </w:rPr>
      </w:pPr>
      <w:r>
        <w:rPr>
          <w:rFonts w:hint="eastAsia" w:ascii="宋体" w:hAnsi="宋体"/>
          <w:b/>
          <w:bCs/>
          <w:color w:val="000000"/>
          <w:sz w:val="24"/>
        </w:rPr>
        <w:t>16.</w:t>
      </w:r>
      <w:r>
        <w:rPr>
          <w:rFonts w:hint="eastAsia" w:ascii="宋体" w:hAnsi="宋体"/>
          <w:bCs/>
          <w:color w:val="000000"/>
          <w:sz w:val="24"/>
        </w:rPr>
        <w:t>在评标过程中，评委及其他评标工作人员必须对评标情况严格保密，任何人不得将评标情况透露给与投标人有关的单位和个人。</w:t>
      </w:r>
    </w:p>
    <w:p>
      <w:pPr>
        <w:pStyle w:val="20"/>
        <w:rPr>
          <w:color w:val="000000"/>
        </w:rPr>
      </w:pPr>
    </w:p>
    <w:p>
      <w:pPr>
        <w:pStyle w:val="9"/>
        <w:spacing w:line="360" w:lineRule="auto"/>
        <w:rPr>
          <w:rFonts w:hAnsi="宋体" w:cs="黑体"/>
          <w:b/>
          <w:color w:val="000000"/>
          <w:sz w:val="24"/>
          <w:szCs w:val="24"/>
        </w:rPr>
      </w:pPr>
      <w:r>
        <w:rPr>
          <w:rFonts w:hint="eastAsia" w:hAnsi="宋体" w:cs="黑体"/>
          <w:b/>
          <w:color w:val="000000"/>
          <w:sz w:val="24"/>
          <w:szCs w:val="24"/>
        </w:rPr>
        <w:t>17. 其他</w:t>
      </w:r>
    </w:p>
    <w:p>
      <w:pPr>
        <w:pStyle w:val="21"/>
        <w:spacing w:line="360" w:lineRule="auto"/>
        <w:ind w:firstLine="482" w:firstLineChars="200"/>
        <w:rPr>
          <w:rFonts w:ascii="宋体" w:hAnsi="宋体"/>
          <w:b/>
          <w:color w:val="000000"/>
          <w:sz w:val="24"/>
        </w:rPr>
      </w:pPr>
      <w:r>
        <w:rPr>
          <w:rFonts w:hint="eastAsia" w:ascii="宋体" w:hAnsi="宋体"/>
          <w:b/>
          <w:bCs/>
          <w:color w:val="000000"/>
          <w:kern w:val="0"/>
          <w:sz w:val="24"/>
        </w:rPr>
        <w:t>投标人提供的与投标有关的各类证书、证明、文件、资料等的真实性、合法性由投标人负全责。如发现投标人有弄虚作假或提供不实信息的行为，无论在投标有效期内还是在工程实施过程中，一经发现，将被取消其中标资格或终止合同，视为企业不诚信行为。合肥文旅博览集团将按相关规定予以处罚并记入不良行为记录，予以披露</w:t>
      </w:r>
      <w:r>
        <w:rPr>
          <w:rFonts w:hint="eastAsia" w:ascii="宋体" w:hAnsi="宋体"/>
          <w:b/>
          <w:color w:val="000000"/>
          <w:sz w:val="24"/>
        </w:rPr>
        <w:t>。</w:t>
      </w:r>
    </w:p>
    <w:p>
      <w:pPr>
        <w:pStyle w:val="20"/>
        <w:rPr>
          <w:color w:val="000000"/>
        </w:rPr>
      </w:pPr>
    </w:p>
    <w:p>
      <w:pPr>
        <w:pStyle w:val="20"/>
        <w:rPr>
          <w:color w:val="000000"/>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pStyle w:val="5"/>
        <w:spacing w:line="500" w:lineRule="exact"/>
        <w:rPr>
          <w:rFonts w:ascii="宋体" w:hAnsi="宋体" w:eastAsia="宋体"/>
          <w:color w:val="000000"/>
        </w:rPr>
      </w:pPr>
    </w:p>
    <w:p>
      <w:pPr>
        <w:pStyle w:val="5"/>
        <w:spacing w:line="500" w:lineRule="exact"/>
        <w:rPr>
          <w:rFonts w:ascii="宋体" w:hAnsi="宋体" w:eastAsia="宋体"/>
          <w:color w:val="000000"/>
        </w:rPr>
      </w:pPr>
      <w:bookmarkStart w:id="17" w:name="_Toc29597"/>
      <w:r>
        <w:rPr>
          <w:rFonts w:hint="eastAsia" w:ascii="宋体" w:hAnsi="宋体" w:eastAsia="宋体"/>
          <w:color w:val="000000"/>
        </w:rPr>
        <w:t>第五章 投标文件格式</w:t>
      </w:r>
      <w:bookmarkEnd w:id="14"/>
      <w:bookmarkEnd w:id="17"/>
    </w:p>
    <w:p>
      <w:pPr>
        <w:keepNext/>
        <w:keepLines/>
        <w:spacing w:before="120" w:after="120" w:line="500" w:lineRule="exact"/>
        <w:jc w:val="center"/>
        <w:outlineLvl w:val="1"/>
        <w:rPr>
          <w:rFonts w:ascii="Arial" w:hAnsi="Arial" w:cs="Calibri"/>
          <w:b/>
          <w:bCs/>
          <w:color w:val="000000"/>
          <w:sz w:val="32"/>
          <w:szCs w:val="32"/>
        </w:rPr>
      </w:pPr>
      <w:bookmarkStart w:id="18" w:name="_Toc23803"/>
      <w:r>
        <w:rPr>
          <w:rFonts w:hint="eastAsia" w:ascii="Arial" w:hAnsi="Arial" w:cs="Calibri"/>
          <w:b/>
          <w:bCs/>
          <w:color w:val="000000"/>
          <w:sz w:val="32"/>
          <w:szCs w:val="32"/>
        </w:rPr>
        <w:t>评审因素索引表</w:t>
      </w:r>
      <w:bookmarkEnd w:id="18"/>
    </w:p>
    <w:tbl>
      <w:tblPr>
        <w:tblStyle w:val="15"/>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820"/>
        <w:gridCol w:w="3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bookmarkStart w:id="19" w:name="_Toc256695443"/>
            <w:bookmarkStart w:id="20" w:name="_Toc256691567"/>
            <w:r>
              <w:rPr>
                <w:rFonts w:hint="eastAsia"/>
                <w:color w:val="000000"/>
                <w:sz w:val="28"/>
                <w:szCs w:val="28"/>
              </w:rPr>
              <w:t>序号</w:t>
            </w:r>
            <w:bookmarkEnd w:id="19"/>
            <w:bookmarkEnd w:id="20"/>
          </w:p>
        </w:tc>
        <w:tc>
          <w:tcPr>
            <w:tcW w:w="4820" w:type="dxa"/>
            <w:vAlign w:val="center"/>
          </w:tcPr>
          <w:p>
            <w:pPr>
              <w:spacing w:line="500" w:lineRule="exact"/>
              <w:jc w:val="center"/>
              <w:rPr>
                <w:color w:val="000000"/>
                <w:sz w:val="28"/>
                <w:szCs w:val="28"/>
              </w:rPr>
            </w:pPr>
            <w:bookmarkStart w:id="21" w:name="_Toc256691568"/>
            <w:bookmarkStart w:id="22" w:name="_Toc256695444"/>
            <w:r>
              <w:rPr>
                <w:rFonts w:hint="eastAsia"/>
                <w:color w:val="000000"/>
                <w:sz w:val="28"/>
                <w:szCs w:val="28"/>
              </w:rPr>
              <w:t>评审因素</w:t>
            </w:r>
            <w:bookmarkEnd w:id="21"/>
            <w:bookmarkEnd w:id="22"/>
          </w:p>
        </w:tc>
        <w:tc>
          <w:tcPr>
            <w:tcW w:w="3649" w:type="dxa"/>
            <w:vAlign w:val="center"/>
          </w:tcPr>
          <w:p>
            <w:pPr>
              <w:spacing w:line="500" w:lineRule="exact"/>
              <w:jc w:val="center"/>
              <w:rPr>
                <w:color w:val="000000"/>
                <w:sz w:val="28"/>
                <w:szCs w:val="28"/>
              </w:rPr>
            </w:pPr>
            <w:bookmarkStart w:id="23" w:name="_Toc256695445"/>
            <w:bookmarkStart w:id="24" w:name="_Toc256691569"/>
            <w:r>
              <w:rPr>
                <w:rFonts w:hint="eastAsia"/>
                <w:color w:val="000000"/>
                <w:sz w:val="28"/>
                <w:szCs w:val="28"/>
              </w:rPr>
              <w:t>投标文件页码范围</w:t>
            </w:r>
            <w:bookmarkEnd w:id="23"/>
            <w:bookmarkEnd w:id="2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5" w:name="_Toc256695446"/>
            <w:bookmarkStart w:id="26" w:name="_Toc256691570"/>
            <w:r>
              <w:rPr>
                <w:rFonts w:hint="eastAsia"/>
                <w:color w:val="000000"/>
                <w:sz w:val="28"/>
                <w:szCs w:val="28"/>
              </w:rPr>
              <w:t>P---  P</w:t>
            </w:r>
            <w:bookmarkEnd w:id="25"/>
            <w:bookmarkEnd w:id="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7" w:name="_Toc256695447"/>
            <w:bookmarkStart w:id="28" w:name="_Toc256691571"/>
            <w:r>
              <w:rPr>
                <w:rFonts w:hint="eastAsia"/>
                <w:color w:val="000000"/>
                <w:sz w:val="28"/>
                <w:szCs w:val="28"/>
              </w:rPr>
              <w:t>P---  P</w:t>
            </w:r>
            <w:bookmarkEnd w:id="27"/>
            <w:bookmarkEnd w:id="2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9" w:name="_Toc256691572"/>
            <w:bookmarkStart w:id="30" w:name="_Toc256695448"/>
            <w:r>
              <w:rPr>
                <w:rFonts w:hint="eastAsia"/>
                <w:color w:val="000000"/>
                <w:sz w:val="28"/>
                <w:szCs w:val="28"/>
              </w:rPr>
              <w:t>P---  P</w:t>
            </w:r>
            <w:bookmarkEnd w:id="29"/>
            <w:bookmarkEnd w:id="3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1" w:name="_Toc256695449"/>
            <w:bookmarkStart w:id="32" w:name="_Toc256691573"/>
            <w:r>
              <w:rPr>
                <w:rFonts w:hint="eastAsia"/>
                <w:color w:val="000000"/>
                <w:sz w:val="28"/>
                <w:szCs w:val="28"/>
              </w:rPr>
              <w:t>P---  P</w:t>
            </w:r>
            <w:bookmarkEnd w:id="31"/>
            <w:bookmarkEnd w:id="3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3" w:name="_Toc256695450"/>
            <w:bookmarkStart w:id="34" w:name="_Toc256691574"/>
            <w:r>
              <w:rPr>
                <w:rFonts w:hint="eastAsia"/>
                <w:color w:val="000000"/>
                <w:sz w:val="28"/>
                <w:szCs w:val="28"/>
              </w:rPr>
              <w:t>P---  P</w:t>
            </w:r>
            <w:bookmarkEnd w:id="33"/>
            <w:bookmarkEnd w:id="3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5" w:name="_Toc256691575"/>
            <w:bookmarkStart w:id="36" w:name="_Toc256695451"/>
            <w:r>
              <w:rPr>
                <w:rFonts w:hint="eastAsia"/>
                <w:color w:val="000000"/>
                <w:sz w:val="28"/>
                <w:szCs w:val="28"/>
              </w:rPr>
              <w:t>P---  P</w:t>
            </w:r>
            <w:bookmarkEnd w:id="35"/>
            <w:bookmarkEnd w:id="3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7" w:name="_Toc256691576"/>
            <w:bookmarkStart w:id="38" w:name="_Toc256695452"/>
            <w:r>
              <w:rPr>
                <w:rFonts w:hint="eastAsia"/>
                <w:color w:val="000000"/>
                <w:sz w:val="28"/>
                <w:szCs w:val="28"/>
              </w:rPr>
              <w:t>P---  P</w:t>
            </w:r>
            <w:bookmarkEnd w:id="37"/>
            <w:bookmarkEnd w:id="3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9" w:name="_Toc256695453"/>
            <w:bookmarkStart w:id="40" w:name="_Toc256691577"/>
            <w:r>
              <w:rPr>
                <w:rFonts w:hint="eastAsia"/>
                <w:color w:val="000000"/>
                <w:sz w:val="28"/>
                <w:szCs w:val="28"/>
              </w:rPr>
              <w:t>P---  P</w:t>
            </w:r>
            <w:bookmarkEnd w:id="39"/>
            <w:bookmarkEnd w:id="4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1" w:name="_Toc256691578"/>
            <w:bookmarkStart w:id="42" w:name="_Toc256695454"/>
            <w:r>
              <w:rPr>
                <w:rFonts w:hint="eastAsia"/>
                <w:color w:val="000000"/>
                <w:sz w:val="28"/>
                <w:szCs w:val="28"/>
              </w:rPr>
              <w:t>P---  P</w:t>
            </w:r>
            <w:bookmarkEnd w:id="41"/>
            <w:bookmarkEnd w:id="4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3" w:name="_Toc256695455"/>
            <w:bookmarkStart w:id="44" w:name="_Toc256691579"/>
            <w:r>
              <w:rPr>
                <w:rFonts w:hint="eastAsia"/>
                <w:color w:val="000000"/>
                <w:sz w:val="28"/>
                <w:szCs w:val="28"/>
              </w:rPr>
              <w:t>P---  P</w:t>
            </w:r>
            <w:bookmarkEnd w:id="43"/>
            <w:bookmarkEnd w:id="4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5" w:name="_Toc256691580"/>
            <w:bookmarkStart w:id="46" w:name="_Toc256695456"/>
            <w:r>
              <w:rPr>
                <w:rFonts w:hint="eastAsia"/>
                <w:color w:val="000000"/>
                <w:sz w:val="28"/>
                <w:szCs w:val="28"/>
              </w:rPr>
              <w:t>P---  P</w:t>
            </w:r>
            <w:bookmarkEnd w:id="45"/>
            <w:bookmarkEnd w:id="4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7" w:name="_Toc256691581"/>
            <w:bookmarkStart w:id="48" w:name="_Toc256695457"/>
            <w:r>
              <w:rPr>
                <w:rFonts w:hint="eastAsia"/>
                <w:color w:val="000000"/>
                <w:sz w:val="28"/>
                <w:szCs w:val="28"/>
              </w:rPr>
              <w:t>P---  P</w:t>
            </w:r>
            <w:bookmarkEnd w:id="47"/>
            <w:bookmarkEnd w:id="4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9" w:name="_Toc256695458"/>
            <w:bookmarkStart w:id="50" w:name="_Toc256691582"/>
            <w:r>
              <w:rPr>
                <w:rFonts w:hint="eastAsia"/>
                <w:color w:val="000000"/>
                <w:sz w:val="28"/>
                <w:szCs w:val="28"/>
              </w:rPr>
              <w:t>P---  P</w:t>
            </w:r>
            <w:bookmarkEnd w:id="49"/>
            <w:bookmarkEnd w:id="5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bookmarkStart w:id="51" w:name="_Toc256695459"/>
            <w:bookmarkStart w:id="52" w:name="_Toc256691583"/>
            <w:r>
              <w:rPr>
                <w:rFonts w:hint="eastAsia"/>
                <w:color w:val="000000"/>
                <w:sz w:val="28"/>
                <w:szCs w:val="28"/>
              </w:rPr>
              <w:t>……</w:t>
            </w:r>
            <w:bookmarkEnd w:id="51"/>
            <w:bookmarkEnd w:id="52"/>
          </w:p>
        </w:tc>
        <w:tc>
          <w:tcPr>
            <w:tcW w:w="3649" w:type="dxa"/>
            <w:vAlign w:val="center"/>
          </w:tcPr>
          <w:p>
            <w:pPr>
              <w:spacing w:line="500" w:lineRule="exact"/>
              <w:jc w:val="center"/>
              <w:rPr>
                <w:color w:val="000000"/>
                <w:sz w:val="28"/>
                <w:szCs w:val="28"/>
              </w:rPr>
            </w:pPr>
            <w:bookmarkStart w:id="53" w:name="_Toc256691584"/>
            <w:bookmarkStart w:id="54" w:name="_Toc256695460"/>
            <w:r>
              <w:rPr>
                <w:rFonts w:hint="eastAsia"/>
                <w:color w:val="000000"/>
                <w:sz w:val="28"/>
                <w:szCs w:val="28"/>
              </w:rPr>
              <w:t>……</w:t>
            </w:r>
            <w:bookmarkEnd w:id="53"/>
            <w:bookmarkEnd w:id="5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bl>
    <w:p>
      <w:r>
        <w:rPr>
          <w:rFonts w:ascii="黑体" w:eastAsia="黑体"/>
          <w:color w:val="000000"/>
          <w:sz w:val="28"/>
          <w:szCs w:val="28"/>
        </w:rPr>
        <w:br w:type="page"/>
      </w:r>
    </w:p>
    <w:p>
      <w:pPr>
        <w:keepNext/>
        <w:keepLines/>
        <w:spacing w:before="260" w:after="260" w:line="500" w:lineRule="exact"/>
        <w:jc w:val="center"/>
        <w:outlineLvl w:val="1"/>
        <w:rPr>
          <w:rFonts w:ascii="宋体" w:hAnsi="宋体"/>
          <w:b/>
          <w:bCs/>
          <w:color w:val="000000" w:themeColor="text1"/>
          <w:sz w:val="32"/>
          <w:szCs w:val="32"/>
          <w14:textFill>
            <w14:solidFill>
              <w14:schemeClr w14:val="tx1"/>
            </w14:solidFill>
          </w14:textFill>
        </w:rPr>
      </w:pPr>
      <w:bookmarkStart w:id="55" w:name="_Toc29052"/>
      <w:r>
        <w:rPr>
          <w:rFonts w:hint="eastAsia" w:ascii="宋体" w:hAnsi="宋体"/>
          <w:b/>
          <w:bCs/>
          <w:color w:val="000000" w:themeColor="text1"/>
          <w:sz w:val="32"/>
          <w:szCs w:val="32"/>
          <w14:textFill>
            <w14:solidFill>
              <w14:schemeClr w14:val="tx1"/>
            </w14:solidFill>
          </w14:textFill>
        </w:rPr>
        <w:t>投标文件格式</w:t>
      </w:r>
      <w:bookmarkEnd w:id="15"/>
      <w:r>
        <w:rPr>
          <w:rFonts w:hint="eastAsia" w:ascii="宋体" w:hAnsi="宋体"/>
          <w:b/>
          <w:bCs/>
          <w:color w:val="000000" w:themeColor="text1"/>
          <w:sz w:val="32"/>
          <w:szCs w:val="32"/>
          <w14:textFill>
            <w14:solidFill>
              <w14:schemeClr w14:val="tx1"/>
            </w14:solidFill>
          </w14:textFill>
        </w:rPr>
        <w:t>及资料清单</w:t>
      </w:r>
      <w:bookmarkEnd w:id="5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76"/>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42"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5376"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2625"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w:t>
            </w:r>
          </w:p>
        </w:tc>
        <w:tc>
          <w:tcPr>
            <w:tcW w:w="5376" w:type="dxa"/>
            <w:vAlign w:val="center"/>
          </w:tcPr>
          <w:p>
            <w:pPr>
              <w:rPr>
                <w:color w:val="000000" w:themeColor="text1"/>
                <w:u w:val="single"/>
                <w14:textFill>
                  <w14:solidFill>
                    <w14:schemeClr w14:val="tx1"/>
                  </w14:solidFill>
                </w14:textFill>
              </w:rPr>
            </w:pPr>
            <w:r>
              <w:rPr>
                <w:rFonts w:hint="eastAsia"/>
                <w:bCs/>
                <w:color w:val="000000" w:themeColor="text1"/>
                <w:sz w:val="24"/>
                <w14:textFill>
                  <w14:solidFill>
                    <w14:schemeClr w14:val="tx1"/>
                  </w14:solidFill>
                </w14:textFill>
              </w:rPr>
              <w:t>投标函</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w:t>
            </w:r>
          </w:p>
        </w:tc>
        <w:tc>
          <w:tcPr>
            <w:tcW w:w="5376" w:type="dxa"/>
            <w:vAlign w:val="center"/>
          </w:tcPr>
          <w:p>
            <w:pPr>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拟投标人情况综合简介</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w:t>
            </w:r>
          </w:p>
        </w:tc>
        <w:tc>
          <w:tcPr>
            <w:tcW w:w="5376" w:type="dxa"/>
            <w:vAlign w:val="center"/>
          </w:tcPr>
          <w:p>
            <w:pP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开标一览表</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四</w:t>
            </w:r>
          </w:p>
        </w:tc>
        <w:tc>
          <w:tcPr>
            <w:tcW w:w="5376" w:type="dxa"/>
            <w:vAlign w:val="center"/>
          </w:tcPr>
          <w:p>
            <w:pPr>
              <w:rPr>
                <w:rFonts w:ascii="Times New Roman" w:hAnsi="Times New Roman"/>
                <w:bCs/>
                <w:color w:val="000000" w:themeColor="text1"/>
                <w:sz w:val="24"/>
                <w:szCs w:val="20"/>
                <w14:textFill>
                  <w14:solidFill>
                    <w14:schemeClr w14:val="tx1"/>
                  </w14:solidFill>
                </w14:textFill>
              </w:rPr>
            </w:pPr>
            <w:r>
              <w:rPr>
                <w:rFonts w:hint="eastAsia" w:ascii="Tahoma" w:hAnsi="Tahoma"/>
                <w:bCs/>
                <w:color w:val="000000" w:themeColor="text1"/>
                <w:sz w:val="24"/>
                <w:szCs w:val="20"/>
                <w14:textFill>
                  <w14:solidFill>
                    <w14:schemeClr w14:val="tx1"/>
                  </w14:solidFill>
                </w14:textFill>
              </w:rPr>
              <w:t>投标人信用承诺</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五</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投标业绩</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六</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拟投标本项目的人员情况</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七</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服务方案</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八</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有关证明文件</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九</w:t>
            </w:r>
          </w:p>
        </w:tc>
        <w:tc>
          <w:tcPr>
            <w:tcW w:w="5376" w:type="dxa"/>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投标授权书</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投标人认为需提供的其他资料</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b/>
                <w:color w:val="000000" w:themeColor="text1"/>
                <w:sz w:val="28"/>
                <w14:textFill>
                  <w14:solidFill>
                    <w14:schemeClr w14:val="tx1"/>
                  </w14:solidFill>
                </w14:textFill>
              </w:rPr>
            </w:pPr>
          </w:p>
        </w:tc>
      </w:tr>
    </w:tbl>
    <w:p>
      <w:pPr>
        <w:rPr>
          <w:color w:val="000000" w:themeColor="text1"/>
          <w14:textFill>
            <w14:solidFill>
              <w14:schemeClr w14:val="tx1"/>
            </w14:solidFill>
          </w14:textFill>
        </w:rPr>
      </w:pPr>
      <w:bookmarkStart w:id="56" w:name="_Toc197934561"/>
      <w:bookmarkStart w:id="57" w:name="_Toc471736407"/>
    </w:p>
    <w:p>
      <w:pPr>
        <w:keepNext w:val="0"/>
        <w:keepLines w:val="0"/>
        <w:spacing w:before="0" w:after="0" w:line="240" w:lineRule="auto"/>
        <w:jc w:val="left"/>
        <w:outlineLvl w:val="9"/>
        <w:rPr>
          <w:rFonts w:ascii="宋体" w:hAnsi="宋体"/>
          <w:b/>
          <w:bCs/>
          <w:color w:val="000000" w:themeColor="text1"/>
          <w:sz w:val="28"/>
          <w:szCs w:val="32"/>
          <w14:textFill>
            <w14:solidFill>
              <w14:schemeClr w14:val="tx1"/>
            </w14:solidFill>
          </w14:textFill>
        </w:rPr>
      </w:pPr>
      <w:bookmarkStart w:id="58" w:name="_Toc471736410"/>
      <w:bookmarkStart w:id="59" w:name="_Toc38783647"/>
      <w:bookmarkStart w:id="60" w:name="_Toc516969098"/>
      <w:r>
        <w:rPr>
          <w:rFonts w:ascii="宋体" w:hAnsi="宋体"/>
          <w:b/>
          <w:bCs/>
          <w:color w:val="000000" w:themeColor="text1"/>
          <w:sz w:val="28"/>
          <w:szCs w:val="32"/>
          <w14:textFill>
            <w14:solidFill>
              <w14:schemeClr w14:val="tx1"/>
            </w14:solidFill>
          </w14:textFill>
        </w:rPr>
        <w:br w:type="page"/>
      </w:r>
    </w:p>
    <w:p>
      <w:pPr>
        <w:rPr>
          <w:color w:val="000000" w:themeColor="text1"/>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1" w:name="_Toc26843"/>
      <w:r>
        <w:rPr>
          <w:rFonts w:hint="eastAsia" w:ascii="宋体" w:hAnsi="宋体"/>
          <w:b/>
          <w:bCs/>
          <w:color w:val="000000" w:themeColor="text1"/>
          <w:sz w:val="28"/>
          <w:szCs w:val="32"/>
          <w14:textFill>
            <w14:solidFill>
              <w14:schemeClr w14:val="tx1"/>
            </w14:solidFill>
          </w14:textFill>
        </w:rPr>
        <w:t>一．投标函</w:t>
      </w:r>
      <w:bookmarkEnd w:id="58"/>
      <w:bookmarkEnd w:id="59"/>
      <w:bookmarkEnd w:id="60"/>
      <w:bookmarkEnd w:id="61"/>
    </w:p>
    <w:p>
      <w:pPr>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致：合肥文旅博览集团有限公司</w:t>
      </w:r>
    </w:p>
    <w:p>
      <w:pPr>
        <w:spacing w:line="480" w:lineRule="exact"/>
        <w:ind w:left="101" w:leftChars="48" w:firstLine="480" w:firstLineChars="200"/>
        <w:jc w:val="left"/>
        <w:rPr>
          <w:rFonts w:ascii="宋体" w:hAnsi="宋体"/>
          <w:dstrike/>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根据贵方“</w:t>
      </w:r>
      <w:r>
        <w:rPr>
          <w:rFonts w:hint="eastAsia" w:ascii="宋体" w:hAnsi="宋体" w:cs="宋体"/>
          <w:bCs/>
          <w:sz w:val="24"/>
          <w:u w:val="single"/>
        </w:rPr>
        <w:t>合肥文旅博览集团有限公司及子公司202</w:t>
      </w:r>
      <w:r>
        <w:rPr>
          <w:rFonts w:hint="eastAsia" w:ascii="宋体" w:hAnsi="宋体" w:cs="宋体"/>
          <w:bCs/>
          <w:sz w:val="24"/>
          <w:u w:val="single"/>
          <w:lang w:val="en-US" w:eastAsia="zh-CN"/>
        </w:rPr>
        <w:t>4</w:t>
      </w:r>
      <w:r>
        <w:rPr>
          <w:rFonts w:hint="eastAsia" w:ascii="宋体" w:hAnsi="宋体" w:cs="宋体"/>
          <w:bCs/>
          <w:sz w:val="24"/>
          <w:u w:val="single"/>
        </w:rPr>
        <w:t>年度</w:t>
      </w:r>
      <w:r>
        <w:rPr>
          <w:rFonts w:hint="eastAsia" w:ascii="宋体" w:hAnsi="宋体" w:cs="宋体"/>
          <w:bCs/>
          <w:sz w:val="24"/>
          <w:u w:val="single"/>
          <w:lang w:val="en-US" w:eastAsia="zh-CN"/>
        </w:rPr>
        <w:t>电力</w:t>
      </w:r>
      <w:r>
        <w:rPr>
          <w:rFonts w:hint="eastAsia" w:ascii="宋体" w:hAnsi="宋体" w:cs="宋体"/>
          <w:bCs/>
          <w:sz w:val="24"/>
          <w:u w:val="single"/>
        </w:rPr>
        <w:t>常规中长期交易</w:t>
      </w:r>
      <w:r>
        <w:rPr>
          <w:rFonts w:hint="eastAsia" w:ascii="宋体" w:hAnsi="宋体" w:cs="宋体"/>
          <w:b w:val="0"/>
          <w:bCs/>
          <w:color w:val="auto"/>
          <w:sz w:val="24"/>
          <w:szCs w:val="22"/>
          <w:u w:val="single"/>
        </w:rPr>
        <w:t>项目</w:t>
      </w:r>
      <w:r>
        <w:rPr>
          <w:rFonts w:hint="eastAsia" w:ascii="宋体" w:hAnsi="宋体"/>
          <w:color w:val="000000" w:themeColor="text1"/>
          <w:sz w:val="24"/>
          <w14:textFill>
            <w14:solidFill>
              <w14:schemeClr w14:val="tx1"/>
            </w14:solidFill>
          </w14:textFill>
        </w:rPr>
        <w:t>”的第</w:t>
      </w:r>
      <w:r>
        <w:rPr>
          <w:rFonts w:hint="eastAsia" w:ascii="宋体" w:hAnsi="宋体"/>
          <w:b/>
          <w:color w:val="000000" w:themeColor="text1"/>
          <w:sz w:val="24"/>
          <w:u w:val="single"/>
          <w14:textFill>
            <w14:solidFill>
              <w14:schemeClr w14:val="tx1"/>
            </w14:solidFill>
          </w14:textFill>
        </w:rPr>
        <w:t>2023WLBLZB000</w:t>
      </w:r>
      <w:r>
        <w:rPr>
          <w:rFonts w:hint="eastAsia" w:ascii="宋体" w:hAnsi="宋体"/>
          <w:b/>
          <w:color w:val="000000" w:themeColor="text1"/>
          <w:sz w:val="24"/>
          <w:u w:val="single"/>
          <w:lang w:val="en-US" w:eastAsia="zh-CN"/>
          <w14:textFill>
            <w14:solidFill>
              <w14:schemeClr w14:val="tx1"/>
            </w14:solidFill>
          </w14:textFill>
        </w:rPr>
        <w:t>90</w:t>
      </w:r>
      <w:r>
        <w:rPr>
          <w:rFonts w:hint="eastAsia" w:ascii="宋体" w:hAnsi="宋体"/>
          <w:color w:val="000000" w:themeColor="text1"/>
          <w:sz w:val="24"/>
          <w14:textFill>
            <w14:solidFill>
              <w14:schemeClr w14:val="tx1"/>
            </w14:solidFill>
          </w14:textFill>
        </w:rPr>
        <w:t>号招标邀请书，正式授权</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（姓名、身份证号）代表投标人</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（投标人全称），提交规定形式的投标文件。</w:t>
      </w:r>
    </w:p>
    <w:p>
      <w:pPr>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据此函，我方兹宣布同意如下：</w:t>
      </w:r>
    </w:p>
    <w:p>
      <w:pPr>
        <w:spacing w:line="360" w:lineRule="auto"/>
        <w:ind w:firstLine="628" w:firstLineChars="26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（1）我方按招标文件规定提供服务的最终投标报价详见开标一览表，我方完全响应招标文件规定的服务期限及付款方式。如我公司中标，我公司承诺愿意按招标文件规定交纳履约保证金。</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（2）我方根据招标文件的规定，严格履行合同的责任和义务</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并保证于买方要求的日期内完成服务，并通过买方验收。</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（3）我方承诺报价低于</w:t>
      </w:r>
      <w:r>
        <w:rPr>
          <w:rFonts w:ascii="宋体" w:hAnsi="宋体"/>
          <w:color w:val="000000" w:themeColor="text1"/>
          <w:sz w:val="24"/>
          <w14:textFill>
            <w14:solidFill>
              <w14:schemeClr w14:val="tx1"/>
            </w14:solidFill>
          </w14:textFill>
        </w:rPr>
        <w:t>同类服务的市场平均价格。</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已详细审核全部招标文件，包括招标文件的答疑、澄清、变更或补充（如有）、参考资料及有关附件，我方正式认可并遵守本次招标文件，并对招标文件各项条款（包括开标时间）、规定及要求均无异议。我方知道必须放弃提出含糊不清或误解的问题的权利。</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（5）我方同意从招标文件规定的开标日期起遵循本投标文件，并在招标文件规定的投标有效期之前均具有约束力。</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（6）我方声明投标文件所提供的一切资料均真实无误、及时、有效。企业运营正常（</w:t>
      </w:r>
      <w:r>
        <w:rPr>
          <w:rFonts w:ascii="宋体" w:hAnsi="宋体"/>
          <w:color w:val="000000" w:themeColor="text1"/>
          <w:sz w:val="24"/>
          <w14:textFill>
            <w14:solidFill>
              <w14:schemeClr w14:val="tx1"/>
            </w14:solidFill>
          </w14:textFill>
        </w:rPr>
        <w:t>注册登记信息、年报信息</w:t>
      </w:r>
      <w:r>
        <w:rPr>
          <w:rFonts w:hint="eastAsia" w:ascii="宋体" w:hAnsi="宋体"/>
          <w:color w:val="000000" w:themeColor="text1"/>
          <w:sz w:val="24"/>
          <w14:textFill>
            <w14:solidFill>
              <w14:schemeClr w14:val="tx1"/>
            </w14:solidFill>
          </w14:textFill>
        </w:rPr>
        <w:t>可查）。由于我方提供资料不实而造成的责任和后果由我方承担。我方同意按照贵方提出的要求，提供与投标有关的任何证据、数据或资料。</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（7）我方完全理解贵方不一定接受最低报价的投标。</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（8）我方承诺若中标，按招标文件要求提供本地化服务。</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（9）我方同意招标文件规定的付款方式。</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（10）与本投标有关的通讯地址：</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电话：传真：</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投标人基本账户开户名：账号：开户行：</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投标人章：日期：</w:t>
      </w:r>
    </w:p>
    <w:p>
      <w:pPr>
        <w:widowControl/>
        <w:spacing w:line="48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特此承诺</w:t>
      </w:r>
    </w:p>
    <w:p>
      <w:pPr>
        <w:widowControl/>
        <w:spacing w:line="480" w:lineRule="exact"/>
        <w:ind w:left="840" w:leftChars="400"/>
        <w:jc w:val="left"/>
        <w:rPr>
          <w:rFonts w:ascii="宋体" w:hAnsi="宋体" w:cs="宋体"/>
          <w:color w:val="000000" w:themeColor="text1"/>
          <w:kern w:val="0"/>
          <w:sz w:val="24"/>
          <w14:textFill>
            <w14:solidFill>
              <w14:schemeClr w14:val="tx1"/>
            </w14:solidFill>
          </w14:textFill>
        </w:rPr>
      </w:pP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投标人（公章）：</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企业法人（签字）：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授权代表（签字）：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年月日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pPr>
    </w:p>
    <w:bookmarkEnd w:id="56"/>
    <w:bookmarkEnd w:id="57"/>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2" w:name="_Toc471736409"/>
      <w:bookmarkStart w:id="63" w:name="_Toc516969097"/>
      <w:bookmarkStart w:id="64" w:name="_Toc12295"/>
      <w:bookmarkStart w:id="65" w:name="_Toc38783648"/>
      <w:r>
        <w:rPr>
          <w:rFonts w:hint="eastAsia" w:ascii="宋体" w:hAnsi="宋体"/>
          <w:b/>
          <w:bCs/>
          <w:color w:val="000000" w:themeColor="text1"/>
          <w:sz w:val="28"/>
          <w:szCs w:val="32"/>
          <w14:textFill>
            <w14:solidFill>
              <w14:schemeClr w14:val="tx1"/>
            </w14:solidFill>
          </w14:textFill>
        </w:rPr>
        <w:t>二．投标人情况综合简介</w:t>
      </w:r>
      <w:bookmarkEnd w:id="62"/>
      <w:bookmarkEnd w:id="63"/>
      <w:bookmarkEnd w:id="64"/>
      <w:bookmarkEnd w:id="65"/>
    </w:p>
    <w:p>
      <w:pPr>
        <w:spacing w:line="50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(投标人可自行制作格式)</w:t>
      </w: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before="120" w:beforeLines="50" w:after="120" w:afterLines="50" w:line="360" w:lineRule="auto"/>
        <w:jc w:val="left"/>
        <w:outlineLvl w:val="2"/>
        <w:rPr>
          <w:rFonts w:hint="eastAsia" w:cs="@仿宋_GB2312" w:asciiTheme="minorEastAsia" w:hAnsiTheme="minorEastAsia" w:eastAsiaTheme="minorEastAsia"/>
          <w:b/>
          <w:sz w:val="24"/>
          <w:szCs w:val="24"/>
        </w:rPr>
      </w:pPr>
      <w:bookmarkStart w:id="66" w:name="_Toc38783649"/>
      <w:r>
        <w:rPr>
          <w:rFonts w:hint="eastAsia" w:cs="@仿宋_GB2312" w:asciiTheme="minorEastAsia" w:hAnsiTheme="minorEastAsia" w:eastAsiaTheme="minorEastAsia"/>
          <w:b/>
          <w:sz w:val="24"/>
          <w:szCs w:val="24"/>
        </w:rPr>
        <w:t xml:space="preserve"> </w:t>
      </w:r>
    </w:p>
    <w:p>
      <w:pPr>
        <w:spacing w:before="0" w:beforeLines="-2147483648" w:after="0" w:afterLines="-2147483648" w:line="240" w:lineRule="auto"/>
        <w:jc w:val="left"/>
        <w:outlineLvl w:val="9"/>
        <w:rPr>
          <w:rFonts w:hint="eastAsia"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br w:type="page"/>
      </w: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7" w:name="_Toc1583"/>
      <w:bookmarkStart w:id="68" w:name="_Toc11993"/>
      <w:r>
        <w:rPr>
          <w:rFonts w:hint="eastAsia" w:cs="@仿宋_GB2312" w:asciiTheme="minorEastAsia" w:hAnsiTheme="minorEastAsia" w:eastAsiaTheme="minorEastAsia"/>
          <w:b/>
          <w:sz w:val="24"/>
          <w:szCs w:val="24"/>
        </w:rPr>
        <w:t>第一轮报价</w:t>
      </w:r>
      <w:bookmarkEnd w:id="67"/>
      <w:bookmarkEnd w:id="68"/>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bookmarkStart w:id="69" w:name="_Toc24791"/>
      <w:r>
        <w:rPr>
          <w:rFonts w:hint="eastAsia" w:ascii="宋体" w:hAnsi="宋体"/>
          <w:b/>
          <w:bCs/>
          <w:color w:val="000000" w:themeColor="text1"/>
          <w:sz w:val="28"/>
          <w:szCs w:val="32"/>
          <w14:textFill>
            <w14:solidFill>
              <w14:schemeClr w14:val="tx1"/>
            </w14:solidFill>
          </w14:textFill>
        </w:rPr>
        <w:t>三．开标一览表</w:t>
      </w:r>
      <w:bookmarkEnd w:id="66"/>
      <w:bookmarkEnd w:id="69"/>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u w:val="single"/>
        </w:rPr>
      </w:pPr>
      <w:r>
        <w:rPr>
          <w:rFonts w:hint="eastAsia" w:ascii="宋体" w:hAnsi="宋体" w:cs="宋体"/>
          <w:bCs/>
          <w:sz w:val="24"/>
        </w:rPr>
        <w:t>项目名称：</w:t>
      </w:r>
      <w:r>
        <w:rPr>
          <w:rFonts w:hint="eastAsia" w:ascii="宋体" w:hAnsi="宋体" w:cs="宋体"/>
          <w:bCs/>
          <w:sz w:val="24"/>
          <w:u w:val="single"/>
        </w:rPr>
        <w:t>合肥文旅博览集团有限公司及子公司202</w:t>
      </w:r>
      <w:r>
        <w:rPr>
          <w:rFonts w:hint="eastAsia" w:ascii="宋体" w:hAnsi="宋体" w:cs="宋体"/>
          <w:bCs/>
          <w:sz w:val="24"/>
          <w:u w:val="single"/>
          <w:lang w:val="en-US" w:eastAsia="zh-CN"/>
        </w:rPr>
        <w:t>4</w:t>
      </w:r>
      <w:r>
        <w:rPr>
          <w:rFonts w:hint="eastAsia" w:ascii="宋体" w:hAnsi="宋体" w:cs="宋体"/>
          <w:bCs/>
          <w:sz w:val="24"/>
          <w:u w:val="single"/>
        </w:rPr>
        <w:t>年度</w:t>
      </w:r>
      <w:r>
        <w:rPr>
          <w:rFonts w:hint="eastAsia" w:ascii="宋体" w:hAnsi="宋体" w:cs="宋体"/>
          <w:bCs/>
          <w:sz w:val="24"/>
          <w:u w:val="single"/>
          <w:lang w:val="en-US" w:eastAsia="zh-CN"/>
        </w:rPr>
        <w:t>电力</w:t>
      </w:r>
      <w:r>
        <w:rPr>
          <w:rFonts w:hint="eastAsia" w:ascii="宋体" w:hAnsi="宋体" w:cs="宋体"/>
          <w:bCs/>
          <w:sz w:val="24"/>
          <w:u w:val="single"/>
        </w:rPr>
        <w:t>常规中长期交易项目</w:t>
      </w:r>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u w:val="single"/>
        </w:rPr>
      </w:pPr>
      <w:r>
        <w:rPr>
          <w:rFonts w:hint="eastAsia" w:ascii="宋体" w:hAnsi="宋体" w:cs="宋体"/>
          <w:bCs/>
          <w:sz w:val="24"/>
        </w:rPr>
        <w:t>投标人名称：</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rPr>
      </w:pPr>
      <w:r>
        <w:rPr>
          <w:rFonts w:hint="eastAsia" w:ascii="宋体" w:hAnsi="宋体" w:cs="宋体"/>
          <w:bCs/>
          <w:sz w:val="24"/>
        </w:rPr>
        <w:t>报价</w:t>
      </w:r>
      <w:r>
        <w:rPr>
          <w:rFonts w:hint="eastAsia" w:ascii="宋体" w:hAnsi="宋体" w:cs="宋体"/>
          <w:bCs/>
          <w:sz w:val="24"/>
          <w:lang w:val="en-US" w:eastAsia="zh-CN"/>
        </w:rPr>
        <w:t>内容</w:t>
      </w:r>
      <w:r>
        <w:rPr>
          <w:rFonts w:hint="eastAsia" w:ascii="宋体" w:hAnsi="宋体" w:cs="宋体"/>
          <w:bCs/>
          <w:sz w:val="24"/>
        </w:rPr>
        <w:t>如下：</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bCs w:val="0"/>
          <w:sz w:val="24"/>
          <w:lang w:val="en-US" w:eastAsia="zh-CN"/>
        </w:rPr>
      </w:pPr>
      <w:r>
        <w:rPr>
          <w:rFonts w:hint="eastAsia" w:ascii="宋体" w:hAnsi="宋体" w:cs="宋体"/>
          <w:bCs/>
          <w:sz w:val="24"/>
          <w:lang w:val="en-US" w:eastAsia="zh-CN"/>
        </w:rPr>
        <w:t>一、</w:t>
      </w:r>
      <w:r>
        <w:rPr>
          <w:rFonts w:hint="eastAsia" w:ascii="宋体" w:hAnsi="宋体" w:eastAsia="宋体" w:cs="宋体"/>
          <w:b/>
          <w:bCs w:val="0"/>
          <w:sz w:val="24"/>
          <w:lang w:val="en-US" w:eastAsia="zh-CN"/>
        </w:rPr>
        <w:t>投标人代理招标人参与常规中长期交易，按以下方式确定零售套餐。</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（一）投标人代理招标人与火电企业进行常规中长期交易按照套餐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套餐一：固定价格。招标人电量中长期合约部分（火电）均按照</w:t>
      </w:r>
      <w:r>
        <w:rPr>
          <w:rFonts w:hint="eastAsia" w:ascii="宋体" w:hAnsi="宋体" w:eastAsia="宋体" w:cs="宋体"/>
          <w:b w:val="0"/>
          <w:bCs/>
          <w:sz w:val="24"/>
          <w:u w:val="single"/>
          <w:lang w:val="en-US" w:eastAsia="zh-CN"/>
        </w:rPr>
        <w:t xml:space="preserve">  a  </w:t>
      </w:r>
      <w:r>
        <w:rPr>
          <w:rFonts w:hint="eastAsia" w:ascii="宋体" w:hAnsi="宋体" w:eastAsia="宋体" w:cs="宋体"/>
          <w:b w:val="0"/>
          <w:bCs/>
          <w:sz w:val="24"/>
          <w:lang w:val="en-US" w:eastAsia="zh-CN"/>
        </w:rPr>
        <w:t>元/兆瓦时（1兆瓦时=1千千瓦时）结算。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 w:val="0"/>
          <w:bCs/>
          <w:sz w:val="24"/>
          <w:lang w:val="en-US" w:eastAsia="zh-CN"/>
        </w:rPr>
        <w:t>套餐二：比例</w:t>
      </w:r>
      <w:r>
        <w:rPr>
          <w:rFonts w:hint="eastAsia" w:ascii="宋体" w:hAnsi="宋体" w:eastAsia="宋体" w:cs="宋体"/>
          <w:bCs/>
          <w:sz w:val="24"/>
          <w:lang w:val="en-US" w:eastAsia="zh-CN"/>
        </w:rPr>
        <w:t>分成。招标人购电基准价为</w:t>
      </w:r>
      <w:r>
        <w:rPr>
          <w:rFonts w:hint="eastAsia" w:ascii="宋体" w:hAnsi="宋体" w:eastAsia="宋体" w:cs="宋体"/>
          <w:b w:val="0"/>
          <w:bCs/>
          <w:sz w:val="24"/>
          <w:u w:val="single"/>
          <w:lang w:val="en-US" w:eastAsia="zh-CN"/>
        </w:rPr>
        <w:t xml:space="preserve"> / </w:t>
      </w:r>
      <w:r>
        <w:rPr>
          <w:rFonts w:hint="eastAsia" w:ascii="宋体" w:hAnsi="宋体" w:eastAsia="宋体" w:cs="宋体"/>
          <w:bCs/>
          <w:sz w:val="24"/>
          <w:lang w:val="en-US" w:eastAsia="zh-CN"/>
        </w:rPr>
        <w:t>元/兆瓦时，招标人电量中长期合约部分（火电）结算价=招标人购电基准价+[投标人批发侧中长期合约（火电）结算均价-招标人购电基准价]×</w:t>
      </w:r>
      <w:r>
        <w:rPr>
          <w:rFonts w:hint="eastAsia" w:ascii="宋体" w:hAnsi="宋体" w:eastAsia="宋体" w:cs="宋体"/>
          <w:b w:val="0"/>
          <w:bCs/>
          <w:sz w:val="24"/>
          <w:u w:val="single"/>
          <w:lang w:val="en-US" w:eastAsia="zh-CN"/>
        </w:rPr>
        <w:t xml:space="preserve"> / </w:t>
      </w:r>
      <w:r>
        <w:rPr>
          <w:rFonts w:hint="eastAsia" w:ascii="宋体" w:hAnsi="宋体" w:eastAsia="宋体" w:cs="宋体"/>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（二）投标人代理招标人与新能源发电企业进行常规中长期交易按照套餐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套餐一：比例分成。招标人购电基准价为 </w:t>
      </w:r>
      <w:r>
        <w:rPr>
          <w:rFonts w:hint="eastAsia" w:ascii="宋体" w:hAnsi="宋体" w:eastAsia="宋体" w:cs="宋体"/>
          <w:b w:val="0"/>
          <w:bCs/>
          <w:sz w:val="24"/>
          <w:u w:val="single"/>
          <w:lang w:val="en-US" w:eastAsia="zh-CN"/>
        </w:rPr>
        <w:t xml:space="preserve">  b   </w:t>
      </w:r>
      <w:r>
        <w:rPr>
          <w:rFonts w:hint="eastAsia" w:ascii="宋体" w:hAnsi="宋体" w:eastAsia="宋体" w:cs="宋体"/>
          <w:b w:val="0"/>
          <w:bCs/>
          <w:sz w:val="24"/>
          <w:lang w:val="en-US" w:eastAsia="zh-CN"/>
        </w:rPr>
        <w:t>元/兆瓦时，招标人电量中长期合约部分（新能源）结算价=招标人购电基准价+[投标人批发侧中长期合约（新能源）结算均价-招标人购电基准价]</w:t>
      </w:r>
      <w:r>
        <w:rPr>
          <w:rFonts w:hint="default" w:ascii="宋体" w:hAnsi="宋体" w:eastAsia="宋体" w:cs="宋体"/>
          <w:b w:val="0"/>
          <w:bCs/>
          <w:sz w:val="24"/>
          <w:lang w:val="en-US" w:eastAsia="zh-CN"/>
        </w:rPr>
        <w:t>×</w:t>
      </w:r>
      <w:r>
        <w:rPr>
          <w:rFonts w:hint="eastAsia" w:ascii="宋体" w:hAnsi="宋体" w:eastAsia="宋体" w:cs="宋体"/>
          <w:b w:val="0"/>
          <w:bCs/>
          <w:sz w:val="24"/>
          <w:u w:val="single"/>
          <w:lang w:val="en-US" w:eastAsia="zh-CN"/>
        </w:rPr>
        <w:t xml:space="preserve"> 0 </w:t>
      </w:r>
      <w:r>
        <w:rPr>
          <w:rFonts w:hint="eastAsia" w:ascii="宋体" w:hAnsi="宋体" w:eastAsia="宋体" w:cs="宋体"/>
          <w:b w:val="0"/>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二、投标人代理招标人通过现货市场购（售）电量按套餐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val="0"/>
          <w:bCs/>
          <w:sz w:val="24"/>
          <w:lang w:val="en-US" w:eastAsia="zh-CN"/>
        </w:rPr>
      </w:pPr>
      <w:r>
        <w:rPr>
          <w:rFonts w:hint="eastAsia" w:ascii="宋体" w:hAnsi="宋体" w:eastAsia="宋体" w:cs="宋体"/>
          <w:b/>
          <w:bCs w:val="0"/>
          <w:sz w:val="24"/>
          <w:lang w:val="en-US" w:eastAsia="zh-CN"/>
        </w:rPr>
        <w:t>套餐一：价格传导。</w:t>
      </w:r>
      <w:r>
        <w:rPr>
          <w:rFonts w:hint="eastAsia" w:ascii="宋体" w:hAnsi="宋体" w:eastAsia="宋体" w:cs="宋体"/>
          <w:b w:val="0"/>
          <w:bCs/>
          <w:sz w:val="24"/>
          <w:lang w:val="en-US" w:eastAsia="zh-CN"/>
        </w:rPr>
        <w:t>招标人现货市场购（售）电量按照投标人现货市场批发侧购（售）电结算均价执行。</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val="0"/>
          <w:bCs/>
          <w:sz w:val="24"/>
          <w:lang w:val="en-US" w:eastAsia="zh-CN"/>
        </w:rPr>
      </w:pPr>
      <w:r>
        <w:rPr>
          <w:rFonts w:hint="eastAsia" w:ascii="宋体" w:hAnsi="宋体" w:eastAsia="宋体" w:cs="宋体"/>
          <w:b/>
          <w:bCs w:val="0"/>
          <w:sz w:val="24"/>
          <w:lang w:val="en-US" w:eastAsia="zh-CN"/>
        </w:rPr>
        <w:t>套餐二：比例分成。</w:t>
      </w:r>
      <w:r>
        <w:rPr>
          <w:rFonts w:hint="eastAsia" w:ascii="宋体" w:hAnsi="宋体" w:eastAsia="宋体" w:cs="宋体"/>
          <w:b w:val="0"/>
          <w:bCs/>
          <w:sz w:val="24"/>
          <w:lang w:val="en-US" w:eastAsia="zh-CN"/>
        </w:rPr>
        <w:t>招标人购（售）电基准价为</w:t>
      </w:r>
      <w:r>
        <w:rPr>
          <w:rFonts w:hint="eastAsia" w:ascii="宋体" w:hAnsi="宋体" w:eastAsia="宋体" w:cs="宋体"/>
          <w:b w:val="0"/>
          <w:bCs/>
          <w:sz w:val="24"/>
          <w:u w:val="single"/>
          <w:lang w:val="en-US" w:eastAsia="zh-CN"/>
        </w:rPr>
        <w:t xml:space="preserve"> / </w:t>
      </w:r>
      <w:r>
        <w:rPr>
          <w:rFonts w:hint="eastAsia" w:ascii="宋体" w:hAnsi="宋体" w:eastAsia="宋体" w:cs="宋体"/>
          <w:b w:val="0"/>
          <w:bCs/>
          <w:sz w:val="24"/>
          <w:lang w:val="en-US" w:eastAsia="zh-CN"/>
        </w:rPr>
        <w:t>元/兆瓦时，招标人现货市场购（售）电结算价=招标人购（售）电基准价+[投标人现货市场批发侧购（售）电结算均价-招标人购（售）电基准价]</w:t>
      </w:r>
      <w:r>
        <w:rPr>
          <w:rFonts w:hint="default" w:ascii="宋体" w:hAnsi="宋体" w:eastAsia="宋体" w:cs="宋体"/>
          <w:b w:val="0"/>
          <w:bCs/>
          <w:sz w:val="24"/>
          <w:lang w:val="en-US" w:eastAsia="zh-CN"/>
        </w:rPr>
        <w:t>×</w:t>
      </w:r>
      <w:r>
        <w:rPr>
          <w:rFonts w:hint="eastAsia" w:ascii="宋体" w:hAnsi="宋体" w:eastAsia="宋体" w:cs="宋体"/>
          <w:b w:val="0"/>
          <w:bCs/>
          <w:sz w:val="24"/>
          <w:u w:val="single"/>
          <w:lang w:val="en-US" w:eastAsia="zh-CN"/>
        </w:rPr>
        <w:t xml:space="preserve"> / </w:t>
      </w:r>
      <w:r>
        <w:rPr>
          <w:rFonts w:hint="eastAsia" w:ascii="宋体" w:hAnsi="宋体" w:eastAsia="宋体" w:cs="宋体"/>
          <w:b w:val="0"/>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报价内容三、招标人提供以下增值服务。</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（1）服务项目名称</w:t>
      </w:r>
      <w:r>
        <w:rPr>
          <w:rFonts w:hint="eastAsia" w:ascii="宋体" w:hAnsi="宋体" w:eastAsia="宋体" w:cs="宋体"/>
          <w:bCs/>
          <w:sz w:val="24"/>
          <w:u w:val="single"/>
          <w:lang w:val="en-US" w:eastAsia="zh-CN"/>
        </w:rPr>
        <w:t xml:space="preserve">                  </w:t>
      </w:r>
      <w:r>
        <w:rPr>
          <w:rFonts w:hint="eastAsia" w:ascii="宋体" w:hAnsi="宋体" w:eastAsia="宋体" w:cs="宋体"/>
          <w:bCs/>
          <w:sz w:val="24"/>
          <w:lang w:val="en-US" w:eastAsia="zh-CN"/>
        </w:rPr>
        <w:t>，服务内容及约定：</w:t>
      </w:r>
      <w:r>
        <w:rPr>
          <w:rFonts w:hint="eastAsia" w:ascii="宋体" w:hAnsi="宋体" w:eastAsia="宋体" w:cs="宋体"/>
          <w:bCs/>
          <w:sz w:val="24"/>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（2）服务项目名称</w:t>
      </w:r>
      <w:r>
        <w:rPr>
          <w:rFonts w:hint="eastAsia" w:ascii="宋体" w:hAnsi="宋体" w:eastAsia="宋体" w:cs="宋体"/>
          <w:bCs/>
          <w:sz w:val="24"/>
          <w:u w:val="single"/>
          <w:lang w:val="en-US" w:eastAsia="zh-CN"/>
        </w:rPr>
        <w:t xml:space="preserve">                  </w:t>
      </w:r>
      <w:r>
        <w:rPr>
          <w:rFonts w:hint="eastAsia" w:ascii="宋体" w:hAnsi="宋体" w:eastAsia="宋体" w:cs="宋体"/>
          <w:bCs/>
          <w:sz w:val="24"/>
          <w:lang w:val="en-US" w:eastAsia="zh-CN"/>
        </w:rPr>
        <w:t>，服务内容及约定：</w:t>
      </w:r>
      <w:r>
        <w:rPr>
          <w:rFonts w:hint="eastAsia" w:ascii="宋体" w:hAnsi="宋体" w:eastAsia="宋体" w:cs="宋体"/>
          <w:bCs/>
          <w:sz w:val="24"/>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pStyle w:val="2"/>
        <w:keepNext w:val="0"/>
        <w:keepLines w:val="0"/>
        <w:pageBreakBefore w:val="0"/>
        <w:kinsoku/>
        <w:wordWrap/>
        <w:overflowPunct/>
        <w:topLinePunct w:val="0"/>
        <w:autoSpaceDE/>
        <w:autoSpaceDN/>
        <w:bidi w:val="0"/>
        <w:adjustRightInd/>
        <w:snapToGrid/>
        <w:spacing w:line="340" w:lineRule="exact"/>
        <w:textAlignment w:val="auto"/>
        <w:rPr>
          <w:rFonts w:hint="default"/>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cs="宋体"/>
          <w:b/>
          <w:color w:val="000000"/>
          <w:sz w:val="24"/>
          <w:szCs w:val="22"/>
        </w:rPr>
      </w:pPr>
      <w:r>
        <w:rPr>
          <w:rFonts w:hint="eastAsia" w:ascii="宋体" w:hAnsi="宋体" w:cs="宋体"/>
          <w:b/>
          <w:color w:val="000000"/>
          <w:sz w:val="24"/>
          <w:szCs w:val="22"/>
        </w:rPr>
        <w:t>备注：</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1、</w:t>
      </w:r>
      <w:r>
        <w:rPr>
          <w:rFonts w:hint="eastAsia" w:ascii="宋体" w:hAnsi="宋体" w:eastAsia="宋体" w:cs="宋体"/>
          <w:b/>
          <w:bCs w:val="0"/>
          <w:sz w:val="24"/>
          <w:lang w:val="en-US" w:eastAsia="zh-CN"/>
        </w:rPr>
        <w:t>招标人常规中长期交易、现货市场购(售)电量均采用套餐一方式。</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Times New Roman" w:hAnsi="Times New Roman" w:eastAsia="宋体" w:cs="Times New Roman"/>
          <w:sz w:val="28"/>
          <w:szCs w:val="28"/>
          <w:lang w:val="en-US" w:eastAsia="zh-CN"/>
        </w:rPr>
      </w:pPr>
      <w:r>
        <w:rPr>
          <w:rFonts w:hint="eastAsia" w:ascii="宋体" w:hAnsi="宋体" w:eastAsia="宋体" w:cs="宋体"/>
          <w:b/>
          <w:bCs w:val="0"/>
          <w:sz w:val="24"/>
          <w:lang w:val="en-US" w:eastAsia="zh-CN"/>
        </w:rPr>
        <w:t>2、投标人承诺招标人有不低于90%的实际交易电量通过常规中长期交易结算，不高于10%的实际交易电量通过现货市场购(售)电结算</w:t>
      </w:r>
      <w:r>
        <w:rPr>
          <w:rFonts w:hint="eastAsia" w:ascii="Times New Roman" w:hAnsi="Times New Roman" w:eastAsia="宋体" w:cs="Times New Roman"/>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3、投标人仅需对“a”、“b”进行报价，且“a=b”；</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4</w:t>
      </w:r>
      <w:r>
        <w:rPr>
          <w:rFonts w:hint="eastAsia" w:ascii="宋体" w:hAnsi="宋体" w:cs="宋体"/>
          <w:bCs/>
          <w:sz w:val="24"/>
        </w:rPr>
        <w:t>.以上报价应以</w:t>
      </w:r>
      <w:r>
        <w:rPr>
          <w:rFonts w:hint="eastAsia" w:ascii="宋体" w:hAnsi="宋体" w:cs="宋体"/>
          <w:b/>
          <w:bCs w:val="0"/>
          <w:sz w:val="24"/>
        </w:rPr>
        <w:t>小写填写</w:t>
      </w:r>
      <w:r>
        <w:rPr>
          <w:rFonts w:hint="eastAsia" w:ascii="宋体" w:hAnsi="宋体" w:cs="宋体"/>
          <w:b/>
          <w:bCs w:val="0"/>
          <w:sz w:val="24"/>
          <w:lang w:eastAsia="zh-CN"/>
        </w:rPr>
        <w:t>，</w:t>
      </w:r>
      <w:r>
        <w:rPr>
          <w:rFonts w:hint="eastAsia" w:ascii="宋体" w:hAnsi="宋体" w:cs="宋体"/>
          <w:b/>
          <w:bCs w:val="0"/>
          <w:sz w:val="24"/>
          <w:lang w:val="en-US" w:eastAsia="zh-CN"/>
        </w:rPr>
        <w:t>且</w:t>
      </w:r>
      <w:r>
        <w:rPr>
          <w:rFonts w:hint="eastAsia" w:ascii="宋体" w:hAnsi="宋体" w:cs="宋体"/>
          <w:b/>
          <w:bCs w:val="0"/>
          <w:sz w:val="24"/>
        </w:rPr>
        <w:t>保留两位小数，</w:t>
      </w:r>
      <w:r>
        <w:rPr>
          <w:rFonts w:hint="eastAsia" w:ascii="宋体" w:hAnsi="宋体" w:cs="宋体"/>
          <w:bCs/>
          <w:sz w:val="24"/>
        </w:rPr>
        <w:t>含增值税13%</w:t>
      </w:r>
      <w:r>
        <w:rPr>
          <w:rFonts w:hint="eastAsia" w:ascii="宋体" w:hAnsi="宋体" w:cs="宋体"/>
          <w:bCs/>
          <w:sz w:val="24"/>
          <w:lang w:eastAsia="zh-CN"/>
        </w:rPr>
        <w:t>；</w:t>
      </w:r>
      <w:r>
        <w:rPr>
          <w:rFonts w:hint="eastAsia" w:ascii="宋体" w:hAnsi="宋体" w:cs="宋体"/>
          <w:bCs/>
          <w:sz w:val="24"/>
        </w:rPr>
        <w:t>单位：人民币元。后续如遇国家税务政策变化，以政策要求做相应的价格调整；</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5</w:t>
      </w:r>
      <w:r>
        <w:rPr>
          <w:rFonts w:hint="eastAsia" w:ascii="宋体" w:hAnsi="宋体" w:eastAsia="宋体" w:cs="宋体"/>
          <w:bCs/>
          <w:sz w:val="24"/>
        </w:rPr>
        <w:t>.实际交易交易电量根据招标人实际需求最终确定，投标人对此已知悉；</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eastAsia="宋体" w:cs="宋体"/>
          <w:bCs/>
          <w:sz w:val="24"/>
          <w:lang w:val="en-US" w:eastAsia="zh-CN"/>
        </w:rPr>
        <w:t>6</w:t>
      </w:r>
      <w:r>
        <w:rPr>
          <w:rFonts w:hint="eastAsia" w:ascii="宋体" w:hAnsi="宋体" w:eastAsia="宋体" w:cs="宋体"/>
          <w:bCs/>
          <w:sz w:val="24"/>
        </w:rPr>
        <w:t>.以上报价仅为市</w:t>
      </w:r>
      <w:r>
        <w:rPr>
          <w:rFonts w:hint="eastAsia" w:ascii="宋体" w:hAnsi="宋体" w:cs="宋体"/>
          <w:bCs/>
          <w:sz w:val="24"/>
        </w:rPr>
        <w:t>场化交易价格，不含上网环节线损费用、输配电费、系统运行费用、政府性基金及附加等；</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7</w:t>
      </w:r>
      <w:r>
        <w:rPr>
          <w:rFonts w:hint="eastAsia" w:ascii="宋体" w:hAnsi="宋体" w:cs="宋体"/>
          <w:bCs/>
          <w:sz w:val="24"/>
        </w:rPr>
        <w:t>.后续任何归属电力用户侧的政策性让利全部归</w:t>
      </w:r>
      <w:r>
        <w:rPr>
          <w:rFonts w:hint="eastAsia" w:ascii="宋体" w:hAnsi="宋体" w:cs="宋体"/>
          <w:bCs/>
          <w:sz w:val="24"/>
          <w:lang w:val="en-US" w:eastAsia="zh-CN"/>
        </w:rPr>
        <w:t>招标人</w:t>
      </w:r>
      <w:r>
        <w:rPr>
          <w:rFonts w:hint="eastAsia" w:ascii="宋体" w:hAnsi="宋体" w:cs="宋体"/>
          <w:bCs/>
          <w:sz w:val="24"/>
        </w:rPr>
        <w:t>所有，包括但不限于发电侧、输配电价（线损）、政府性基金及附加让利；</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8</w:t>
      </w:r>
      <w:r>
        <w:rPr>
          <w:rFonts w:hint="eastAsia" w:ascii="宋体" w:hAnsi="宋体" w:cs="宋体"/>
          <w:bCs/>
          <w:sz w:val="24"/>
        </w:rPr>
        <w:t>.报价有效期：自报价盖章之日起</w:t>
      </w:r>
      <w:r>
        <w:rPr>
          <w:rFonts w:hint="eastAsia" w:ascii="宋体" w:hAnsi="宋体" w:cs="宋体"/>
          <w:bCs/>
          <w:sz w:val="24"/>
          <w:u w:val="single"/>
          <w:lang w:val="en-US" w:eastAsia="zh-CN"/>
        </w:rPr>
        <w:t xml:space="preserve"> 30 </w:t>
      </w:r>
      <w:r>
        <w:rPr>
          <w:rFonts w:hint="eastAsia" w:ascii="宋体" w:hAnsi="宋体" w:cs="宋体"/>
          <w:bCs/>
          <w:sz w:val="24"/>
        </w:rPr>
        <w:t>天；</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9</w:t>
      </w:r>
      <w:r>
        <w:rPr>
          <w:rFonts w:hint="eastAsia" w:ascii="宋体" w:hAnsi="宋体" w:eastAsia="宋体" w:cs="宋体"/>
          <w:bCs/>
          <w:sz w:val="24"/>
        </w:rPr>
        <w:t>.按当地电力交易政策，招标人可在每月规定时间前核准调整次月的需求电量。</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10.招标人不承担偏差考核。</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11</w:t>
      </w:r>
      <w:r>
        <w:rPr>
          <w:rFonts w:hint="eastAsia" w:ascii="宋体" w:hAnsi="宋体" w:eastAsia="宋体" w:cs="宋体"/>
          <w:bCs/>
          <w:sz w:val="24"/>
        </w:rPr>
        <w:t>.招标人按照格式要求填报，高于约定的价格，无论是</w:t>
      </w:r>
      <w:r>
        <w:rPr>
          <w:rFonts w:hint="eastAsia" w:ascii="宋体" w:hAnsi="宋体" w:eastAsia="宋体" w:cs="宋体"/>
          <w:bCs/>
          <w:sz w:val="24"/>
          <w:lang w:val="en-US" w:eastAsia="zh-CN"/>
        </w:rPr>
        <w:t>采用中长期交易、现货市场等方式</w:t>
      </w:r>
      <w:r>
        <w:rPr>
          <w:rFonts w:hint="eastAsia" w:ascii="宋体" w:hAnsi="宋体" w:eastAsia="宋体" w:cs="宋体"/>
          <w:bCs/>
          <w:sz w:val="24"/>
        </w:rPr>
        <w:t>均全部由投标人</w:t>
      </w:r>
      <w:r>
        <w:rPr>
          <w:rFonts w:hint="eastAsia" w:ascii="宋体" w:hAnsi="宋体" w:eastAsia="宋体" w:cs="宋体"/>
          <w:bCs/>
          <w:sz w:val="24"/>
          <w:lang w:val="en-US" w:eastAsia="zh-CN"/>
        </w:rPr>
        <w:t>承担</w:t>
      </w:r>
      <w:r>
        <w:rPr>
          <w:rFonts w:hint="eastAsia" w:ascii="宋体" w:hAnsi="宋体" w:eastAsia="宋体" w:cs="宋体"/>
          <w:bCs/>
          <w:sz w:val="24"/>
        </w:rPr>
        <w:t>。</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12</w:t>
      </w:r>
      <w:r>
        <w:rPr>
          <w:rFonts w:hint="eastAsia" w:ascii="宋体" w:hAnsi="宋体" w:eastAsia="宋体" w:cs="宋体"/>
          <w:bCs/>
          <w:sz w:val="24"/>
        </w:rPr>
        <w:t>.投标人可根据自身实力，在</w:t>
      </w:r>
      <w:r>
        <w:rPr>
          <w:rFonts w:hint="eastAsia" w:ascii="宋体" w:hAnsi="宋体" w:eastAsia="宋体" w:cs="宋体"/>
          <w:bCs/>
          <w:sz w:val="24"/>
          <w:lang w:val="en-US" w:eastAsia="zh-CN"/>
        </w:rPr>
        <w:t>增值服务中</w:t>
      </w:r>
      <w:r>
        <w:rPr>
          <w:rFonts w:hint="eastAsia" w:ascii="宋体" w:hAnsi="宋体" w:eastAsia="宋体" w:cs="宋体"/>
          <w:bCs/>
          <w:sz w:val="24"/>
        </w:rPr>
        <w:t>进行补充。</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13.投标人承诺招标人合同期内所有电力实际购电费结算电价不高于电网企业代理的实际购电费结算电价，即招标人合同期内所有电力市场交易电价不高于电网企业代理的市场交易电价，否则由此造成的损失由投标人承担。（实际购电费结算电价需在市场化交易成交电价的基础上加上上网环节线损费用、输配电费、系统运行费用、政府性基金及附加等。）</w:t>
      </w:r>
    </w:p>
    <w:p>
      <w:pPr>
        <w:widowControl/>
        <w:spacing w:line="420" w:lineRule="exact"/>
        <w:ind w:firstLine="480" w:firstLineChars="200"/>
        <w:rPr>
          <w:rFonts w:ascii="宋体" w:hAnsi="宋体" w:cs="宋体"/>
          <w:bCs/>
          <w:sz w:val="24"/>
        </w:rPr>
      </w:pPr>
    </w:p>
    <w:p>
      <w:pPr>
        <w:pStyle w:val="2"/>
        <w:spacing w:line="420" w:lineRule="exact"/>
        <w:ind w:firstLine="480"/>
        <w:rPr>
          <w:rFonts w:hint="eastAsia"/>
        </w:rPr>
      </w:pPr>
    </w:p>
    <w:p>
      <w:pPr>
        <w:wordWrap w:val="0"/>
        <w:spacing w:line="420" w:lineRule="exact"/>
        <w:ind w:firstLine="482" w:firstLineChars="200"/>
        <w:jc w:val="right"/>
        <w:rPr>
          <w:rFonts w:ascii="宋体" w:hAnsi="宋体" w:cs="宋体"/>
          <w:b/>
          <w:color w:val="000000"/>
          <w:sz w:val="24"/>
          <w:szCs w:val="22"/>
        </w:rPr>
      </w:pPr>
      <w:r>
        <w:rPr>
          <w:rFonts w:hint="eastAsia" w:ascii="宋体" w:hAnsi="宋体" w:cs="宋体"/>
          <w:b/>
          <w:color w:val="000000"/>
          <w:sz w:val="24"/>
          <w:szCs w:val="22"/>
        </w:rPr>
        <w:t xml:space="preserve">投标人(公章)：                  </w:t>
      </w:r>
    </w:p>
    <w:p>
      <w:pPr>
        <w:pStyle w:val="2"/>
        <w:wordWrap w:val="0"/>
        <w:spacing w:after="0" w:line="420" w:lineRule="exact"/>
        <w:ind w:left="0" w:leftChars="0" w:firstLine="482"/>
        <w:jc w:val="right"/>
        <w:rPr>
          <w:rFonts w:hint="eastAsia" w:ascii="宋体" w:hAnsi="宋体" w:cs="宋体"/>
          <w:b/>
          <w:color w:val="000000"/>
          <w:szCs w:val="22"/>
        </w:rPr>
      </w:pPr>
      <w:r>
        <w:rPr>
          <w:rFonts w:hint="eastAsia" w:ascii="宋体" w:hAnsi="宋体" w:cs="宋体"/>
          <w:b/>
          <w:color w:val="000000"/>
          <w:szCs w:val="22"/>
        </w:rPr>
        <w:t xml:space="preserve">日期：                  </w:t>
      </w:r>
    </w:p>
    <w:p>
      <w:pPr>
        <w:wordWrap w:val="0"/>
        <w:spacing w:after="0" w:line="420" w:lineRule="exact"/>
        <w:ind w:left="0" w:leftChars="0" w:firstLine="482"/>
        <w:jc w:val="right"/>
        <w:rPr>
          <w:rFonts w:hint="eastAsia" w:ascii="宋体" w:hAnsi="宋体" w:cs="宋体"/>
          <w:b/>
          <w:color w:val="000000"/>
          <w:szCs w:val="22"/>
        </w:rPr>
      </w:pPr>
      <w:r>
        <w:rPr>
          <w:rFonts w:hint="eastAsia" w:ascii="宋体" w:hAnsi="宋体" w:cs="宋体"/>
          <w:b/>
          <w:color w:val="000000"/>
          <w:szCs w:val="22"/>
        </w:rPr>
        <w:br w:type="page"/>
      </w:r>
    </w:p>
    <w:p>
      <w:pPr>
        <w:rPr>
          <w:rFonts w:hint="eastAsia"/>
        </w:rPr>
        <w:sectPr>
          <w:pgSz w:w="11906" w:h="16838"/>
          <w:pgMar w:top="1440" w:right="1797" w:bottom="1440" w:left="1077" w:header="851" w:footer="992" w:gutter="0"/>
          <w:cols w:space="720" w:num="1"/>
          <w:docGrid w:type="lines" w:linePitch="312" w:charSpace="0"/>
        </w:sectPr>
      </w:pPr>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bookmarkStart w:id="70" w:name="_Toc32049"/>
      <w:bookmarkStart w:id="71" w:name="_Toc3131"/>
      <w:bookmarkStart w:id="72" w:name="_Toc29288"/>
      <w:bookmarkStart w:id="73" w:name="_Toc471736413"/>
      <w:bookmarkStart w:id="74" w:name="_Toc528276345"/>
      <w:bookmarkStart w:id="75" w:name="_Toc20723"/>
      <w:bookmarkStart w:id="76" w:name="_Toc36563030"/>
      <w:bookmarkStart w:id="77" w:name="_Toc536542358"/>
      <w:bookmarkStart w:id="78" w:name="_Toc27108"/>
      <w:bookmarkStart w:id="79" w:name="_Toc220232409"/>
      <w:r>
        <w:rPr>
          <w:rFonts w:hint="eastAsia" w:ascii="宋体" w:hAnsi="宋体"/>
          <w:b/>
          <w:bCs/>
          <w:color w:val="000000" w:themeColor="text1"/>
          <w:sz w:val="28"/>
          <w:szCs w:val="32"/>
          <w14:textFill>
            <w14:solidFill>
              <w14:schemeClr w14:val="tx1"/>
            </w14:solidFill>
          </w14:textFill>
        </w:rPr>
        <w:t>第二轮报价表（最终报价）</w:t>
      </w:r>
      <w:bookmarkEnd w:id="70"/>
      <w:bookmarkEnd w:id="71"/>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u w:val="single"/>
        </w:rPr>
      </w:pPr>
      <w:r>
        <w:rPr>
          <w:rFonts w:hint="eastAsia" w:ascii="宋体" w:hAnsi="宋体" w:cs="宋体"/>
          <w:bCs/>
          <w:sz w:val="24"/>
        </w:rPr>
        <w:t>项目名称：</w:t>
      </w:r>
      <w:r>
        <w:rPr>
          <w:rFonts w:hint="eastAsia" w:ascii="宋体" w:hAnsi="宋体" w:cs="宋体"/>
          <w:bCs/>
          <w:sz w:val="24"/>
          <w:u w:val="single"/>
        </w:rPr>
        <w:t>合肥文旅博览集团有限公司及子公司202</w:t>
      </w:r>
      <w:r>
        <w:rPr>
          <w:rFonts w:hint="eastAsia" w:ascii="宋体" w:hAnsi="宋体" w:cs="宋体"/>
          <w:bCs/>
          <w:sz w:val="24"/>
          <w:u w:val="single"/>
          <w:lang w:val="en-US" w:eastAsia="zh-CN"/>
        </w:rPr>
        <w:t>4</w:t>
      </w:r>
      <w:r>
        <w:rPr>
          <w:rFonts w:hint="eastAsia" w:ascii="宋体" w:hAnsi="宋体" w:cs="宋体"/>
          <w:bCs/>
          <w:sz w:val="24"/>
          <w:u w:val="single"/>
        </w:rPr>
        <w:t>年度</w:t>
      </w:r>
      <w:r>
        <w:rPr>
          <w:rFonts w:hint="eastAsia" w:ascii="宋体" w:hAnsi="宋体" w:cs="宋体"/>
          <w:bCs/>
          <w:sz w:val="24"/>
          <w:u w:val="single"/>
          <w:lang w:val="en-US" w:eastAsia="zh-CN"/>
        </w:rPr>
        <w:t>电力</w:t>
      </w:r>
      <w:r>
        <w:rPr>
          <w:rFonts w:hint="eastAsia" w:ascii="宋体" w:hAnsi="宋体" w:cs="宋体"/>
          <w:bCs/>
          <w:sz w:val="24"/>
          <w:u w:val="single"/>
        </w:rPr>
        <w:t>常规中长期交易项目</w:t>
      </w:r>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u w:val="single"/>
        </w:rPr>
      </w:pPr>
      <w:r>
        <w:rPr>
          <w:rFonts w:hint="eastAsia" w:ascii="宋体" w:hAnsi="宋体" w:cs="宋体"/>
          <w:bCs/>
          <w:sz w:val="24"/>
        </w:rPr>
        <w:t>投标人名称：</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p>
    <w:p>
      <w:pPr>
        <w:keepNext w:val="0"/>
        <w:keepLines w:val="0"/>
        <w:pageBreakBefore w:val="0"/>
        <w:tabs>
          <w:tab w:val="left" w:pos="0"/>
        </w:tabs>
        <w:kinsoku/>
        <w:wordWrap/>
        <w:overflowPunct/>
        <w:topLinePunct w:val="0"/>
        <w:autoSpaceDE/>
        <w:autoSpaceDN/>
        <w:bidi w:val="0"/>
        <w:adjustRightInd/>
        <w:snapToGrid/>
        <w:spacing w:line="340" w:lineRule="exact"/>
        <w:textAlignment w:val="auto"/>
        <w:rPr>
          <w:rFonts w:hint="eastAsia" w:ascii="宋体" w:hAnsi="宋体" w:cs="宋体"/>
          <w:bCs/>
          <w:sz w:val="24"/>
        </w:rPr>
      </w:pPr>
      <w:r>
        <w:rPr>
          <w:rFonts w:hint="eastAsia" w:ascii="宋体" w:hAnsi="宋体" w:cs="宋体"/>
          <w:bCs/>
          <w:sz w:val="24"/>
        </w:rPr>
        <w:t>报价</w:t>
      </w:r>
      <w:r>
        <w:rPr>
          <w:rFonts w:hint="eastAsia" w:ascii="宋体" w:hAnsi="宋体" w:cs="宋体"/>
          <w:bCs/>
          <w:sz w:val="24"/>
          <w:lang w:val="en-US" w:eastAsia="zh-CN"/>
        </w:rPr>
        <w:t>内容</w:t>
      </w:r>
      <w:r>
        <w:rPr>
          <w:rFonts w:hint="eastAsia" w:ascii="宋体" w:hAnsi="宋体" w:cs="宋体"/>
          <w:bCs/>
          <w:sz w:val="24"/>
        </w:rPr>
        <w:t>如下：</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bCs w:val="0"/>
          <w:sz w:val="24"/>
          <w:lang w:val="en-US" w:eastAsia="zh-CN"/>
        </w:rPr>
      </w:pPr>
      <w:r>
        <w:rPr>
          <w:rFonts w:hint="eastAsia" w:ascii="宋体" w:hAnsi="宋体" w:cs="宋体"/>
          <w:bCs/>
          <w:sz w:val="24"/>
          <w:lang w:val="en-US" w:eastAsia="zh-CN"/>
        </w:rPr>
        <w:t>一、</w:t>
      </w:r>
      <w:r>
        <w:rPr>
          <w:rFonts w:hint="eastAsia" w:ascii="宋体" w:hAnsi="宋体" w:eastAsia="宋体" w:cs="宋体"/>
          <w:b/>
          <w:bCs w:val="0"/>
          <w:sz w:val="24"/>
          <w:lang w:val="en-US" w:eastAsia="zh-CN"/>
        </w:rPr>
        <w:t>投标人代理招标人参与常规中长期交易，按以下方式确定零售套餐。</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（一）投标人代理招标人与火电企业进行常规中长期交易按照套餐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套餐一：固定价格。招标人电量中长期合约部分（火电）均按照</w:t>
      </w:r>
      <w:r>
        <w:rPr>
          <w:rFonts w:hint="eastAsia" w:ascii="宋体" w:hAnsi="宋体" w:eastAsia="宋体" w:cs="宋体"/>
          <w:b w:val="0"/>
          <w:bCs/>
          <w:sz w:val="24"/>
          <w:u w:val="single"/>
          <w:lang w:val="en-US" w:eastAsia="zh-CN"/>
        </w:rPr>
        <w:t xml:space="preserve">  a  </w:t>
      </w:r>
      <w:r>
        <w:rPr>
          <w:rFonts w:hint="eastAsia" w:ascii="宋体" w:hAnsi="宋体" w:eastAsia="宋体" w:cs="宋体"/>
          <w:b w:val="0"/>
          <w:bCs/>
          <w:sz w:val="24"/>
          <w:lang w:val="en-US" w:eastAsia="zh-CN"/>
        </w:rPr>
        <w:t>元/兆瓦时（1兆瓦时=1千千瓦时）结算。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 w:val="0"/>
          <w:bCs/>
          <w:sz w:val="24"/>
          <w:lang w:val="en-US" w:eastAsia="zh-CN"/>
        </w:rPr>
        <w:t>套餐二：比例</w:t>
      </w:r>
      <w:r>
        <w:rPr>
          <w:rFonts w:hint="eastAsia" w:ascii="宋体" w:hAnsi="宋体" w:eastAsia="宋体" w:cs="宋体"/>
          <w:bCs/>
          <w:sz w:val="24"/>
          <w:lang w:val="en-US" w:eastAsia="zh-CN"/>
        </w:rPr>
        <w:t>分成。招标人购电基准价为</w:t>
      </w:r>
      <w:r>
        <w:rPr>
          <w:rFonts w:hint="eastAsia" w:ascii="宋体" w:hAnsi="宋体" w:eastAsia="宋体" w:cs="宋体"/>
          <w:b w:val="0"/>
          <w:bCs/>
          <w:sz w:val="24"/>
          <w:u w:val="single"/>
          <w:lang w:val="en-US" w:eastAsia="zh-CN"/>
        </w:rPr>
        <w:t xml:space="preserve"> / </w:t>
      </w:r>
      <w:r>
        <w:rPr>
          <w:rFonts w:hint="eastAsia" w:ascii="宋体" w:hAnsi="宋体" w:eastAsia="宋体" w:cs="宋体"/>
          <w:bCs/>
          <w:sz w:val="24"/>
          <w:lang w:val="en-US" w:eastAsia="zh-CN"/>
        </w:rPr>
        <w:t>元/兆瓦时，招标人电量中长期合约部分（火电）结算价=招标人购电基准价+[投标人批发侧中长期合约（火电）结算均价-招标人购电基准价]×</w:t>
      </w:r>
      <w:r>
        <w:rPr>
          <w:rFonts w:hint="eastAsia" w:ascii="宋体" w:hAnsi="宋体" w:eastAsia="宋体" w:cs="宋体"/>
          <w:b w:val="0"/>
          <w:bCs/>
          <w:sz w:val="24"/>
          <w:u w:val="single"/>
          <w:lang w:val="en-US" w:eastAsia="zh-CN"/>
        </w:rPr>
        <w:t xml:space="preserve"> / </w:t>
      </w:r>
      <w:r>
        <w:rPr>
          <w:rFonts w:hint="eastAsia" w:ascii="宋体" w:hAnsi="宋体" w:eastAsia="宋体" w:cs="宋体"/>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（二）投标人代理招标人与新能源发电企业进行常规中长期交易按照套餐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套餐一：比例分成。招标人购电基准价为 </w:t>
      </w:r>
      <w:r>
        <w:rPr>
          <w:rFonts w:hint="eastAsia" w:ascii="宋体" w:hAnsi="宋体" w:eastAsia="宋体" w:cs="宋体"/>
          <w:b w:val="0"/>
          <w:bCs/>
          <w:sz w:val="24"/>
          <w:u w:val="single"/>
          <w:lang w:val="en-US" w:eastAsia="zh-CN"/>
        </w:rPr>
        <w:t xml:space="preserve">  b   </w:t>
      </w:r>
      <w:r>
        <w:rPr>
          <w:rFonts w:hint="eastAsia" w:ascii="宋体" w:hAnsi="宋体" w:eastAsia="宋体" w:cs="宋体"/>
          <w:b w:val="0"/>
          <w:bCs/>
          <w:sz w:val="24"/>
          <w:lang w:val="en-US" w:eastAsia="zh-CN"/>
        </w:rPr>
        <w:t>元/兆瓦时，招标人电量中长期合约部分（新能源）结算价=招标人购电基准价+[投标人批发侧中长期合约（新能源）结算均价-招标人购电基准价]</w:t>
      </w:r>
      <w:r>
        <w:rPr>
          <w:rFonts w:hint="default" w:ascii="宋体" w:hAnsi="宋体" w:eastAsia="宋体" w:cs="宋体"/>
          <w:b w:val="0"/>
          <w:bCs/>
          <w:sz w:val="24"/>
          <w:lang w:val="en-US" w:eastAsia="zh-CN"/>
        </w:rPr>
        <w:t>×</w:t>
      </w:r>
      <w:r>
        <w:rPr>
          <w:rFonts w:hint="eastAsia" w:ascii="宋体" w:hAnsi="宋体" w:eastAsia="宋体" w:cs="宋体"/>
          <w:b w:val="0"/>
          <w:bCs/>
          <w:sz w:val="24"/>
          <w:u w:val="single"/>
          <w:lang w:val="en-US" w:eastAsia="zh-CN"/>
        </w:rPr>
        <w:t xml:space="preserve"> 0 </w:t>
      </w:r>
      <w:r>
        <w:rPr>
          <w:rFonts w:hint="eastAsia" w:ascii="宋体" w:hAnsi="宋体" w:eastAsia="宋体" w:cs="宋体"/>
          <w:b w:val="0"/>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二、投标人代理招标人通过现货市场购（售）电量按套餐</w:t>
      </w:r>
      <w:r>
        <w:rPr>
          <w:rFonts w:hint="eastAsia" w:ascii="宋体" w:hAnsi="宋体" w:eastAsia="宋体" w:cs="宋体"/>
          <w:b/>
          <w:bCs w:val="0"/>
          <w:sz w:val="24"/>
          <w:u w:val="single"/>
          <w:lang w:val="en-US" w:eastAsia="zh-CN"/>
        </w:rPr>
        <w:t xml:space="preserve"> 一 </w:t>
      </w:r>
      <w:r>
        <w:rPr>
          <w:rFonts w:hint="eastAsia" w:ascii="宋体" w:hAnsi="宋体" w:eastAsia="宋体" w:cs="宋体"/>
          <w:b/>
          <w:bCs w:val="0"/>
          <w:sz w:val="24"/>
          <w:lang w:val="en-US" w:eastAsia="zh-CN"/>
        </w:rPr>
        <w:t>结算。</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val="0"/>
          <w:bCs/>
          <w:sz w:val="24"/>
          <w:lang w:val="en-US" w:eastAsia="zh-CN"/>
        </w:rPr>
      </w:pPr>
      <w:r>
        <w:rPr>
          <w:rFonts w:hint="eastAsia" w:ascii="宋体" w:hAnsi="宋体" w:eastAsia="宋体" w:cs="宋体"/>
          <w:b/>
          <w:bCs w:val="0"/>
          <w:sz w:val="24"/>
          <w:lang w:val="en-US" w:eastAsia="zh-CN"/>
        </w:rPr>
        <w:t>套餐一：价格传导。</w:t>
      </w:r>
      <w:r>
        <w:rPr>
          <w:rFonts w:hint="eastAsia" w:ascii="宋体" w:hAnsi="宋体" w:eastAsia="宋体" w:cs="宋体"/>
          <w:b w:val="0"/>
          <w:bCs/>
          <w:sz w:val="24"/>
          <w:lang w:val="en-US" w:eastAsia="zh-CN"/>
        </w:rPr>
        <w:t>招标人现货市场购（售）电量按照投标人现货市场批发侧购（售）电结算均价执行。</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val="0"/>
          <w:bCs/>
          <w:sz w:val="24"/>
          <w:lang w:val="en-US" w:eastAsia="zh-CN"/>
        </w:rPr>
      </w:pPr>
      <w:r>
        <w:rPr>
          <w:rFonts w:hint="eastAsia" w:ascii="宋体" w:hAnsi="宋体" w:eastAsia="宋体" w:cs="宋体"/>
          <w:b/>
          <w:bCs w:val="0"/>
          <w:sz w:val="24"/>
          <w:lang w:val="en-US" w:eastAsia="zh-CN"/>
        </w:rPr>
        <w:t>套餐二：比例分成。</w:t>
      </w:r>
      <w:r>
        <w:rPr>
          <w:rFonts w:hint="eastAsia" w:ascii="宋体" w:hAnsi="宋体" w:eastAsia="宋体" w:cs="宋体"/>
          <w:b w:val="0"/>
          <w:bCs/>
          <w:sz w:val="24"/>
          <w:lang w:val="en-US" w:eastAsia="zh-CN"/>
        </w:rPr>
        <w:t>招标人购（售）电基准价为</w:t>
      </w:r>
      <w:r>
        <w:rPr>
          <w:rFonts w:hint="eastAsia" w:ascii="宋体" w:hAnsi="宋体" w:eastAsia="宋体" w:cs="宋体"/>
          <w:b w:val="0"/>
          <w:bCs/>
          <w:sz w:val="24"/>
          <w:u w:val="single"/>
          <w:lang w:val="en-US" w:eastAsia="zh-CN"/>
        </w:rPr>
        <w:t xml:space="preserve"> / </w:t>
      </w:r>
      <w:r>
        <w:rPr>
          <w:rFonts w:hint="eastAsia" w:ascii="宋体" w:hAnsi="宋体" w:eastAsia="宋体" w:cs="宋体"/>
          <w:b w:val="0"/>
          <w:bCs/>
          <w:sz w:val="24"/>
          <w:lang w:val="en-US" w:eastAsia="zh-CN"/>
        </w:rPr>
        <w:t>元/兆瓦时，招标人现货市场购（售）电结算价=招标人购（售）电基准价+[投标人现货市场批发侧购（售）电结算均价-招标人购（售）电基准价]</w:t>
      </w:r>
      <w:r>
        <w:rPr>
          <w:rFonts w:hint="default" w:ascii="宋体" w:hAnsi="宋体" w:eastAsia="宋体" w:cs="宋体"/>
          <w:b w:val="0"/>
          <w:bCs/>
          <w:sz w:val="24"/>
          <w:lang w:val="en-US" w:eastAsia="zh-CN"/>
        </w:rPr>
        <w:t>×</w:t>
      </w:r>
      <w:r>
        <w:rPr>
          <w:rFonts w:hint="eastAsia" w:ascii="宋体" w:hAnsi="宋体" w:eastAsia="宋体" w:cs="宋体"/>
          <w:b w:val="0"/>
          <w:bCs/>
          <w:sz w:val="24"/>
          <w:u w:val="single"/>
          <w:lang w:val="en-US" w:eastAsia="zh-CN"/>
        </w:rPr>
        <w:t xml:space="preserve"> / </w:t>
      </w:r>
      <w:r>
        <w:rPr>
          <w:rFonts w:hint="eastAsia" w:ascii="宋体" w:hAnsi="宋体" w:eastAsia="宋体" w:cs="宋体"/>
          <w:b w:val="0"/>
          <w:bCs/>
          <w:sz w:val="24"/>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报价内容三、招标人提供以下增值服务。</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（1）服务项目名称</w:t>
      </w:r>
      <w:r>
        <w:rPr>
          <w:rFonts w:hint="eastAsia" w:ascii="宋体" w:hAnsi="宋体" w:eastAsia="宋体" w:cs="宋体"/>
          <w:bCs/>
          <w:sz w:val="24"/>
          <w:u w:val="single"/>
          <w:lang w:val="en-US" w:eastAsia="zh-CN"/>
        </w:rPr>
        <w:t xml:space="preserve">                  </w:t>
      </w:r>
      <w:r>
        <w:rPr>
          <w:rFonts w:hint="eastAsia" w:ascii="宋体" w:hAnsi="宋体" w:eastAsia="宋体" w:cs="宋体"/>
          <w:bCs/>
          <w:sz w:val="24"/>
          <w:lang w:val="en-US" w:eastAsia="zh-CN"/>
        </w:rPr>
        <w:t>，服务内容及约定：</w:t>
      </w:r>
      <w:r>
        <w:rPr>
          <w:rFonts w:hint="eastAsia" w:ascii="宋体" w:hAnsi="宋体" w:eastAsia="宋体" w:cs="宋体"/>
          <w:bCs/>
          <w:sz w:val="24"/>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（2）服务项目名称</w:t>
      </w:r>
      <w:r>
        <w:rPr>
          <w:rFonts w:hint="eastAsia" w:ascii="宋体" w:hAnsi="宋体" w:eastAsia="宋体" w:cs="宋体"/>
          <w:bCs/>
          <w:sz w:val="24"/>
          <w:u w:val="single"/>
          <w:lang w:val="en-US" w:eastAsia="zh-CN"/>
        </w:rPr>
        <w:t xml:space="preserve">                  </w:t>
      </w:r>
      <w:r>
        <w:rPr>
          <w:rFonts w:hint="eastAsia" w:ascii="宋体" w:hAnsi="宋体" w:eastAsia="宋体" w:cs="宋体"/>
          <w:bCs/>
          <w:sz w:val="24"/>
          <w:lang w:val="en-US" w:eastAsia="zh-CN"/>
        </w:rPr>
        <w:t>，服务内容及约定：</w:t>
      </w:r>
      <w:r>
        <w:rPr>
          <w:rFonts w:hint="eastAsia" w:ascii="宋体" w:hAnsi="宋体" w:eastAsia="宋体" w:cs="宋体"/>
          <w:bCs/>
          <w:sz w:val="24"/>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cs="宋体"/>
          <w:bCs/>
          <w:sz w:val="24"/>
          <w:u w:val="single"/>
          <w:lang w:val="en-US" w:eastAsia="zh-CN"/>
        </w:rPr>
      </w:pPr>
      <w:r>
        <w:rPr>
          <w:rFonts w:hint="eastAsia" w:ascii="宋体" w:hAnsi="宋体" w:cs="宋体"/>
          <w:bCs/>
          <w:sz w:val="24"/>
          <w:u w:val="single"/>
          <w:lang w:val="en-US" w:eastAsia="zh-CN"/>
        </w:rPr>
        <w:t xml:space="preserve">                                                                           </w:t>
      </w:r>
    </w:p>
    <w:p>
      <w:pPr>
        <w:pStyle w:val="2"/>
        <w:keepNext w:val="0"/>
        <w:keepLines w:val="0"/>
        <w:pageBreakBefore w:val="0"/>
        <w:kinsoku/>
        <w:wordWrap/>
        <w:overflowPunct/>
        <w:topLinePunct w:val="0"/>
        <w:autoSpaceDE/>
        <w:autoSpaceDN/>
        <w:bidi w:val="0"/>
        <w:adjustRightInd/>
        <w:snapToGrid/>
        <w:spacing w:line="340" w:lineRule="exact"/>
        <w:textAlignment w:val="auto"/>
        <w:rPr>
          <w:rFonts w:hint="default"/>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宋体" w:hAnsi="宋体" w:cs="宋体"/>
          <w:b/>
          <w:color w:val="000000"/>
          <w:sz w:val="24"/>
          <w:szCs w:val="22"/>
        </w:rPr>
      </w:pPr>
      <w:r>
        <w:rPr>
          <w:rFonts w:hint="eastAsia" w:ascii="宋体" w:hAnsi="宋体" w:cs="宋体"/>
          <w:b/>
          <w:color w:val="000000"/>
          <w:sz w:val="24"/>
          <w:szCs w:val="22"/>
        </w:rPr>
        <w:t>备注：</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1、</w:t>
      </w:r>
      <w:r>
        <w:rPr>
          <w:rFonts w:hint="eastAsia" w:ascii="宋体" w:hAnsi="宋体" w:eastAsia="宋体" w:cs="宋体"/>
          <w:b/>
          <w:bCs w:val="0"/>
          <w:sz w:val="24"/>
          <w:lang w:val="en-US" w:eastAsia="zh-CN"/>
        </w:rPr>
        <w:t>招标人常规中长期交易、现货市场购(售)电量均采用套餐一方式。</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Times New Roman" w:hAnsi="Times New Roman" w:eastAsia="宋体" w:cs="Times New Roman"/>
          <w:sz w:val="28"/>
          <w:szCs w:val="28"/>
          <w:lang w:val="en-US" w:eastAsia="zh-CN"/>
        </w:rPr>
      </w:pPr>
      <w:r>
        <w:rPr>
          <w:rFonts w:hint="eastAsia" w:ascii="宋体" w:hAnsi="宋体" w:eastAsia="宋体" w:cs="宋体"/>
          <w:b/>
          <w:bCs w:val="0"/>
          <w:sz w:val="24"/>
          <w:lang w:val="en-US" w:eastAsia="zh-CN"/>
        </w:rPr>
        <w:t>2、投标人承诺招标人有不低于90%的实际交易电量通过常规中长期交易结算，不高于10%的实际交易电量通过现货市场购(售)电结算</w:t>
      </w:r>
      <w:r>
        <w:rPr>
          <w:rFonts w:hint="eastAsia" w:ascii="Times New Roman" w:hAnsi="Times New Roman" w:eastAsia="宋体" w:cs="Times New Roman"/>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3、投标人仅需对“a”、“b”进行报价，且“a=b”；</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4</w:t>
      </w:r>
      <w:r>
        <w:rPr>
          <w:rFonts w:hint="eastAsia" w:ascii="宋体" w:hAnsi="宋体" w:cs="宋体"/>
          <w:bCs/>
          <w:sz w:val="24"/>
        </w:rPr>
        <w:t>.以上报价应以</w:t>
      </w:r>
      <w:r>
        <w:rPr>
          <w:rFonts w:hint="eastAsia" w:ascii="宋体" w:hAnsi="宋体" w:cs="宋体"/>
          <w:b/>
          <w:bCs w:val="0"/>
          <w:sz w:val="24"/>
        </w:rPr>
        <w:t>小写填写</w:t>
      </w:r>
      <w:r>
        <w:rPr>
          <w:rFonts w:hint="eastAsia" w:ascii="宋体" w:hAnsi="宋体" w:cs="宋体"/>
          <w:b/>
          <w:bCs w:val="0"/>
          <w:sz w:val="24"/>
          <w:lang w:eastAsia="zh-CN"/>
        </w:rPr>
        <w:t>，</w:t>
      </w:r>
      <w:r>
        <w:rPr>
          <w:rFonts w:hint="eastAsia" w:ascii="宋体" w:hAnsi="宋体" w:cs="宋体"/>
          <w:b/>
          <w:bCs w:val="0"/>
          <w:sz w:val="24"/>
          <w:lang w:val="en-US" w:eastAsia="zh-CN"/>
        </w:rPr>
        <w:t>且</w:t>
      </w:r>
      <w:r>
        <w:rPr>
          <w:rFonts w:hint="eastAsia" w:ascii="宋体" w:hAnsi="宋体" w:cs="宋体"/>
          <w:b/>
          <w:bCs w:val="0"/>
          <w:sz w:val="24"/>
        </w:rPr>
        <w:t>保留两位小数，</w:t>
      </w:r>
      <w:r>
        <w:rPr>
          <w:rFonts w:hint="eastAsia" w:ascii="宋体" w:hAnsi="宋体" w:cs="宋体"/>
          <w:bCs/>
          <w:sz w:val="24"/>
        </w:rPr>
        <w:t>含增值税13%</w:t>
      </w:r>
      <w:r>
        <w:rPr>
          <w:rFonts w:hint="eastAsia" w:ascii="宋体" w:hAnsi="宋体" w:cs="宋体"/>
          <w:bCs/>
          <w:sz w:val="24"/>
          <w:lang w:eastAsia="zh-CN"/>
        </w:rPr>
        <w:t>；</w:t>
      </w:r>
      <w:r>
        <w:rPr>
          <w:rFonts w:hint="eastAsia" w:ascii="宋体" w:hAnsi="宋体" w:cs="宋体"/>
          <w:bCs/>
          <w:sz w:val="24"/>
        </w:rPr>
        <w:t>单位：人民币元。后续如遇国家税务政策变化，以政策要求做相应的价格调整；</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5</w:t>
      </w:r>
      <w:r>
        <w:rPr>
          <w:rFonts w:hint="eastAsia" w:ascii="宋体" w:hAnsi="宋体" w:eastAsia="宋体" w:cs="宋体"/>
          <w:bCs/>
          <w:sz w:val="24"/>
        </w:rPr>
        <w:t>.实际交易交易电量根据招标人实际需求最终确定，投标人对此已知悉；</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eastAsia="宋体" w:cs="宋体"/>
          <w:bCs/>
          <w:sz w:val="24"/>
          <w:lang w:val="en-US" w:eastAsia="zh-CN"/>
        </w:rPr>
        <w:t>6</w:t>
      </w:r>
      <w:r>
        <w:rPr>
          <w:rFonts w:hint="eastAsia" w:ascii="宋体" w:hAnsi="宋体" w:eastAsia="宋体" w:cs="宋体"/>
          <w:bCs/>
          <w:sz w:val="24"/>
        </w:rPr>
        <w:t>.以上报价仅为市</w:t>
      </w:r>
      <w:r>
        <w:rPr>
          <w:rFonts w:hint="eastAsia" w:ascii="宋体" w:hAnsi="宋体" w:cs="宋体"/>
          <w:bCs/>
          <w:sz w:val="24"/>
        </w:rPr>
        <w:t>场化交易价格，不含上网环节线损费用、输配电费、系统运行费用、政府性基金及附加等；</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7</w:t>
      </w:r>
      <w:r>
        <w:rPr>
          <w:rFonts w:hint="eastAsia" w:ascii="宋体" w:hAnsi="宋体" w:cs="宋体"/>
          <w:bCs/>
          <w:sz w:val="24"/>
        </w:rPr>
        <w:t>.后续任何归属电力用户侧的政策性让利全部归</w:t>
      </w:r>
      <w:r>
        <w:rPr>
          <w:rFonts w:hint="eastAsia" w:ascii="宋体" w:hAnsi="宋体" w:cs="宋体"/>
          <w:bCs/>
          <w:sz w:val="24"/>
          <w:lang w:val="en-US" w:eastAsia="zh-CN"/>
        </w:rPr>
        <w:t>招标人</w:t>
      </w:r>
      <w:r>
        <w:rPr>
          <w:rFonts w:hint="eastAsia" w:ascii="宋体" w:hAnsi="宋体" w:cs="宋体"/>
          <w:bCs/>
          <w:sz w:val="24"/>
        </w:rPr>
        <w:t>所有，包括但不限于发电侧、输配电价（线损）、政府性基金及附加让利；</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Cs/>
          <w:sz w:val="24"/>
        </w:rPr>
      </w:pPr>
      <w:r>
        <w:rPr>
          <w:rFonts w:hint="eastAsia" w:ascii="宋体" w:hAnsi="宋体" w:cs="宋体"/>
          <w:bCs/>
          <w:sz w:val="24"/>
          <w:lang w:val="en-US" w:eastAsia="zh-CN"/>
        </w:rPr>
        <w:t>8</w:t>
      </w:r>
      <w:r>
        <w:rPr>
          <w:rFonts w:hint="eastAsia" w:ascii="宋体" w:hAnsi="宋体" w:cs="宋体"/>
          <w:bCs/>
          <w:sz w:val="24"/>
        </w:rPr>
        <w:t>.报价有效期：自报价盖章之日起</w:t>
      </w:r>
      <w:r>
        <w:rPr>
          <w:rFonts w:hint="eastAsia" w:ascii="宋体" w:hAnsi="宋体" w:cs="宋体"/>
          <w:bCs/>
          <w:sz w:val="24"/>
          <w:u w:val="single"/>
          <w:lang w:val="en-US" w:eastAsia="zh-CN"/>
        </w:rPr>
        <w:t xml:space="preserve"> 30 </w:t>
      </w:r>
      <w:r>
        <w:rPr>
          <w:rFonts w:hint="eastAsia" w:ascii="宋体" w:hAnsi="宋体" w:cs="宋体"/>
          <w:bCs/>
          <w:sz w:val="24"/>
        </w:rPr>
        <w:t>天；</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9</w:t>
      </w:r>
      <w:r>
        <w:rPr>
          <w:rFonts w:hint="eastAsia" w:ascii="宋体" w:hAnsi="宋体" w:eastAsia="宋体" w:cs="宋体"/>
          <w:bCs/>
          <w:sz w:val="24"/>
        </w:rPr>
        <w:t>.按当地电力交易政策，招标人可在每月规定时间前核准调整次月的需求电量。</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10.招标人不承担偏差考核。</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11</w:t>
      </w:r>
      <w:r>
        <w:rPr>
          <w:rFonts w:hint="eastAsia" w:ascii="宋体" w:hAnsi="宋体" w:eastAsia="宋体" w:cs="宋体"/>
          <w:bCs/>
          <w:sz w:val="24"/>
        </w:rPr>
        <w:t>.招标人按照格式要求填报，高于约定的价格，无论是</w:t>
      </w:r>
      <w:r>
        <w:rPr>
          <w:rFonts w:hint="eastAsia" w:ascii="宋体" w:hAnsi="宋体" w:eastAsia="宋体" w:cs="宋体"/>
          <w:bCs/>
          <w:sz w:val="24"/>
          <w:lang w:val="en-US" w:eastAsia="zh-CN"/>
        </w:rPr>
        <w:t>采用中长期交易、现货市场等方式</w:t>
      </w:r>
      <w:r>
        <w:rPr>
          <w:rFonts w:hint="eastAsia" w:ascii="宋体" w:hAnsi="宋体" w:eastAsia="宋体" w:cs="宋体"/>
          <w:bCs/>
          <w:sz w:val="24"/>
        </w:rPr>
        <w:t>均全部由投标人</w:t>
      </w:r>
      <w:r>
        <w:rPr>
          <w:rFonts w:hint="eastAsia" w:ascii="宋体" w:hAnsi="宋体" w:eastAsia="宋体" w:cs="宋体"/>
          <w:bCs/>
          <w:sz w:val="24"/>
          <w:lang w:val="en-US" w:eastAsia="zh-CN"/>
        </w:rPr>
        <w:t>承担</w:t>
      </w:r>
      <w:r>
        <w:rPr>
          <w:rFonts w:hint="eastAsia" w:ascii="宋体" w:hAnsi="宋体" w:eastAsia="宋体" w:cs="宋体"/>
          <w:bCs/>
          <w:sz w:val="24"/>
        </w:rPr>
        <w:t>。</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12</w:t>
      </w:r>
      <w:r>
        <w:rPr>
          <w:rFonts w:hint="eastAsia" w:ascii="宋体" w:hAnsi="宋体" w:eastAsia="宋体" w:cs="宋体"/>
          <w:bCs/>
          <w:sz w:val="24"/>
        </w:rPr>
        <w:t>.投标人可根据自身实力，在</w:t>
      </w:r>
      <w:r>
        <w:rPr>
          <w:rFonts w:hint="eastAsia" w:ascii="宋体" w:hAnsi="宋体" w:eastAsia="宋体" w:cs="宋体"/>
          <w:bCs/>
          <w:sz w:val="24"/>
          <w:lang w:val="en-US" w:eastAsia="zh-CN"/>
        </w:rPr>
        <w:t>增值服务中</w:t>
      </w:r>
      <w:r>
        <w:rPr>
          <w:rFonts w:hint="eastAsia" w:ascii="宋体" w:hAnsi="宋体" w:eastAsia="宋体" w:cs="宋体"/>
          <w:bCs/>
          <w:sz w:val="24"/>
        </w:rPr>
        <w:t>进行补充。</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13.投标人承诺招标人合同期内所有电力实际购电费结算电价不高于电网企业代理的实际购电费结算电价，即招标人合同期内所有电力市场交易电价不高于电网企业代理的市场交易电价，否则由此造成的损失由投标人承担。（实际购电费结算电价需在市场化交易成交电价的基础上加上上网环节线损费用、输配电费、系统运行费用、政府性基金及附加等。）</w:t>
      </w:r>
    </w:p>
    <w:p>
      <w:pPr>
        <w:widowControl/>
        <w:spacing w:line="420" w:lineRule="exact"/>
        <w:ind w:firstLine="480" w:firstLineChars="200"/>
        <w:rPr>
          <w:rFonts w:ascii="宋体" w:hAnsi="宋体" w:cs="宋体"/>
          <w:bCs/>
          <w:sz w:val="24"/>
        </w:rPr>
      </w:pPr>
    </w:p>
    <w:p>
      <w:pPr>
        <w:pStyle w:val="2"/>
        <w:spacing w:line="420" w:lineRule="exact"/>
        <w:ind w:firstLine="480"/>
        <w:rPr>
          <w:rFonts w:hint="eastAsia"/>
        </w:rPr>
      </w:pPr>
    </w:p>
    <w:p>
      <w:pPr>
        <w:wordWrap w:val="0"/>
        <w:spacing w:line="420" w:lineRule="exact"/>
        <w:ind w:firstLine="482" w:firstLineChars="200"/>
        <w:jc w:val="right"/>
        <w:rPr>
          <w:rFonts w:ascii="宋体" w:hAnsi="宋体" w:cs="宋体"/>
          <w:b/>
          <w:color w:val="000000"/>
          <w:sz w:val="24"/>
          <w:szCs w:val="22"/>
        </w:rPr>
      </w:pPr>
      <w:r>
        <w:rPr>
          <w:rFonts w:hint="eastAsia" w:ascii="宋体" w:hAnsi="宋体" w:cs="宋体"/>
          <w:b/>
          <w:color w:val="000000"/>
          <w:sz w:val="24"/>
          <w:szCs w:val="22"/>
        </w:rPr>
        <w:t xml:space="preserve">投标人(公章)：                  </w:t>
      </w:r>
    </w:p>
    <w:p>
      <w:pPr>
        <w:pStyle w:val="2"/>
        <w:wordWrap w:val="0"/>
        <w:spacing w:after="0" w:line="420" w:lineRule="exact"/>
        <w:ind w:left="0" w:leftChars="0" w:firstLine="482"/>
        <w:jc w:val="right"/>
        <w:rPr>
          <w:rFonts w:hint="eastAsia" w:ascii="宋体" w:hAnsi="宋体" w:cs="宋体"/>
          <w:b/>
          <w:color w:val="000000"/>
          <w:szCs w:val="22"/>
        </w:rPr>
        <w:sectPr>
          <w:pgSz w:w="11906" w:h="16838"/>
          <w:pgMar w:top="1440" w:right="1797" w:bottom="1440" w:left="1077" w:header="851" w:footer="992" w:gutter="0"/>
          <w:cols w:space="720" w:num="1"/>
          <w:docGrid w:type="lines" w:linePitch="312" w:charSpace="0"/>
        </w:sectPr>
      </w:pPr>
      <w:r>
        <w:rPr>
          <w:rFonts w:hint="eastAsia" w:ascii="宋体" w:hAnsi="宋体" w:cs="宋体"/>
          <w:b/>
          <w:color w:val="000000"/>
          <w:szCs w:val="22"/>
        </w:rPr>
        <w:t xml:space="preserve">日期：                  </w:t>
      </w:r>
    </w:p>
    <w:bookmarkEnd w:id="72"/>
    <w:bookmarkEnd w:id="73"/>
    <w:bookmarkEnd w:id="74"/>
    <w:bookmarkEnd w:id="75"/>
    <w:bookmarkEnd w:id="76"/>
    <w:bookmarkEnd w:id="77"/>
    <w:bookmarkEnd w:id="78"/>
    <w:bookmarkEnd w:id="79"/>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80" w:name="_Toc38783650"/>
      <w:bookmarkStart w:id="81" w:name="_Toc471736411"/>
      <w:bookmarkStart w:id="82" w:name="_Toc461103234"/>
      <w:bookmarkStart w:id="83" w:name="_Toc8906"/>
      <w:bookmarkStart w:id="84" w:name="_Toc197934563"/>
      <w:r>
        <w:rPr>
          <w:rFonts w:hint="eastAsia" w:ascii="宋体" w:hAnsi="宋体"/>
          <w:b/>
          <w:bCs/>
          <w:color w:val="000000" w:themeColor="text1"/>
          <w:sz w:val="28"/>
          <w:szCs w:val="32"/>
          <w:lang w:val="en-US" w:eastAsia="zh-CN"/>
          <w14:textFill>
            <w14:solidFill>
              <w14:schemeClr w14:val="tx1"/>
            </w14:solidFill>
          </w14:textFill>
        </w:rPr>
        <w:t>四</w:t>
      </w:r>
      <w:r>
        <w:rPr>
          <w:rFonts w:hint="eastAsia" w:ascii="宋体" w:hAnsi="宋体"/>
          <w:b/>
          <w:bCs/>
          <w:color w:val="000000" w:themeColor="text1"/>
          <w:sz w:val="28"/>
          <w:szCs w:val="32"/>
          <w14:textFill>
            <w14:solidFill>
              <w14:schemeClr w14:val="tx1"/>
            </w14:solidFill>
          </w14:textFill>
        </w:rPr>
        <w:t>．投标人信用承诺</w:t>
      </w:r>
      <w:bookmarkEnd w:id="80"/>
      <w:bookmarkEnd w:id="81"/>
      <w:bookmarkEnd w:id="82"/>
      <w:bookmarkEnd w:id="83"/>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我公司申明，我公司无以下不良信用记录情形：</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1.公司被人民法院列入失信被执行人；</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2.公司、公司法定代表人被人民检察院列入行贿犯罪档案；</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3.公司被工商行政管理部门列入企业经营异常名录；</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4.公司被税务部门列入重大税收违法案件当事人名单的；</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参加本次投标活动前三年内，在服务活动中没有重大违法及安全事故记录</w:t>
      </w:r>
      <w:r>
        <w:rPr>
          <w:rFonts w:hint="eastAsia" w:ascii="宋体" w:hAnsi="宋体"/>
          <w:color w:val="000000" w:themeColor="text1"/>
          <w:sz w:val="24"/>
          <w14:textFill>
            <w14:solidFill>
              <w14:schemeClr w14:val="tx1"/>
            </w14:solidFill>
          </w14:textFill>
        </w:rPr>
        <w:t>。</w:t>
      </w:r>
    </w:p>
    <w:p>
      <w:pPr>
        <w:spacing w:line="360" w:lineRule="auto"/>
        <w:ind w:firstLine="63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我公司已就上述不良信用行为按照招标文件规定进行了查询。我公司承诺</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合同签订前，若我公司具有不良信用记录情形，贵方可取消我公司中标资格或者不授予合同，所有责任由我公司自行承担。同时，我公司愿意无条件接受监管部门的调查处理。</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投标人（公章）：</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240" w:lineRule="auto"/>
        <w:ind w:firstLine="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br w:type="page"/>
      </w:r>
    </w:p>
    <w:bookmarkEnd w:id="84"/>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85" w:name="_Toc496587831"/>
      <w:bookmarkStart w:id="86" w:name="_Toc38783651"/>
      <w:bookmarkStart w:id="87" w:name="_Toc12032"/>
      <w:r>
        <w:rPr>
          <w:rFonts w:hint="eastAsia" w:ascii="宋体" w:hAnsi="宋体"/>
          <w:b/>
          <w:bCs/>
          <w:color w:val="000000" w:themeColor="text1"/>
          <w:sz w:val="28"/>
          <w:szCs w:val="32"/>
          <w:lang w:val="en-US" w:eastAsia="zh-CN"/>
          <w14:textFill>
            <w14:solidFill>
              <w14:schemeClr w14:val="tx1"/>
            </w14:solidFill>
          </w14:textFill>
        </w:rPr>
        <w:t>五</w:t>
      </w:r>
      <w:r>
        <w:rPr>
          <w:rFonts w:hint="eastAsia" w:ascii="宋体" w:hAnsi="宋体"/>
          <w:b/>
          <w:bCs/>
          <w:color w:val="000000" w:themeColor="text1"/>
          <w:sz w:val="28"/>
          <w:szCs w:val="32"/>
          <w14:textFill>
            <w14:solidFill>
              <w14:schemeClr w14:val="tx1"/>
            </w14:solidFill>
          </w14:textFill>
        </w:rPr>
        <w:t>.</w:t>
      </w:r>
      <w:bookmarkEnd w:id="85"/>
      <w:r>
        <w:rPr>
          <w:rFonts w:hint="eastAsia" w:ascii="宋体" w:hAnsi="宋体"/>
          <w:b/>
          <w:bCs/>
          <w:color w:val="000000" w:themeColor="text1"/>
          <w:sz w:val="28"/>
          <w:szCs w:val="32"/>
          <w14:textFill>
            <w14:solidFill>
              <w14:schemeClr w14:val="tx1"/>
            </w14:solidFill>
          </w14:textFill>
        </w:rPr>
        <w:t>投标业绩</w:t>
      </w:r>
      <w:bookmarkEnd w:id="86"/>
      <w:bookmarkEnd w:id="87"/>
    </w:p>
    <w:p>
      <w:pPr>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（一）业绩表</w:t>
      </w:r>
    </w:p>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（格式仅供参考）</w:t>
      </w:r>
    </w:p>
    <w:tbl>
      <w:tblPr>
        <w:tblStyle w:val="15"/>
        <w:tblW w:w="0" w:type="auto"/>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2410"/>
        <w:gridCol w:w="1559"/>
        <w:gridCol w:w="170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序号</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2410" w:type="dxa"/>
            <w:vAlign w:val="center"/>
          </w:tcPr>
          <w:p>
            <w:pPr>
              <w:widowControl/>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服务内容</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合同总金额</w:t>
            </w:r>
          </w:p>
        </w:tc>
        <w:tc>
          <w:tcPr>
            <w:tcW w:w="1701"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业主单位</w:t>
            </w:r>
          </w:p>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及联系电话</w:t>
            </w:r>
          </w:p>
        </w:tc>
        <w:tc>
          <w:tcPr>
            <w:tcW w:w="1134"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评审业绩（打分业绩）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bl>
    <w:p>
      <w:pPr>
        <w:spacing w:before="48" w:beforeLines="20" w:after="48" w:afterLines="20" w:line="360" w:lineRule="auto"/>
        <w:rPr>
          <w:rFonts w:ascii="宋体" w:hAnsi="宋体"/>
          <w:color w:val="000000" w:themeColor="text1"/>
          <w:sz w:val="28"/>
          <w14:textFill>
            <w14:solidFill>
              <w14:schemeClr w14:val="tx1"/>
            </w14:solidFill>
          </w14:textFill>
        </w:rPr>
      </w:pPr>
    </w:p>
    <w:p>
      <w:pPr>
        <w:spacing w:before="48" w:beforeLines="20" w:after="48" w:afterLines="20" w:line="360" w:lineRule="auto"/>
        <w:jc w:val="center"/>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（二）业绩证明材料</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（建议与上述“（一）业绩表”填写的业绩一一对应提供）</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88" w:name="_Toc496587832"/>
      <w:bookmarkStart w:id="89" w:name="_Toc38783652"/>
      <w:bookmarkStart w:id="90" w:name="_Toc471675527"/>
      <w:bookmarkStart w:id="91" w:name="_Toc2562"/>
      <w:r>
        <w:rPr>
          <w:rFonts w:hint="eastAsia" w:ascii="宋体" w:hAnsi="宋体"/>
          <w:b/>
          <w:bCs/>
          <w:color w:val="000000" w:themeColor="text1"/>
          <w:sz w:val="28"/>
          <w:szCs w:val="32"/>
          <w:lang w:val="en-US" w:eastAsia="zh-CN"/>
          <w14:textFill>
            <w14:solidFill>
              <w14:schemeClr w14:val="tx1"/>
            </w14:solidFill>
          </w14:textFill>
        </w:rPr>
        <w:t>六</w:t>
      </w:r>
      <w:r>
        <w:rPr>
          <w:rFonts w:hint="eastAsia" w:ascii="宋体" w:hAnsi="宋体"/>
          <w:b/>
          <w:bCs/>
          <w:color w:val="000000" w:themeColor="text1"/>
          <w:sz w:val="28"/>
          <w:szCs w:val="32"/>
          <w14:textFill>
            <w14:solidFill>
              <w14:schemeClr w14:val="tx1"/>
            </w14:solidFill>
          </w14:textFill>
        </w:rPr>
        <w:t>．拟投入本项目的人员情况</w:t>
      </w:r>
      <w:bookmarkEnd w:id="88"/>
      <w:bookmarkEnd w:id="89"/>
      <w:bookmarkEnd w:id="90"/>
      <w:r>
        <w:rPr>
          <w:rFonts w:hint="eastAsia" w:ascii="宋体" w:hAnsi="宋体"/>
          <w:b/>
          <w:bCs/>
          <w:color w:val="000000" w:themeColor="text1"/>
          <w:sz w:val="28"/>
          <w:szCs w:val="32"/>
          <w14:textFill>
            <w14:solidFill>
              <w14:schemeClr w14:val="tx1"/>
            </w14:solidFill>
          </w14:textFill>
        </w:rPr>
        <w:t>（如有）</w:t>
      </w:r>
      <w:bookmarkEnd w:id="91"/>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r>
        <w:rPr>
          <w:rFonts w:hint="eastAsia" w:ascii="宋体" w:hAnsi="宋体"/>
          <w:color w:val="000000" w:themeColor="text1"/>
          <w:sz w:val="24"/>
          <w14:textFill>
            <w14:solidFill>
              <w14:schemeClr w14:val="tx1"/>
            </w14:solidFill>
          </w14:textFill>
        </w:rPr>
        <w:t>，应能体现出所有招标文件要求的内容，并附相关证明材料（扫描件）。</w:t>
      </w:r>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p>
    <w:p>
      <w:pPr>
        <w:tabs>
          <w:tab w:val="left" w:pos="4620"/>
        </w:tabs>
        <w:spacing w:line="360" w:lineRule="auto"/>
        <w:ind w:firstLine="480" w:firstLineChars="200"/>
        <w:rPr>
          <w:rFonts w:hint="eastAsia" w:ascii="宋体" w:hAnsi="宋体"/>
          <w:color w:val="000000" w:themeColor="text1"/>
          <w:sz w:val="24"/>
          <w14:textFill>
            <w14:solidFill>
              <w14:schemeClr w14:val="tx1"/>
            </w14:solidFill>
          </w14:textFill>
        </w:rPr>
      </w:pPr>
    </w:p>
    <w:p>
      <w:pPr>
        <w:keepNext w:val="0"/>
        <w:keepLines w:val="0"/>
        <w:spacing w:before="0" w:after="0" w:line="240" w:lineRule="auto"/>
        <w:jc w:val="left"/>
        <w:outlineLvl w:val="9"/>
        <w:rPr>
          <w:rFonts w:hint="eastAsia" w:ascii="宋体" w:hAnsi="宋体"/>
          <w:b/>
          <w:bCs/>
          <w:color w:val="000000" w:themeColor="text1"/>
          <w:sz w:val="28"/>
          <w:szCs w:val="32"/>
          <w14:textFill>
            <w14:solidFill>
              <w14:schemeClr w14:val="tx1"/>
            </w14:solidFill>
          </w14:textFill>
        </w:rPr>
      </w:pPr>
      <w:bookmarkStart w:id="92" w:name="_Toc11263"/>
      <w:bookmarkStart w:id="93" w:name="_Toc471675528"/>
      <w:bookmarkStart w:id="94" w:name="_Toc496587833"/>
      <w:bookmarkStart w:id="95" w:name="_Toc38783653"/>
      <w:r>
        <w:rPr>
          <w:rFonts w:hint="eastAsia" w:ascii="宋体" w:hAnsi="宋体"/>
          <w:b/>
          <w:bCs/>
          <w:color w:val="000000" w:themeColor="text1"/>
          <w:sz w:val="28"/>
          <w:szCs w:val="32"/>
          <w14:textFill>
            <w14:solidFill>
              <w14:schemeClr w14:val="tx1"/>
            </w14:solidFill>
          </w14:textFill>
        </w:rPr>
        <w:br w:type="page"/>
      </w: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r>
        <w:rPr>
          <w:rFonts w:hint="eastAsia" w:ascii="宋体" w:hAnsi="宋体"/>
          <w:b/>
          <w:bCs/>
          <w:color w:val="000000" w:themeColor="text1"/>
          <w:sz w:val="28"/>
          <w:szCs w:val="32"/>
          <w:lang w:val="en-US" w:eastAsia="zh-CN"/>
          <w14:textFill>
            <w14:solidFill>
              <w14:schemeClr w14:val="tx1"/>
            </w14:solidFill>
          </w14:textFill>
        </w:rPr>
        <w:t>七</w:t>
      </w:r>
      <w:r>
        <w:rPr>
          <w:rFonts w:hint="eastAsia" w:ascii="宋体" w:hAnsi="宋体"/>
          <w:b/>
          <w:bCs/>
          <w:color w:val="000000" w:themeColor="text1"/>
          <w:sz w:val="28"/>
          <w:szCs w:val="32"/>
          <w14:textFill>
            <w14:solidFill>
              <w14:schemeClr w14:val="tx1"/>
            </w14:solidFill>
          </w14:textFill>
        </w:rPr>
        <w:t>．服务方案</w:t>
      </w:r>
      <w:bookmarkEnd w:id="92"/>
      <w:bookmarkEnd w:id="93"/>
      <w:bookmarkEnd w:id="94"/>
      <w:bookmarkEnd w:id="95"/>
    </w:p>
    <w:p>
      <w:pPr>
        <w:spacing w:before="48" w:beforeLines="20" w:after="48" w:afterLines="20" w:line="360" w:lineRule="auto"/>
        <w:jc w:val="center"/>
        <w:rPr>
          <w:rFonts w:ascii="宋体" w:hAnsi="宋体"/>
          <w:color w:val="000000" w:themeColor="text1"/>
          <w:sz w:val="28"/>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96" w:name="_Toc38783654"/>
      <w:bookmarkStart w:id="97" w:name="_Toc22313"/>
      <w:bookmarkStart w:id="98" w:name="_Toc496587834"/>
      <w:r>
        <w:rPr>
          <w:rFonts w:hint="eastAsia" w:ascii="宋体" w:hAnsi="宋体"/>
          <w:b/>
          <w:bCs/>
          <w:color w:val="000000" w:themeColor="text1"/>
          <w:sz w:val="28"/>
          <w:szCs w:val="32"/>
          <w:lang w:val="en-US" w:eastAsia="zh-CN"/>
          <w14:textFill>
            <w14:solidFill>
              <w14:schemeClr w14:val="tx1"/>
            </w14:solidFill>
          </w14:textFill>
        </w:rPr>
        <w:t>八</w:t>
      </w:r>
      <w:r>
        <w:rPr>
          <w:rFonts w:hint="eastAsia" w:ascii="宋体" w:hAnsi="宋体"/>
          <w:b/>
          <w:bCs/>
          <w:color w:val="000000" w:themeColor="text1"/>
          <w:sz w:val="28"/>
          <w:szCs w:val="32"/>
          <w14:textFill>
            <w14:solidFill>
              <w14:schemeClr w14:val="tx1"/>
            </w14:solidFill>
          </w14:textFill>
        </w:rPr>
        <w:t>．有关证明文件</w:t>
      </w:r>
      <w:bookmarkEnd w:id="96"/>
      <w:bookmarkEnd w:id="97"/>
      <w:bookmarkEnd w:id="98"/>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提供符合投标邀请（招标公告）、招标需求及评标办法规定的相关证明文件（制作成扫描件）。</w:t>
      </w:r>
    </w:p>
    <w:p>
      <w:pPr>
        <w:snapToGrid w:val="0"/>
        <w:spacing w:before="120" w:after="120" w:line="360" w:lineRule="auto"/>
        <w:ind w:firstLine="480"/>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特别提示：</w:t>
      </w:r>
    </w:p>
    <w:p>
      <w:pPr>
        <w:snapToGrid w:val="0"/>
        <w:spacing w:line="360" w:lineRule="auto"/>
        <w:ind w:firstLine="482"/>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投标人在投标文件制作时，在此栏内上传下列材料（包括但不限于）：</w:t>
      </w:r>
    </w:p>
    <w:p>
      <w:pPr>
        <w:tabs>
          <w:tab w:val="left" w:pos="4620"/>
        </w:tabs>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招标文件要求的其他证明资料</w:t>
      </w:r>
      <w:r>
        <w:rPr>
          <w:rFonts w:hint="eastAsia" w:ascii="宋体" w:hAnsi="宋体" w:cs="Cambria"/>
          <w:b/>
          <w:color w:val="000000" w:themeColor="text1"/>
          <w:sz w:val="24"/>
          <w14:textFill>
            <w14:solidFill>
              <w14:schemeClr w14:val="tx1"/>
            </w14:solidFill>
          </w14:textFill>
        </w:rPr>
        <w:t>（根据项目要求编辑）</w:t>
      </w:r>
      <w:r>
        <w:rPr>
          <w:rFonts w:hint="eastAsia" w:ascii="宋体" w:hAnsi="宋体"/>
          <w:b/>
          <w:color w:val="000000" w:themeColor="text1"/>
          <w:sz w:val="24"/>
          <w:szCs w:val="24"/>
          <w14:textFill>
            <w14:solidFill>
              <w14:schemeClr w14:val="tx1"/>
            </w14:solidFill>
          </w14:textFill>
        </w:rPr>
        <w:t>，如营业执照、税务登记证、业绩、相关证书、证明资料等，</w:t>
      </w:r>
      <w:r>
        <w:rPr>
          <w:rFonts w:hint="eastAsia" w:ascii="宋体" w:hAnsi="宋体"/>
          <w:color w:val="000000" w:themeColor="text1"/>
          <w:sz w:val="24"/>
          <w14:textFill>
            <w14:solidFill>
              <w14:schemeClr w14:val="tx1"/>
            </w14:solidFill>
          </w14:textFill>
        </w:rPr>
        <w:t>应将上述证明材料制作成扫描件。</w:t>
      </w: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pStyle w:val="7"/>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spacing w:line="240" w:lineRule="auto"/>
        <w:ind w:firstLine="0" w:firstLineChars="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br w:type="page"/>
      </w:r>
    </w:p>
    <w:p>
      <w:pPr>
        <w:tabs>
          <w:tab w:val="left" w:pos="4620"/>
        </w:tabs>
        <w:spacing w:line="360" w:lineRule="auto"/>
        <w:rPr>
          <w:rFonts w:ascii="宋体" w:hAnsi="宋体"/>
          <w:color w:val="000000" w:themeColor="text1"/>
          <w:sz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99" w:name="_Toc38783655"/>
      <w:bookmarkStart w:id="100" w:name="_Toc25527"/>
      <w:bookmarkStart w:id="101" w:name="_Toc471736417"/>
      <w:bookmarkStart w:id="102" w:name="_Toc220232401"/>
      <w:bookmarkStart w:id="103" w:name="_Toc508363608"/>
      <w:bookmarkStart w:id="104" w:name="_Toc516969104"/>
      <w:r>
        <w:rPr>
          <w:rFonts w:hint="eastAsia" w:ascii="宋体" w:hAnsi="宋体"/>
          <w:b/>
          <w:bCs/>
          <w:color w:val="000000" w:themeColor="text1"/>
          <w:sz w:val="28"/>
          <w:szCs w:val="32"/>
          <w:lang w:val="en-US" w:eastAsia="zh-CN"/>
          <w14:textFill>
            <w14:solidFill>
              <w14:schemeClr w14:val="tx1"/>
            </w14:solidFill>
          </w14:textFill>
        </w:rPr>
        <w:t>九</w:t>
      </w:r>
      <w:r>
        <w:rPr>
          <w:rFonts w:hint="eastAsia" w:ascii="宋体" w:hAnsi="宋体"/>
          <w:b/>
          <w:bCs/>
          <w:color w:val="000000" w:themeColor="text1"/>
          <w:sz w:val="28"/>
          <w:szCs w:val="32"/>
          <w14:textFill>
            <w14:solidFill>
              <w14:schemeClr w14:val="tx1"/>
            </w14:solidFill>
          </w14:textFill>
        </w:rPr>
        <w:t>．投标授权书</w:t>
      </w:r>
      <w:bookmarkEnd w:id="99"/>
      <w:bookmarkEnd w:id="100"/>
    </w:p>
    <w:p>
      <w:pPr>
        <w:snapToGrid w:val="0"/>
        <w:spacing w:line="360" w:lineRule="auto"/>
        <w:ind w:firstLine="480" w:firstLineChars="200"/>
        <w:jc w:val="left"/>
        <w:rPr>
          <w:rFonts w:ascii="宋体" w:hAnsi="宋体"/>
          <w:i/>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本授权书声明：公司授权（投标人授权代表姓名、职务，手机号码）代表本公司参加合肥文旅博览集团有限公司</w:t>
      </w:r>
      <w:r>
        <w:rPr>
          <w:rFonts w:hint="eastAsia" w:ascii="宋体" w:hAnsi="宋体"/>
          <w:bCs/>
          <w:color w:val="000000" w:themeColor="text1"/>
          <w:sz w:val="24"/>
          <w:szCs w:val="28"/>
          <w14:textFill>
            <w14:solidFill>
              <w14:schemeClr w14:val="tx1"/>
            </w14:solidFill>
          </w14:textFill>
        </w:rPr>
        <w:t>招标活动（项目编号：）</w:t>
      </w:r>
      <w:r>
        <w:rPr>
          <w:rFonts w:hint="eastAsia" w:ascii="宋体" w:hAnsi="宋体"/>
          <w:color w:val="000000" w:themeColor="text1"/>
          <w:sz w:val="24"/>
          <w:szCs w:val="28"/>
          <w14:textFill>
            <w14:solidFill>
              <w14:schemeClr w14:val="tx1"/>
            </w14:solidFill>
          </w14:textFill>
        </w:rPr>
        <w:t>，全权代表本公司处理投标过程的一切事宜，包括但不限于：投标、参与开标、谈判、签约等。投标人授权代表在投标过程中所签署的一切文件和处理与之有关的一切事务，本公司均予以认可并对此承担责任。投标人授权代表无转委托权。特此授权。</w:t>
      </w:r>
    </w:p>
    <w:p>
      <w:pPr>
        <w:snapToGrid w:val="0"/>
        <w:spacing w:line="360" w:lineRule="auto"/>
        <w:ind w:firstLine="480" w:firstLineChars="200"/>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本授权书自出具之日起生效。</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1160780</wp:posOffset>
                </wp:positionH>
                <wp:positionV relativeFrom="paragraph">
                  <wp:posOffset>255270</wp:posOffset>
                </wp:positionV>
                <wp:extent cx="3860165" cy="727710"/>
                <wp:effectExtent l="4445" t="4445" r="21590" b="10795"/>
                <wp:wrapNone/>
                <wp:docPr id="3" name="组合 3"/>
                <wp:cNvGraphicFramePr/>
                <a:graphic xmlns:a="http://schemas.openxmlformats.org/drawingml/2006/main">
                  <a:graphicData uri="http://schemas.microsoft.com/office/word/2010/wordprocessingGroup">
                    <wpg:wgp>
                      <wpg:cNvGrpSpPr/>
                      <wpg:grpSpPr>
                        <a:xfrm>
                          <a:off x="0" y="0"/>
                          <a:ext cx="3860165" cy="727710"/>
                          <a:chOff x="3270" y="5789"/>
                          <a:chExt cx="6079" cy="1525"/>
                        </a:xfrm>
                        <a:effectLst/>
                      </wpg:grpSpPr>
                      <wps:wsp>
                        <wps:cNvPr id="2" name="自选图形 4"/>
                        <wps:cNvSpPr/>
                        <wps:spPr>
                          <a:xfrm>
                            <a:off x="3270"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txbxContent>
                        </wps:txbx>
                        <wps:bodyPr upright="1"/>
                      </wps:wsp>
                      <wps:wsp>
                        <wps:cNvPr id="4" name="自选图形 5"/>
                        <wps:cNvSpPr/>
                        <wps:spPr>
                          <a:xfrm>
                            <a:off x="6555"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color w:val="FF0000"/>
                                  <w:szCs w:val="21"/>
                                </w:rPr>
                              </w:pPr>
                            </w:p>
                          </w:txbxContent>
                        </wps:txbx>
                        <wps:bodyPr upright="1"/>
                      </wps:wsp>
                    </wpg:wgp>
                  </a:graphicData>
                </a:graphic>
              </wp:anchor>
            </w:drawing>
          </mc:Choice>
          <mc:Fallback>
            <w:pict>
              <v:group id="_x0000_s1026" o:spid="_x0000_s1026" o:spt="203" style="position:absolute;left:0pt;margin-left:91.4pt;margin-top:20.1pt;height:57.3pt;width:303.95pt;z-index:251659264;mso-width-relative:page;mso-height-relative:page;" coordorigin="3270,5789" coordsize="6079,1525" o:gfxdata="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bbD2QAAAAoBAAAPAAAA&#10;AAAAAAEAIAAAACIAAABkcnMvZG93bnJldi54bWxQSwECFAAUAAAACACHTuJAggAgu78CAAAqCAAA&#10;DgAAAAAAAAABACAAAAAoAQAAZHJzL2Uyb0RvYy54bWxQSwUGAAAAAAYABgBZAQAAWQYAAAAA&#10;">
                <o:lock v:ext="edit" aspectratio="f"/>
                <v:roundrect id="自选图形 4" o:spid="_x0000_s1026" o:spt="2" style="position:absolute;left:3270;top:5789;height:1525;width:2794;"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txbxContent>
                  </v:textbox>
                </v:roundrect>
                <v:roundrect id="自选图形 5" o:spid="_x0000_s1026" o:spt="2" style="position:absolute;left:6555;top:5789;height:1525;width:2794;"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color w:val="FF0000"/>
                            <w:szCs w:val="21"/>
                          </w:rPr>
                        </w:pPr>
                      </w:p>
                    </w:txbxContent>
                  </v:textbox>
                </v:roundrect>
              </v:group>
            </w:pict>
          </mc:Fallback>
        </mc:AlternateContent>
      </w:r>
    </w:p>
    <w:p>
      <w:pPr>
        <w:spacing w:line="360" w:lineRule="auto"/>
        <w:ind w:firstLine="645"/>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特此声明。</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投标人(公章)：</w:t>
      </w:r>
    </w:p>
    <w:p>
      <w:pPr>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日期：</w:t>
      </w:r>
    </w:p>
    <w:p>
      <w:pPr>
        <w:rPr>
          <w:rFonts w:ascii="宋体" w:hAnsi="宋体"/>
          <w:color w:val="000000" w:themeColor="text1"/>
          <w:sz w:val="28"/>
          <w:szCs w:val="28"/>
          <w14:textFill>
            <w14:solidFill>
              <w14:schemeClr w14:val="tx1"/>
            </w14:solidFill>
          </w14:textFill>
        </w:rPr>
      </w:pPr>
    </w:p>
    <w:p>
      <w:pPr>
        <w:snapToGrid w:val="0"/>
        <w:spacing w:line="360" w:lineRule="auto"/>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注：</w:t>
      </w:r>
    </w:p>
    <w:p>
      <w:pPr>
        <w:snapToGrid w:val="0"/>
        <w:spacing w:line="360" w:lineRule="auto"/>
        <w:jc w:val="left"/>
        <w:rPr>
          <w:rFonts w:ascii="宋体" w:hAnsi="宋体"/>
          <w:color w:val="000000" w:themeColor="text1"/>
          <w:sz w:val="24"/>
          <w:szCs w:val="28"/>
          <w14:textFill>
            <w14:solidFill>
              <w14:schemeClr w14:val="tx1"/>
            </w14:solidFill>
          </w14:textFill>
        </w:rPr>
      </w:pPr>
      <w:bookmarkStart w:id="105" w:name="_Toc471736421"/>
      <w:bookmarkStart w:id="106" w:name="_Toc220232403"/>
      <w:r>
        <w:rPr>
          <w:rFonts w:hint="eastAsia" w:ascii="宋体" w:hAnsi="宋体"/>
          <w:color w:val="000000" w:themeColor="text1"/>
          <w:sz w:val="24"/>
          <w:szCs w:val="28"/>
          <w14:textFill>
            <w14:solidFill>
              <w14:schemeClr w14:val="tx1"/>
            </w14:solidFill>
          </w14:textFill>
        </w:rPr>
        <w:t>1.本项目只允许有唯一的投标人授权代表（须与投标函中授权代表为同一人，否则投标无效），投标文件中提供授权代表身份证</w:t>
      </w:r>
      <w:r>
        <w:rPr>
          <w:rFonts w:hint="eastAsia" w:ascii="宋体" w:hAnsi="宋体"/>
          <w:color w:val="000000" w:themeColor="text1"/>
          <w:sz w:val="24"/>
          <w:szCs w:val="20"/>
          <w14:textFill>
            <w14:solidFill>
              <w14:schemeClr w14:val="tx1"/>
            </w14:solidFill>
          </w14:textFill>
        </w:rPr>
        <w:t>扫描件</w:t>
      </w:r>
      <w:r>
        <w:rPr>
          <w:rFonts w:hint="eastAsia" w:ascii="宋体" w:hAnsi="宋体"/>
          <w:color w:val="000000" w:themeColor="text1"/>
          <w:sz w:val="24"/>
          <w:szCs w:val="28"/>
          <w14:textFill>
            <w14:solidFill>
              <w14:schemeClr w14:val="tx1"/>
            </w14:solidFill>
          </w14:textFill>
        </w:rPr>
        <w:t>。</w:t>
      </w:r>
    </w:p>
    <w:p>
      <w:pPr>
        <w:snapToGrid w:val="0"/>
        <w:spacing w:line="360" w:lineRule="auto"/>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2.法定代表人参加投标的无需此件，</w:t>
      </w:r>
      <w:r>
        <w:rPr>
          <w:rFonts w:hint="eastAsia" w:ascii="宋体" w:hAnsi="宋体"/>
          <w:color w:val="000000" w:themeColor="text1"/>
          <w:sz w:val="24"/>
          <w:szCs w:val="20"/>
          <w14:textFill>
            <w14:solidFill>
              <w14:schemeClr w14:val="tx1"/>
            </w14:solidFill>
          </w14:textFill>
        </w:rPr>
        <w:t>但投标文件中须提供身份证扫描件。</w:t>
      </w:r>
      <w:bookmarkEnd w:id="101"/>
      <w:bookmarkEnd w:id="102"/>
      <w:bookmarkEnd w:id="103"/>
      <w:bookmarkEnd w:id="104"/>
      <w:bookmarkEnd w:id="105"/>
      <w:bookmarkEnd w:id="106"/>
    </w:p>
    <w:p>
      <w:pPr>
        <w:snapToGrid/>
        <w:spacing w:line="240" w:lineRule="auto"/>
        <w:jc w:val="left"/>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br w:type="page"/>
      </w:r>
    </w:p>
    <w:p>
      <w:pPr>
        <w:snapToGrid w:val="0"/>
        <w:spacing w:line="360" w:lineRule="auto"/>
        <w:jc w:val="left"/>
        <w:rPr>
          <w:rFonts w:ascii="宋体" w:hAnsi="宋体"/>
          <w:color w:val="000000" w:themeColor="text1"/>
          <w:sz w:val="24"/>
          <w:szCs w:val="20"/>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sectPr>
          <w:footerReference r:id="rId5" w:type="default"/>
          <w:footerReference r:id="rId6" w:type="even"/>
          <w:pgSz w:w="11907" w:h="16840"/>
          <w:pgMar w:top="1440" w:right="1247" w:bottom="1440" w:left="1247" w:header="851" w:footer="992" w:gutter="0"/>
          <w:cols w:space="425" w:num="1"/>
          <w:docGrid w:linePitch="303" w:charSpace="0"/>
        </w:sectPr>
      </w:pPr>
      <w:bookmarkStart w:id="107" w:name="_Toc391040781"/>
      <w:bookmarkStart w:id="108" w:name="_Toc459990157"/>
      <w:bookmarkStart w:id="109" w:name="_Toc471736427"/>
      <w:bookmarkStart w:id="110" w:name="_Toc420342108"/>
      <w:bookmarkStart w:id="111" w:name="_Toc390243258"/>
      <w:bookmarkStart w:id="112" w:name="_Toc517681252"/>
      <w:bookmarkStart w:id="113" w:name="_Toc3996"/>
      <w:bookmarkStart w:id="114" w:name="_Toc38783656"/>
      <w:r>
        <w:rPr>
          <w:rFonts w:hint="eastAsia" w:ascii="宋体" w:hAnsi="宋体"/>
          <w:b/>
          <w:bCs/>
          <w:color w:val="000000" w:themeColor="text1"/>
          <w:sz w:val="28"/>
          <w:szCs w:val="32"/>
          <w14:textFill>
            <w14:solidFill>
              <w14:schemeClr w14:val="tx1"/>
            </w14:solidFill>
          </w14:textFill>
        </w:rPr>
        <w:t>十．</w:t>
      </w:r>
      <w:bookmarkEnd w:id="107"/>
      <w:bookmarkEnd w:id="108"/>
      <w:bookmarkEnd w:id="109"/>
      <w:bookmarkEnd w:id="110"/>
      <w:bookmarkEnd w:id="111"/>
      <w:bookmarkStart w:id="115" w:name="_Toc389124158"/>
      <w:bookmarkStart w:id="116" w:name="_Toc471736430"/>
      <w:bookmarkStart w:id="117" w:name="_Toc471733801"/>
      <w:r>
        <w:rPr>
          <w:rFonts w:hint="eastAsia" w:ascii="宋体" w:hAnsi="宋体"/>
          <w:b/>
          <w:bCs/>
          <w:color w:val="000000" w:themeColor="text1"/>
          <w:sz w:val="28"/>
          <w:szCs w:val="32"/>
          <w14:textFill>
            <w14:solidFill>
              <w14:schemeClr w14:val="tx1"/>
            </w14:solidFill>
          </w14:textFill>
        </w:rPr>
        <w:t>投标人认为需提供的其他</w:t>
      </w:r>
      <w:bookmarkEnd w:id="112"/>
      <w:bookmarkEnd w:id="113"/>
      <w:bookmarkEnd w:id="114"/>
      <w:bookmarkEnd w:id="115"/>
      <w:bookmarkEnd w:id="116"/>
      <w:bookmarkEnd w:id="117"/>
    </w:p>
    <w:p>
      <w:pPr>
        <w:tabs>
          <w:tab w:val="left" w:pos="413"/>
          <w:tab w:val="center" w:pos="3939"/>
        </w:tabs>
        <w:rPr>
          <w:rFonts w:ascii="黑体" w:hAnsi="黑体" w:eastAsia="黑体" w:cs="黑体"/>
          <w:bCs/>
          <w:spacing w:val="40"/>
          <w:sz w:val="30"/>
          <w:szCs w:val="30"/>
        </w:rPr>
      </w:pPr>
      <w:r>
        <w:rPr>
          <w:rFonts w:hint="eastAsia" w:ascii="黑体" w:hAnsi="黑体" w:eastAsia="黑体" w:cs="黑体"/>
          <w:bCs/>
          <w:spacing w:val="40"/>
          <w:sz w:val="30"/>
          <w:szCs w:val="30"/>
        </w:rPr>
        <w:t>合同编号：</w:t>
      </w:r>
    </w:p>
    <w:p>
      <w:pPr>
        <w:tabs>
          <w:tab w:val="left" w:pos="413"/>
          <w:tab w:val="center" w:pos="3939"/>
        </w:tabs>
        <w:jc w:val="center"/>
        <w:rPr>
          <w:rFonts w:ascii="黑体" w:eastAsia="黑体" w:cs="黑体"/>
          <w:bCs/>
          <w:spacing w:val="40"/>
          <w:sz w:val="48"/>
          <w:szCs w:val="48"/>
        </w:rPr>
      </w:pPr>
      <w:r>
        <w:rPr>
          <w:rFonts w:hint="eastAsia" w:ascii="黑体" w:eastAsia="黑体" w:cs="黑体"/>
          <w:bCs/>
          <w:spacing w:val="40"/>
          <w:sz w:val="48"/>
          <w:szCs w:val="48"/>
        </w:rPr>
        <w:t xml:space="preserve">        </w:t>
      </w:r>
    </w:p>
    <w:p>
      <w:pPr>
        <w:tabs>
          <w:tab w:val="left" w:pos="413"/>
          <w:tab w:val="center" w:pos="3939"/>
        </w:tabs>
        <w:jc w:val="center"/>
        <w:rPr>
          <w:rFonts w:ascii="黑体" w:eastAsia="黑体" w:cs="黑体"/>
          <w:bCs/>
          <w:spacing w:val="40"/>
          <w:sz w:val="48"/>
          <w:szCs w:val="48"/>
        </w:rPr>
      </w:pPr>
    </w:p>
    <w:p>
      <w:pPr>
        <w:tabs>
          <w:tab w:val="left" w:pos="413"/>
          <w:tab w:val="center" w:pos="3939"/>
        </w:tabs>
        <w:jc w:val="center"/>
        <w:rPr>
          <w:rFonts w:ascii="黑体" w:eastAsia="黑体" w:cs="黑体"/>
          <w:bCs/>
          <w:spacing w:val="40"/>
          <w:sz w:val="48"/>
          <w:szCs w:val="48"/>
        </w:rPr>
      </w:pPr>
    </w:p>
    <w:p>
      <w:pPr>
        <w:tabs>
          <w:tab w:val="left" w:pos="413"/>
          <w:tab w:val="center" w:pos="3939"/>
        </w:tabs>
        <w:spacing w:beforeLines="50" w:line="360" w:lineRule="auto"/>
        <w:jc w:val="center"/>
        <w:rPr>
          <w:rFonts w:hint="eastAsia" w:ascii="方正小标宋_GBK" w:hAnsi="黑体" w:eastAsia="方正小标宋_GBK" w:cs="黑体"/>
          <w:bCs/>
          <w:spacing w:val="40"/>
          <w:sz w:val="52"/>
          <w:szCs w:val="52"/>
        </w:rPr>
      </w:pPr>
      <w:r>
        <w:rPr>
          <w:rFonts w:hint="eastAsia" w:ascii="方正小标宋_GBK" w:hAnsi="黑体" w:eastAsia="方正小标宋_GBK" w:cs="黑体"/>
          <w:bCs/>
          <w:spacing w:val="40"/>
          <w:sz w:val="52"/>
          <w:szCs w:val="52"/>
        </w:rPr>
        <w:t>安徽电力</w:t>
      </w:r>
      <w:r>
        <w:rPr>
          <w:rFonts w:hint="eastAsia" w:ascii="方正小标宋_GBK" w:hAnsi="黑体" w:eastAsia="方正小标宋_GBK" w:cs="黑体"/>
          <w:bCs/>
          <w:spacing w:val="40"/>
          <w:sz w:val="52"/>
          <w:szCs w:val="52"/>
          <w:lang w:eastAsia="zh-CN"/>
        </w:rPr>
        <w:t>零售</w:t>
      </w:r>
      <w:r>
        <w:rPr>
          <w:rFonts w:hint="eastAsia" w:ascii="方正小标宋_GBK" w:hAnsi="黑体" w:eastAsia="方正小标宋_GBK" w:cs="黑体"/>
          <w:bCs/>
          <w:spacing w:val="40"/>
          <w:sz w:val="52"/>
          <w:szCs w:val="52"/>
        </w:rPr>
        <w:t>市场代理合同</w:t>
      </w:r>
    </w:p>
    <w:p>
      <w:pPr>
        <w:tabs>
          <w:tab w:val="left" w:pos="413"/>
          <w:tab w:val="center" w:pos="3939"/>
        </w:tabs>
        <w:spacing w:beforeLines="50" w:line="360" w:lineRule="auto"/>
        <w:jc w:val="center"/>
        <w:rPr>
          <w:rFonts w:hint="eastAsia" w:ascii="方正小标宋_GBK" w:hAnsi="黑体" w:eastAsia="方正小标宋_GBK" w:cs="黑体"/>
          <w:bCs/>
          <w:spacing w:val="40"/>
          <w:sz w:val="52"/>
          <w:szCs w:val="52"/>
          <w:lang w:val="en-US" w:eastAsia="zh-CN"/>
        </w:rPr>
      </w:pPr>
      <w:r>
        <w:rPr>
          <w:rFonts w:hint="eastAsia" w:ascii="方正小标宋_GBK" w:hAnsi="黑体" w:eastAsia="方正小标宋_GBK" w:cs="黑体"/>
          <w:bCs/>
          <w:spacing w:val="40"/>
          <w:sz w:val="52"/>
          <w:szCs w:val="52"/>
        </w:rPr>
        <w:t>示范文本</w:t>
      </w:r>
      <w:r>
        <w:rPr>
          <w:rFonts w:hint="eastAsia" w:ascii="方正小标宋_GBK" w:hAnsi="黑体" w:eastAsia="方正小标宋_GBK" w:cs="黑体"/>
          <w:bCs/>
          <w:spacing w:val="40"/>
          <w:sz w:val="52"/>
          <w:szCs w:val="52"/>
          <w:lang w:eastAsia="zh-CN"/>
        </w:rPr>
        <w:t>（</w:t>
      </w:r>
      <w:r>
        <w:rPr>
          <w:rFonts w:hint="eastAsia" w:ascii="方正小标宋_GBK" w:hAnsi="黑体" w:eastAsia="方正小标宋_GBK" w:cs="黑体"/>
          <w:bCs/>
          <w:spacing w:val="40"/>
          <w:sz w:val="52"/>
          <w:szCs w:val="52"/>
        </w:rPr>
        <w:t>202</w:t>
      </w:r>
      <w:r>
        <w:rPr>
          <w:rFonts w:hint="eastAsia" w:ascii="方正小标宋_GBK" w:hAnsi="黑体" w:eastAsia="方正小标宋_GBK" w:cs="黑体"/>
          <w:bCs/>
          <w:spacing w:val="40"/>
          <w:sz w:val="52"/>
          <w:szCs w:val="52"/>
          <w:lang w:val="en-US" w:eastAsia="zh-CN"/>
        </w:rPr>
        <w:t>4</w:t>
      </w:r>
      <w:r>
        <w:rPr>
          <w:rFonts w:hint="eastAsia" w:ascii="方正小标宋_GBK" w:hAnsi="黑体" w:eastAsia="方正小标宋_GBK" w:cs="黑体"/>
          <w:bCs/>
          <w:spacing w:val="40"/>
          <w:sz w:val="52"/>
          <w:szCs w:val="52"/>
        </w:rPr>
        <w:t>年版</w:t>
      </w:r>
      <w:r>
        <w:rPr>
          <w:rFonts w:hint="eastAsia" w:ascii="方正小标宋_GBK" w:hAnsi="黑体" w:eastAsia="方正小标宋_GBK" w:cs="黑体"/>
          <w:bCs/>
          <w:spacing w:val="40"/>
          <w:sz w:val="52"/>
          <w:szCs w:val="52"/>
          <w:lang w:eastAsia="zh-CN"/>
        </w:rPr>
        <w:t>）</w:t>
      </w:r>
    </w:p>
    <w:p>
      <w:pPr>
        <w:spacing w:beforeLines="100"/>
        <w:jc w:val="center"/>
        <w:rPr>
          <w:rFonts w:ascii="黑体" w:eastAsia="黑体"/>
          <w:bCs/>
          <w:spacing w:val="40"/>
          <w:sz w:val="36"/>
          <w:szCs w:val="36"/>
        </w:rPr>
      </w:pPr>
    </w:p>
    <w:p>
      <w:pPr>
        <w:spacing w:beforeLines="100"/>
        <w:jc w:val="center"/>
        <w:rPr>
          <w:rFonts w:ascii="黑体" w:eastAsia="黑体"/>
          <w:bCs/>
          <w:spacing w:val="40"/>
          <w:sz w:val="36"/>
          <w:szCs w:val="36"/>
        </w:rPr>
      </w:pPr>
    </w:p>
    <w:p>
      <w:pPr>
        <w:spacing w:beforeLines="100"/>
        <w:jc w:val="center"/>
        <w:rPr>
          <w:rFonts w:ascii="黑体" w:eastAsia="黑体"/>
          <w:bCs/>
          <w:spacing w:val="40"/>
          <w:sz w:val="36"/>
          <w:szCs w:val="36"/>
        </w:rPr>
      </w:pPr>
    </w:p>
    <w:p>
      <w:pPr>
        <w:spacing w:beforeLines="100"/>
        <w:jc w:val="center"/>
        <w:rPr>
          <w:rFonts w:ascii="黑体" w:eastAsia="黑体"/>
          <w:bCs/>
          <w:spacing w:val="40"/>
          <w:sz w:val="36"/>
          <w:szCs w:val="36"/>
        </w:rPr>
      </w:pPr>
    </w:p>
    <w:p>
      <w:pPr>
        <w:spacing w:beforeLines="100" w:afterLines="100"/>
        <w:ind w:firstLine="1584" w:firstLineChars="495"/>
        <w:rPr>
          <w:rFonts w:ascii="方正小标宋_GBK" w:hAnsi="黑体" w:eastAsia="方正小标宋_GBK" w:cs="Arial"/>
          <w:sz w:val="32"/>
          <w:szCs w:val="32"/>
        </w:rPr>
      </w:pPr>
      <w:r>
        <w:rPr>
          <w:rFonts w:hint="eastAsia" w:ascii="方正小标宋_GBK" w:hAnsi="黑体" w:eastAsia="方正小标宋_GBK" w:cs="Arial"/>
          <w:sz w:val="32"/>
          <w:szCs w:val="32"/>
        </w:rPr>
        <w:t>甲方(电力用户)：_____________________</w:t>
      </w:r>
    </w:p>
    <w:p>
      <w:pPr>
        <w:spacing w:beforeLines="100" w:afterLines="100"/>
        <w:ind w:firstLine="1584" w:firstLineChars="495"/>
        <w:rPr>
          <w:rFonts w:ascii="方正小标宋_GBK" w:hAnsi="黑体" w:eastAsia="方正小标宋_GBK" w:cs="Arial"/>
          <w:sz w:val="32"/>
          <w:szCs w:val="32"/>
        </w:rPr>
      </w:pPr>
      <w:r>
        <w:rPr>
          <w:rFonts w:hint="eastAsia" w:ascii="方正小标宋_GBK" w:hAnsi="黑体" w:eastAsia="方正小标宋_GBK" w:cs="Arial"/>
          <w:sz w:val="32"/>
          <w:szCs w:val="32"/>
        </w:rPr>
        <w:t>乙方(售电公司)：_____________________</w:t>
      </w:r>
    </w:p>
    <w:p>
      <w:pPr>
        <w:spacing w:before="120" w:line="400" w:lineRule="exact"/>
        <w:jc w:val="center"/>
        <w:rPr>
          <w:rFonts w:ascii="黑体" w:hAnsi="黑体" w:eastAsia="黑体"/>
          <w:bCs/>
          <w:sz w:val="32"/>
          <w:szCs w:val="32"/>
        </w:rPr>
      </w:pPr>
    </w:p>
    <w:p>
      <w:pPr>
        <w:spacing w:before="120" w:line="400" w:lineRule="exact"/>
        <w:jc w:val="center"/>
        <w:rPr>
          <w:rFonts w:ascii="黑体" w:hAnsi="黑体" w:eastAsia="黑体"/>
          <w:bCs/>
          <w:sz w:val="32"/>
          <w:szCs w:val="32"/>
        </w:rPr>
      </w:pPr>
    </w:p>
    <w:p>
      <w:pPr>
        <w:jc w:val="center"/>
        <w:rPr>
          <w:rFonts w:ascii="黑体" w:hAnsi="黑体" w:eastAsia="黑体" w:cs="Arial"/>
          <w:sz w:val="32"/>
          <w:szCs w:val="32"/>
        </w:rPr>
      </w:pPr>
      <w:r>
        <w:rPr>
          <w:rFonts w:hint="eastAsia" w:ascii="黑体" w:hAnsi="黑体" w:eastAsia="黑体" w:cs="Arial"/>
          <w:sz w:val="32"/>
          <w:szCs w:val="32"/>
        </w:rPr>
        <w:t>_______年______月</w:t>
      </w:r>
    </w:p>
    <w:p>
      <w:pPr>
        <w:jc w:val="center"/>
        <w:rPr>
          <w:rFonts w:ascii="黑体" w:hAnsi="黑体" w:eastAsia="黑体" w:cs="Arial"/>
          <w:sz w:val="32"/>
          <w:szCs w:val="32"/>
        </w:rPr>
      </w:pPr>
    </w:p>
    <w:p>
      <w:pPr>
        <w:jc w:val="left"/>
        <w:rPr>
          <w:rFonts w:ascii="黑体" w:hAnsi="黑体" w:eastAsia="黑体" w:cs="Arial"/>
          <w:sz w:val="32"/>
          <w:szCs w:val="32"/>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jc w:val="center"/>
        <w:rPr>
          <w:rFonts w:ascii="黑体" w:hAnsi="黑体" w:eastAsia="黑体"/>
          <w:sz w:val="44"/>
          <w:szCs w:val="32"/>
        </w:rPr>
      </w:pPr>
    </w:p>
    <w:p>
      <w:pPr>
        <w:jc w:val="center"/>
        <w:rPr>
          <w:rFonts w:ascii="黑体" w:hAnsi="黑体" w:eastAsia="黑体"/>
          <w:sz w:val="44"/>
          <w:szCs w:val="32"/>
        </w:rPr>
      </w:pPr>
      <w:r>
        <w:rPr>
          <w:rFonts w:hint="eastAsia" w:ascii="黑体" w:hAnsi="黑体" w:eastAsia="黑体"/>
          <w:sz w:val="44"/>
          <w:szCs w:val="32"/>
        </w:rPr>
        <w:t>合同使用说明</w:t>
      </w:r>
    </w:p>
    <w:p>
      <w:pPr>
        <w:ind w:firstLine="640"/>
        <w:rPr>
          <w:rFonts w:ascii="仿宋" w:hAnsi="仿宋" w:eastAsia="仿宋"/>
          <w:sz w:val="32"/>
          <w:szCs w:val="32"/>
        </w:rPr>
      </w:pPr>
      <w:r>
        <w:rPr>
          <w:rFonts w:hint="eastAsia" w:ascii="仿宋" w:hAnsi="仿宋" w:eastAsia="仿宋"/>
          <w:sz w:val="32"/>
          <w:szCs w:val="32"/>
        </w:rPr>
        <w:t>1.1 参加安徽电力市场交易的售电公司与二级用户应</w:t>
      </w:r>
      <w:r>
        <w:rPr>
          <w:rFonts w:hint="eastAsia" w:ascii="仿宋" w:hAnsi="仿宋" w:eastAsia="仿宋"/>
          <w:b w:val="0"/>
          <w:bCs w:val="0"/>
          <w:color w:val="auto"/>
          <w:sz w:val="32"/>
          <w:szCs w:val="32"/>
          <w:highlight w:val="none"/>
        </w:rPr>
        <w:t>按照本合同示范文本签订合同，并依据本合同约定严格履约。</w:t>
      </w:r>
      <w:r>
        <w:rPr>
          <w:rFonts w:hint="eastAsia" w:ascii="仿宋" w:hAnsi="仿宋" w:eastAsia="仿宋"/>
          <w:sz w:val="32"/>
          <w:szCs w:val="32"/>
        </w:rPr>
        <w:t>如需对示范文本中相关内容进行补充，应在合同预留双方约定的条款中进行约定。</w:t>
      </w:r>
    </w:p>
    <w:p>
      <w:pPr>
        <w:tabs>
          <w:tab w:val="left" w:pos="1380"/>
          <w:tab w:val="left" w:pos="1725"/>
          <w:tab w:val="left" w:pos="1955"/>
        </w:tabs>
        <w:ind w:firstLine="640" w:firstLineChars="200"/>
        <w:rPr>
          <w:rFonts w:ascii="仿宋" w:hAnsi="仿宋" w:eastAsia="仿宋"/>
          <w:sz w:val="32"/>
          <w:szCs w:val="32"/>
        </w:rPr>
      </w:pPr>
      <w:r>
        <w:rPr>
          <w:rFonts w:hint="eastAsia" w:ascii="仿宋_GB2312" w:hAnsi="仿宋_GB2312" w:eastAsia="仿宋_GB2312"/>
          <w:sz w:val="32"/>
        </w:rPr>
        <w:t>1.2</w:t>
      </w:r>
      <w:r>
        <w:rPr>
          <w:rFonts w:hint="eastAsia" w:ascii="仿宋_GB2312" w:hAnsi="仿宋_GB2312" w:eastAsia="仿宋_GB2312"/>
          <w:sz w:val="32"/>
          <w:highlight w:val="none"/>
        </w:rPr>
        <w:t xml:space="preserve"> </w:t>
      </w:r>
      <w:r>
        <w:rPr>
          <w:rFonts w:hint="eastAsia" w:ascii="仿宋" w:hAnsi="仿宋" w:eastAsia="仿宋"/>
          <w:sz w:val="32"/>
          <w:szCs w:val="32"/>
          <w:highlight w:val="none"/>
        </w:rPr>
        <w:t>依据安徽电力中长期交易规则，二级用户一年内只能与一</w:t>
      </w:r>
      <w:r>
        <w:rPr>
          <w:rFonts w:ascii="仿宋" w:hAnsi="仿宋" w:eastAsia="仿宋"/>
          <w:sz w:val="32"/>
          <w:szCs w:val="32"/>
          <w:highlight w:val="none"/>
        </w:rPr>
        <w:t>家售电公司签订代理合同，否则</w:t>
      </w:r>
      <w:r>
        <w:rPr>
          <w:rFonts w:hint="eastAsia" w:ascii="仿宋" w:hAnsi="仿宋" w:eastAsia="仿宋"/>
          <w:sz w:val="32"/>
          <w:szCs w:val="32"/>
          <w:highlight w:val="none"/>
        </w:rPr>
        <w:t>该二级用户将由国网安徽省电力有限公司代理购电，并按代理其他用户购电价格的1.5倍执行。</w:t>
      </w:r>
      <w:r>
        <w:rPr>
          <w:rFonts w:hint="eastAsia" w:ascii="仿宋" w:hAnsi="仿宋" w:eastAsia="仿宋"/>
          <w:sz w:val="32"/>
          <w:szCs w:val="32"/>
        </w:rPr>
        <w:t>本合同为双方就合同标的达成的全部协议，并作为安徽电力交易中心有限公司执行电力市场交易的</w:t>
      </w:r>
      <w:r>
        <w:rPr>
          <w:rFonts w:hint="eastAsia" w:ascii="仿宋" w:hAnsi="仿宋" w:eastAsia="仿宋"/>
          <w:bCs/>
          <w:sz w:val="32"/>
          <w:szCs w:val="32"/>
        </w:rPr>
        <w:t>唯一认定合同</w:t>
      </w:r>
      <w:r>
        <w:rPr>
          <w:rFonts w:hint="eastAsia" w:ascii="仿宋" w:hAnsi="仿宋" w:eastAsia="仿宋"/>
          <w:sz w:val="32"/>
          <w:szCs w:val="32"/>
        </w:rPr>
        <w:t>。</w:t>
      </w:r>
    </w:p>
    <w:p>
      <w:pPr>
        <w:ind w:firstLine="640"/>
        <w:rPr>
          <w:rFonts w:hint="eastAsia" w:ascii="仿宋" w:hAnsi="仿宋" w:eastAsia="仿宋"/>
          <w:sz w:val="32"/>
          <w:szCs w:val="32"/>
          <w:highlight w:val="none"/>
        </w:rPr>
      </w:pPr>
      <w:r>
        <w:rPr>
          <w:rFonts w:hint="eastAsia" w:ascii="仿宋" w:hAnsi="仿宋" w:eastAsia="仿宋" w:cs="宋体"/>
          <w:kern w:val="0"/>
          <w:sz w:val="32"/>
          <w:szCs w:val="30"/>
          <w:highlight w:val="none"/>
        </w:rPr>
        <w:t>1.3</w:t>
      </w:r>
      <w:r>
        <w:rPr>
          <w:rFonts w:hint="eastAsia" w:ascii="仿宋" w:hAnsi="仿宋" w:eastAsia="仿宋" w:cs="宋体"/>
          <w:kern w:val="0"/>
          <w:sz w:val="32"/>
          <w:szCs w:val="30"/>
          <w:highlight w:val="none"/>
          <w:lang w:val="en-US" w:eastAsia="zh-CN"/>
        </w:rPr>
        <w:t xml:space="preserve"> </w:t>
      </w:r>
      <w:r>
        <w:rPr>
          <w:rFonts w:hint="eastAsia" w:ascii="仿宋" w:hAnsi="仿宋" w:eastAsia="仿宋"/>
          <w:sz w:val="32"/>
          <w:szCs w:val="32"/>
          <w:highlight w:val="none"/>
        </w:rPr>
        <w:t>本合同</w:t>
      </w:r>
      <w:r>
        <w:rPr>
          <w:rFonts w:hint="eastAsia" w:ascii="仿宋" w:hAnsi="仿宋" w:eastAsia="仿宋"/>
          <w:color w:val="auto"/>
          <w:sz w:val="32"/>
          <w:szCs w:val="32"/>
          <w:highlight w:val="none"/>
        </w:rPr>
        <w:t>中</w:t>
      </w:r>
      <w:r>
        <w:rPr>
          <w:rFonts w:hint="eastAsia" w:ascii="仿宋" w:hAnsi="仿宋" w:eastAsia="仿宋"/>
          <w:color w:val="auto"/>
          <w:sz w:val="32"/>
          <w:szCs w:val="32"/>
          <w:highlight w:val="none"/>
          <w:lang w:eastAsia="zh-CN"/>
        </w:rPr>
        <w:t>绿色电力交易是指以绿色电力产品为标的物的电力中长期交易，交易电力同时提供国家规定的可再生能源绿色电力证书（简称“绿证”）。绿色电力产品是</w:t>
      </w:r>
      <w:r>
        <w:rPr>
          <w:rFonts w:hint="eastAsia" w:ascii="仿宋" w:hAnsi="仿宋" w:eastAsia="仿宋"/>
          <w:sz w:val="32"/>
          <w:szCs w:val="32"/>
          <w:highlight w:val="none"/>
        </w:rPr>
        <w:t>指</w:t>
      </w:r>
      <w:r>
        <w:rPr>
          <w:rFonts w:hint="eastAsia" w:ascii="仿宋" w:hAnsi="仿宋" w:eastAsia="仿宋"/>
          <w:sz w:val="32"/>
          <w:szCs w:val="32"/>
          <w:highlight w:val="none"/>
          <w:lang w:eastAsia="zh-CN"/>
        </w:rPr>
        <w:t>符合国家有关政策要求的</w:t>
      </w:r>
      <w:r>
        <w:rPr>
          <w:rFonts w:hint="eastAsia" w:ascii="仿宋" w:hAnsi="仿宋" w:eastAsia="仿宋"/>
          <w:sz w:val="32"/>
          <w:szCs w:val="32"/>
          <w:highlight w:val="none"/>
        </w:rPr>
        <w:t>风</w:t>
      </w:r>
      <w:r>
        <w:rPr>
          <w:rFonts w:hint="eastAsia" w:ascii="仿宋" w:hAnsi="仿宋" w:eastAsia="仿宋"/>
          <w:sz w:val="32"/>
          <w:szCs w:val="32"/>
          <w:highlight w:val="none"/>
          <w:lang w:eastAsia="zh-CN"/>
        </w:rPr>
        <w:t>电</w:t>
      </w:r>
      <w:r>
        <w:rPr>
          <w:rFonts w:hint="eastAsia" w:ascii="仿宋" w:hAnsi="仿宋" w:eastAsia="仿宋"/>
          <w:sz w:val="32"/>
          <w:szCs w:val="32"/>
          <w:highlight w:val="none"/>
        </w:rPr>
        <w:t>、</w:t>
      </w:r>
      <w:r>
        <w:rPr>
          <w:rFonts w:hint="eastAsia" w:ascii="仿宋" w:hAnsi="仿宋" w:eastAsia="仿宋"/>
          <w:sz w:val="32"/>
          <w:szCs w:val="32"/>
          <w:highlight w:val="none"/>
          <w:lang w:eastAsia="zh-CN"/>
        </w:rPr>
        <w:t>光伏等可再生能源发电企业上网电量</w:t>
      </w:r>
      <w:r>
        <w:rPr>
          <w:rFonts w:hint="eastAsia" w:ascii="仿宋" w:hAnsi="仿宋" w:eastAsia="仿宋"/>
          <w:sz w:val="32"/>
          <w:szCs w:val="32"/>
          <w:highlight w:val="none"/>
        </w:rPr>
        <w:t>。</w:t>
      </w:r>
    </w:p>
    <w:p>
      <w:pPr>
        <w:ind w:firstLine="640"/>
        <w:rPr>
          <w:rFonts w:hint="eastAsia" w:ascii="仿宋" w:hAnsi="仿宋" w:eastAsia="仿宋"/>
          <w:sz w:val="32"/>
          <w:szCs w:val="32"/>
          <w:highlight w:val="none"/>
          <w:lang w:eastAsia="zh-CN"/>
        </w:rPr>
      </w:pPr>
      <w:r>
        <w:rPr>
          <w:rFonts w:hint="eastAsia" w:ascii="仿宋" w:hAnsi="仿宋" w:eastAsia="仿宋"/>
          <w:sz w:val="32"/>
          <w:szCs w:val="32"/>
          <w:highlight w:val="none"/>
          <w:lang w:val="en-US" w:eastAsia="zh-CN"/>
        </w:rPr>
        <w:t>1.4 本合同中</w:t>
      </w:r>
      <w:r>
        <w:rPr>
          <w:rFonts w:hint="eastAsia" w:ascii="仿宋" w:hAnsi="仿宋" w:eastAsia="仿宋"/>
          <w:sz w:val="32"/>
          <w:szCs w:val="32"/>
          <w:highlight w:val="none"/>
          <w:lang w:eastAsia="zh-CN"/>
        </w:rPr>
        <w:t>常规中长期交易是指除绿色电力交易外的其他电力中长期交易</w:t>
      </w:r>
      <w:r>
        <w:rPr>
          <w:rFonts w:hint="eastAsia" w:ascii="仿宋" w:hAnsi="仿宋" w:eastAsia="仿宋"/>
          <w:color w:val="auto"/>
          <w:sz w:val="32"/>
          <w:szCs w:val="32"/>
          <w:lang w:eastAsia="zh-CN"/>
        </w:rPr>
        <w:t>。</w:t>
      </w:r>
      <w:r>
        <w:rPr>
          <w:rFonts w:hint="eastAsia" w:ascii="仿宋" w:hAnsi="仿宋" w:eastAsia="仿宋"/>
          <w:sz w:val="32"/>
          <w:szCs w:val="32"/>
          <w:highlight w:val="none"/>
        </w:rPr>
        <w:t>本合同</w:t>
      </w:r>
      <w:r>
        <w:rPr>
          <w:rFonts w:hint="eastAsia" w:ascii="仿宋" w:hAnsi="仿宋" w:eastAsia="仿宋"/>
          <w:color w:val="auto"/>
          <w:sz w:val="32"/>
          <w:szCs w:val="32"/>
          <w:highlight w:val="none"/>
        </w:rPr>
        <w:t>中</w:t>
      </w:r>
      <w:r>
        <w:rPr>
          <w:rFonts w:hint="eastAsia" w:ascii="仿宋" w:hAnsi="仿宋" w:eastAsia="仿宋"/>
          <w:sz w:val="32"/>
          <w:szCs w:val="32"/>
          <w:highlight w:val="none"/>
          <w:lang w:eastAsia="zh-CN"/>
        </w:rPr>
        <w:t>新能源发电企业暂指风电、光伏发电企业。</w:t>
      </w:r>
    </w:p>
    <w:p>
      <w:pPr>
        <w:ind w:firstLine="640"/>
        <w:rPr>
          <w:rFonts w:ascii="仿宋" w:hAnsi="仿宋" w:eastAsia="仿宋"/>
          <w:b w:val="0"/>
          <w:bCs w:val="0"/>
          <w:color w:val="auto"/>
          <w:sz w:val="32"/>
          <w:szCs w:val="32"/>
        </w:rPr>
      </w:pPr>
      <w:r>
        <w:rPr>
          <w:rFonts w:hint="eastAsia" w:ascii="仿宋" w:hAnsi="仿宋" w:eastAsia="仿宋"/>
          <w:sz w:val="32"/>
          <w:szCs w:val="32"/>
        </w:rPr>
        <w:t>1.</w:t>
      </w:r>
      <w:r>
        <w:rPr>
          <w:rFonts w:hint="eastAsia" w:ascii="仿宋" w:hAnsi="仿宋" w:eastAsia="仿宋"/>
          <w:sz w:val="32"/>
          <w:szCs w:val="32"/>
          <w:lang w:val="en-US" w:eastAsia="zh-CN"/>
        </w:rPr>
        <w:t>5</w:t>
      </w:r>
      <w:r>
        <w:rPr>
          <w:rFonts w:hint="eastAsia" w:ascii="仿宋" w:hAnsi="仿宋" w:eastAsia="仿宋"/>
          <w:sz w:val="32"/>
          <w:szCs w:val="32"/>
        </w:rPr>
        <w:t xml:space="preserve"> </w:t>
      </w:r>
      <w:r>
        <w:rPr>
          <w:rFonts w:hint="eastAsia" w:ascii="仿宋" w:hAnsi="仿宋" w:eastAsia="仿宋"/>
          <w:b w:val="0"/>
          <w:bCs w:val="0"/>
          <w:color w:val="auto"/>
          <w:sz w:val="32"/>
          <w:szCs w:val="32"/>
        </w:rPr>
        <w:t>本合同中成交电价均指市场化交易成交电价，即售电公司代理用户参加市场交易的电价，不含</w:t>
      </w:r>
      <w:r>
        <w:rPr>
          <w:rFonts w:hint="eastAsia" w:ascii="方正仿宋_GBK" w:hAnsi="方正仿宋_GBK" w:eastAsia="方正仿宋_GBK" w:cs="方正仿宋_GBK"/>
          <w:b w:val="0"/>
          <w:bCs w:val="0"/>
          <w:color w:val="auto"/>
          <w:sz w:val="32"/>
          <w:szCs w:val="32"/>
          <w:lang w:val="en-US" w:eastAsia="zh-CN"/>
        </w:rPr>
        <w:t>上网环节线损费用、</w:t>
      </w:r>
      <w:r>
        <w:rPr>
          <w:rFonts w:hint="eastAsia" w:ascii="方正仿宋_GBK" w:hAnsi="方正仿宋_GBK" w:eastAsia="方正仿宋_GBK" w:cs="方正仿宋_GBK"/>
          <w:b w:val="0"/>
          <w:bCs w:val="0"/>
          <w:color w:val="auto"/>
          <w:sz w:val="32"/>
          <w:szCs w:val="32"/>
          <w:highlight w:val="none"/>
          <w:lang w:val="en-US" w:eastAsia="zh-CN"/>
        </w:rPr>
        <w:t>输配电费、</w:t>
      </w:r>
      <w:r>
        <w:rPr>
          <w:rFonts w:hint="eastAsia" w:ascii="方正仿宋_GBK" w:hAnsi="方正仿宋_GBK" w:eastAsia="方正仿宋_GBK" w:cs="方正仿宋_GBK"/>
          <w:b w:val="0"/>
          <w:bCs w:val="0"/>
          <w:color w:val="auto"/>
          <w:sz w:val="32"/>
          <w:szCs w:val="32"/>
          <w:lang w:val="en-US" w:eastAsia="zh-CN"/>
        </w:rPr>
        <w:t>系统运行</w:t>
      </w:r>
      <w:r>
        <w:rPr>
          <w:rFonts w:hint="eastAsia" w:ascii="方正仿宋_GBK" w:hAnsi="方正仿宋_GBK" w:eastAsia="方正仿宋_GBK" w:cs="方正仿宋_GBK"/>
          <w:b w:val="0"/>
          <w:bCs w:val="0"/>
          <w:color w:val="auto"/>
          <w:sz w:val="32"/>
          <w:szCs w:val="32"/>
        </w:rPr>
        <w:t>费用、</w:t>
      </w:r>
      <w:r>
        <w:rPr>
          <w:rFonts w:hint="eastAsia" w:ascii="方正仿宋_GBK" w:hAnsi="方正仿宋_GBK" w:eastAsia="方正仿宋_GBK" w:cs="方正仿宋_GBK"/>
          <w:b w:val="0"/>
          <w:bCs w:val="0"/>
          <w:color w:val="auto"/>
          <w:sz w:val="32"/>
          <w:szCs w:val="32"/>
          <w:highlight w:val="none"/>
          <w:lang w:val="en-US" w:eastAsia="zh-CN"/>
        </w:rPr>
        <w:t>政府性基金及附加</w:t>
      </w:r>
      <w:r>
        <w:rPr>
          <w:rFonts w:hint="eastAsia" w:ascii="仿宋" w:hAnsi="仿宋" w:eastAsia="仿宋"/>
          <w:b w:val="0"/>
          <w:bCs w:val="0"/>
          <w:color w:val="auto"/>
          <w:sz w:val="32"/>
          <w:szCs w:val="32"/>
        </w:rPr>
        <w:t>。甲方实际购电费结算电价需在上述市场化交易成交电价的基础上加上</w:t>
      </w:r>
      <w:r>
        <w:rPr>
          <w:rFonts w:hint="eastAsia" w:ascii="方正仿宋_GBK" w:hAnsi="方正仿宋_GBK" w:eastAsia="方正仿宋_GBK" w:cs="方正仿宋_GBK"/>
          <w:b w:val="0"/>
          <w:bCs w:val="0"/>
          <w:color w:val="auto"/>
          <w:sz w:val="32"/>
          <w:szCs w:val="32"/>
          <w:lang w:val="en-US" w:eastAsia="zh-CN"/>
        </w:rPr>
        <w:t>上网环节线损费用、</w:t>
      </w:r>
      <w:r>
        <w:rPr>
          <w:rFonts w:hint="eastAsia" w:ascii="方正仿宋_GBK" w:hAnsi="方正仿宋_GBK" w:eastAsia="方正仿宋_GBK" w:cs="方正仿宋_GBK"/>
          <w:b w:val="0"/>
          <w:bCs w:val="0"/>
          <w:color w:val="auto"/>
          <w:sz w:val="32"/>
          <w:szCs w:val="32"/>
          <w:highlight w:val="none"/>
          <w:lang w:val="en-US" w:eastAsia="zh-CN"/>
        </w:rPr>
        <w:t>输配电费、</w:t>
      </w:r>
      <w:r>
        <w:rPr>
          <w:rFonts w:hint="eastAsia" w:ascii="方正仿宋_GBK" w:hAnsi="方正仿宋_GBK" w:eastAsia="方正仿宋_GBK" w:cs="方正仿宋_GBK"/>
          <w:b w:val="0"/>
          <w:bCs w:val="0"/>
          <w:color w:val="auto"/>
          <w:sz w:val="32"/>
          <w:szCs w:val="32"/>
          <w:lang w:val="en-US" w:eastAsia="zh-CN"/>
        </w:rPr>
        <w:t>系统运行</w:t>
      </w:r>
      <w:r>
        <w:rPr>
          <w:rFonts w:hint="eastAsia" w:ascii="方正仿宋_GBK" w:hAnsi="方正仿宋_GBK" w:eastAsia="方正仿宋_GBK" w:cs="方正仿宋_GBK"/>
          <w:b w:val="0"/>
          <w:bCs w:val="0"/>
          <w:color w:val="auto"/>
          <w:sz w:val="32"/>
          <w:szCs w:val="32"/>
        </w:rPr>
        <w:t>费用、</w:t>
      </w:r>
      <w:r>
        <w:rPr>
          <w:rFonts w:hint="eastAsia" w:ascii="方正仿宋_GBK" w:hAnsi="方正仿宋_GBK" w:eastAsia="方正仿宋_GBK" w:cs="方正仿宋_GBK"/>
          <w:b w:val="0"/>
          <w:bCs w:val="0"/>
          <w:color w:val="auto"/>
          <w:sz w:val="32"/>
          <w:szCs w:val="32"/>
          <w:highlight w:val="none"/>
          <w:lang w:val="en-US" w:eastAsia="zh-CN"/>
        </w:rPr>
        <w:t>政府性基金及附加</w:t>
      </w:r>
      <w:r>
        <w:rPr>
          <w:rFonts w:hint="eastAsia" w:ascii="仿宋" w:hAnsi="仿宋" w:eastAsia="仿宋"/>
          <w:b w:val="0"/>
          <w:bCs w:val="0"/>
          <w:color w:val="auto"/>
          <w:sz w:val="32"/>
          <w:szCs w:val="32"/>
        </w:rPr>
        <w:t>等。</w:t>
      </w:r>
    </w:p>
    <w:p>
      <w:pPr>
        <w:ind w:firstLine="64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6</w:t>
      </w:r>
      <w:r>
        <w:rPr>
          <w:rFonts w:hint="eastAsia" w:ascii="仿宋" w:hAnsi="仿宋" w:eastAsia="仿宋"/>
          <w:sz w:val="32"/>
          <w:szCs w:val="32"/>
        </w:rPr>
        <w:t xml:space="preserve"> 本合同中的市场术语均依照安徽电力市场相关规则，其具体解释按规则执行。本合同中双方做出的市场交易约定需符合安徽省电力交易市场相关规则，双方对本合同内容做出违背或超出市场规则的</w:t>
      </w:r>
      <w:r>
        <w:rPr>
          <w:rFonts w:hint="eastAsia" w:ascii="仿宋" w:hAnsi="仿宋" w:eastAsia="仿宋"/>
          <w:color w:val="auto"/>
          <w:sz w:val="32"/>
          <w:szCs w:val="32"/>
          <w:lang w:eastAsia="zh-CN"/>
        </w:rPr>
        <w:t>约定</w:t>
      </w:r>
      <w:r>
        <w:rPr>
          <w:rFonts w:hint="eastAsia" w:ascii="仿宋" w:hAnsi="仿宋" w:eastAsia="仿宋"/>
          <w:sz w:val="32"/>
          <w:szCs w:val="32"/>
        </w:rPr>
        <w:t>均属于虚假</w:t>
      </w:r>
      <w:r>
        <w:rPr>
          <w:rFonts w:hint="eastAsia" w:ascii="仿宋" w:hAnsi="仿宋" w:eastAsia="仿宋"/>
          <w:color w:val="auto"/>
          <w:sz w:val="32"/>
          <w:szCs w:val="32"/>
        </w:rPr>
        <w:t>承诺</w:t>
      </w:r>
      <w:r>
        <w:rPr>
          <w:rFonts w:hint="eastAsia" w:ascii="仿宋" w:hAnsi="仿宋" w:eastAsia="仿宋"/>
          <w:sz w:val="32"/>
          <w:szCs w:val="32"/>
        </w:rPr>
        <w:t>。</w:t>
      </w:r>
    </w:p>
    <w:p>
      <w:pPr>
        <w:ind w:firstLine="64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 xml:space="preserve">7 </w:t>
      </w:r>
      <w:r>
        <w:rPr>
          <w:rFonts w:hint="eastAsia" w:ascii="仿宋" w:hAnsi="仿宋" w:eastAsia="仿宋"/>
          <w:sz w:val="32"/>
          <w:szCs w:val="32"/>
        </w:rPr>
        <w:t>对于本合同中需当事人填写之处，当事人应根据实际情况填写。如当事人约定无需填写的，则应注明“无”或划“/”。</w:t>
      </w:r>
    </w:p>
    <w:p>
      <w:pPr>
        <w:ind w:firstLine="64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 xml:space="preserve">8 </w:t>
      </w:r>
      <w:r>
        <w:rPr>
          <w:rFonts w:hint="eastAsia" w:ascii="仿宋" w:hAnsi="仿宋" w:eastAsia="仿宋"/>
          <w:sz w:val="32"/>
          <w:szCs w:val="32"/>
        </w:rPr>
        <w:t>本合同双方需加盖</w:t>
      </w:r>
      <w:r>
        <w:rPr>
          <w:rFonts w:hint="eastAsia" w:ascii="仿宋" w:hAnsi="仿宋" w:eastAsia="仿宋"/>
          <w:sz w:val="32"/>
          <w:szCs w:val="32"/>
          <w:lang w:eastAsia="zh-CN"/>
        </w:rPr>
        <w:t>骑</w:t>
      </w:r>
      <w:r>
        <w:rPr>
          <w:rFonts w:hint="eastAsia" w:ascii="仿宋" w:hAnsi="仿宋" w:eastAsia="仿宋"/>
          <w:sz w:val="32"/>
          <w:szCs w:val="32"/>
        </w:rPr>
        <w:t>缝章。</w:t>
      </w:r>
    </w:p>
    <w:p>
      <w:pPr>
        <w:ind w:firstLine="640"/>
        <w:rPr>
          <w:rFonts w:ascii="仿宋" w:hAnsi="仿宋" w:eastAsia="仿宋"/>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jc w:val="center"/>
        <w:rPr>
          <w:rFonts w:ascii="黑体" w:hAnsi="黑体" w:eastAsia="黑体" w:cs="Arial"/>
          <w:sz w:val="32"/>
          <w:szCs w:val="32"/>
        </w:rPr>
      </w:pPr>
    </w:p>
    <w:p>
      <w:pPr>
        <w:widowControl/>
        <w:jc w:val="center"/>
        <w:rPr>
          <w:rFonts w:ascii="仿宋" w:hAnsi="仿宋" w:eastAsia="仿宋"/>
          <w:b/>
          <w:sz w:val="44"/>
          <w:szCs w:val="32"/>
        </w:rPr>
      </w:pPr>
      <w:r>
        <w:rPr>
          <w:rFonts w:hint="eastAsia" w:ascii="仿宋" w:hAnsi="仿宋" w:eastAsia="仿宋"/>
          <w:b/>
          <w:sz w:val="44"/>
          <w:szCs w:val="32"/>
        </w:rPr>
        <w:t>目 录</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第一章 双方陈述</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第二章 双方的权利和义务</w:t>
      </w:r>
    </w:p>
    <w:p>
      <w:pPr>
        <w:autoSpaceDE w:val="0"/>
        <w:autoSpaceDN w:val="0"/>
        <w:adjustRightInd w:val="0"/>
        <w:spacing w:line="360" w:lineRule="auto"/>
        <w:jc w:val="left"/>
        <w:rPr>
          <w:rFonts w:hint="eastAsia" w:ascii="仿宋" w:hAnsi="仿宋" w:eastAsia="仿宋" w:cs="宋体"/>
          <w:kern w:val="0"/>
          <w:sz w:val="32"/>
          <w:szCs w:val="32"/>
        </w:rPr>
      </w:pPr>
      <w:r>
        <w:rPr>
          <w:rFonts w:hint="eastAsia" w:ascii="仿宋" w:hAnsi="仿宋" w:eastAsia="仿宋" w:cs="宋体"/>
          <w:kern w:val="0"/>
          <w:sz w:val="32"/>
          <w:szCs w:val="32"/>
        </w:rPr>
        <w:t>第三章 交易电量、电价</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第四章 合同中止</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第五章 合同违约及赔偿</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第六章 争议的解决</w:t>
      </w:r>
    </w:p>
    <w:p>
      <w:pPr>
        <w:autoSpaceDE w:val="0"/>
        <w:autoSpaceDN w:val="0"/>
        <w:adjustRightInd w:val="0"/>
        <w:spacing w:line="360" w:lineRule="auto"/>
        <w:jc w:val="left"/>
        <w:rPr>
          <w:rFonts w:ascii="仿宋" w:hAnsi="仿宋" w:eastAsia="仿宋" w:cs="宋体"/>
          <w:kern w:val="0"/>
          <w:sz w:val="32"/>
          <w:szCs w:val="32"/>
        </w:rPr>
      </w:pPr>
      <w:r>
        <w:rPr>
          <w:rFonts w:hint="eastAsia" w:ascii="仿宋" w:hAnsi="仿宋" w:eastAsia="仿宋" w:cs="宋体"/>
          <w:kern w:val="0"/>
          <w:sz w:val="32"/>
          <w:szCs w:val="32"/>
        </w:rPr>
        <w:t>第七章 适用法律</w:t>
      </w:r>
    </w:p>
    <w:p>
      <w:pPr>
        <w:spacing w:line="360" w:lineRule="auto"/>
        <w:rPr>
          <w:rFonts w:ascii="仿宋" w:hAnsi="仿宋" w:eastAsia="仿宋" w:cs="宋体"/>
          <w:kern w:val="0"/>
          <w:sz w:val="32"/>
          <w:szCs w:val="32"/>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宋体"/>
          <w:kern w:val="0"/>
          <w:sz w:val="32"/>
          <w:szCs w:val="32"/>
        </w:rPr>
        <w:t>第八章 其他</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零售市场代理合同（以下简称本合同）由以下双方签署：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1.甲方（电力用户）：____________，系一家具有法人资格/经法人单位授权的用电企业，在____________</w:t>
      </w:r>
      <w:r>
        <w:rPr>
          <w:rFonts w:hint="eastAsia" w:ascii="仿宋" w:hAnsi="仿宋" w:eastAsia="仿宋"/>
          <w:sz w:val="32"/>
          <w:szCs w:val="32"/>
          <w:highlight w:val="none"/>
        </w:rPr>
        <w:t>_</w:t>
      </w:r>
      <w:r>
        <w:rPr>
          <w:rFonts w:hint="eastAsia" w:ascii="仿宋" w:hAnsi="仿宋" w:eastAsia="仿宋"/>
          <w:sz w:val="32"/>
          <w:szCs w:val="32"/>
          <w:highlight w:val="none"/>
          <w:lang w:eastAsia="zh-CN"/>
        </w:rPr>
        <w:t>市场监督管理局</w:t>
      </w:r>
      <w:r>
        <w:rPr>
          <w:rFonts w:hint="eastAsia" w:ascii="仿宋" w:hAnsi="仿宋" w:eastAsia="仿宋"/>
          <w:sz w:val="32"/>
          <w:szCs w:val="32"/>
          <w:highlight w:val="none"/>
        </w:rPr>
        <w:t>登记注册,统一社会信用代码_____________</w:t>
      </w:r>
      <w:r>
        <w:rPr>
          <w:rFonts w:hint="eastAsia" w:ascii="仿宋" w:hAnsi="仿宋" w:eastAsia="仿宋"/>
          <w:sz w:val="32"/>
          <w:szCs w:val="32"/>
        </w:rPr>
        <w:t>____，住所____________________，法定代表人___________。</w:t>
      </w:r>
    </w:p>
    <w:p>
      <w:pPr>
        <w:ind w:firstLine="640" w:firstLineChars="200"/>
        <w:rPr>
          <w:rFonts w:ascii="仿宋" w:hAnsi="仿宋" w:eastAsia="仿宋"/>
          <w:sz w:val="32"/>
          <w:szCs w:val="32"/>
        </w:rPr>
      </w:pPr>
      <w:r>
        <w:rPr>
          <w:rFonts w:hint="eastAsia" w:ascii="仿宋" w:hAnsi="仿宋" w:eastAsia="仿宋"/>
          <w:sz w:val="32"/>
          <w:szCs w:val="32"/>
        </w:rPr>
        <w:t>甲方联络通讯信息如下：</w:t>
      </w:r>
    </w:p>
    <w:p>
      <w:pPr>
        <w:ind w:firstLine="640" w:firstLineChars="200"/>
        <w:rPr>
          <w:rFonts w:ascii="仿宋" w:hAnsi="仿宋" w:eastAsia="仿宋"/>
          <w:sz w:val="32"/>
          <w:szCs w:val="32"/>
        </w:rPr>
      </w:pPr>
      <w:r>
        <w:rPr>
          <w:rFonts w:hint="eastAsia" w:ascii="仿宋" w:hAnsi="仿宋" w:eastAsia="仿宋"/>
          <w:sz w:val="32"/>
          <w:szCs w:val="32"/>
        </w:rPr>
        <w:t>联系人：____________电子邮箱：____________</w:t>
      </w:r>
    </w:p>
    <w:p>
      <w:pPr>
        <w:ind w:firstLine="640" w:firstLineChars="200"/>
        <w:rPr>
          <w:rFonts w:ascii="仿宋" w:hAnsi="仿宋" w:eastAsia="仿宋"/>
          <w:sz w:val="32"/>
          <w:szCs w:val="32"/>
        </w:rPr>
      </w:pPr>
      <w:r>
        <w:rPr>
          <w:rFonts w:hint="eastAsia" w:ascii="仿宋" w:hAnsi="仿宋" w:eastAsia="仿宋"/>
          <w:sz w:val="32"/>
          <w:szCs w:val="32"/>
        </w:rPr>
        <w:t>办公电话：____________手机：______________</w:t>
      </w:r>
    </w:p>
    <w:p>
      <w:pPr>
        <w:ind w:firstLine="640" w:firstLineChars="200"/>
        <w:rPr>
          <w:rFonts w:ascii="仿宋" w:hAnsi="仿宋" w:eastAsia="仿宋"/>
          <w:sz w:val="32"/>
          <w:szCs w:val="32"/>
        </w:rPr>
      </w:pPr>
      <w:r>
        <w:rPr>
          <w:rFonts w:hint="eastAsia" w:ascii="仿宋" w:hAnsi="仿宋" w:eastAsia="仿宋"/>
          <w:sz w:val="32"/>
          <w:szCs w:val="32"/>
        </w:rPr>
        <w:t>通信地址：________________________________</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2.乙方（售电公司）：_____________，系一家具有法人资格的售电公司，在_____________</w:t>
      </w:r>
      <w:r>
        <w:rPr>
          <w:rFonts w:hint="eastAsia" w:ascii="仿宋" w:hAnsi="仿宋" w:eastAsia="仿宋"/>
          <w:sz w:val="32"/>
          <w:szCs w:val="32"/>
          <w:lang w:eastAsia="zh-CN"/>
        </w:rPr>
        <w:t>市场监督管理局</w:t>
      </w:r>
      <w:r>
        <w:rPr>
          <w:rFonts w:hint="eastAsia" w:ascii="仿宋" w:hAnsi="仿宋" w:eastAsia="仿宋"/>
          <w:sz w:val="32"/>
          <w:szCs w:val="32"/>
        </w:rPr>
        <w:t>登记注册,统一社会信用代码____________，住所_______________，法定代表人___________。</w:t>
      </w:r>
    </w:p>
    <w:p>
      <w:pPr>
        <w:ind w:firstLine="640" w:firstLineChars="200"/>
        <w:rPr>
          <w:rFonts w:ascii="仿宋" w:hAnsi="仿宋" w:eastAsia="仿宋"/>
          <w:sz w:val="32"/>
          <w:szCs w:val="32"/>
        </w:rPr>
      </w:pPr>
      <w:r>
        <w:rPr>
          <w:rFonts w:hint="eastAsia" w:ascii="仿宋" w:hAnsi="仿宋" w:eastAsia="仿宋"/>
          <w:sz w:val="32"/>
          <w:szCs w:val="32"/>
        </w:rPr>
        <w:t>乙方联络通讯信息如下：</w:t>
      </w:r>
    </w:p>
    <w:p>
      <w:pPr>
        <w:ind w:firstLine="640" w:firstLineChars="200"/>
        <w:rPr>
          <w:rFonts w:ascii="仿宋" w:hAnsi="仿宋" w:eastAsia="仿宋"/>
          <w:sz w:val="32"/>
          <w:szCs w:val="32"/>
        </w:rPr>
      </w:pPr>
      <w:r>
        <w:rPr>
          <w:rFonts w:hint="eastAsia" w:ascii="仿宋" w:hAnsi="仿宋" w:eastAsia="仿宋"/>
          <w:sz w:val="32"/>
          <w:szCs w:val="32"/>
        </w:rPr>
        <w:t>联系人：____________电子邮箱：____________</w:t>
      </w:r>
    </w:p>
    <w:p>
      <w:pPr>
        <w:ind w:firstLine="640" w:firstLineChars="200"/>
        <w:rPr>
          <w:rFonts w:ascii="仿宋" w:hAnsi="仿宋" w:eastAsia="仿宋"/>
          <w:sz w:val="32"/>
          <w:szCs w:val="32"/>
        </w:rPr>
      </w:pPr>
      <w:r>
        <w:rPr>
          <w:rFonts w:hint="eastAsia" w:ascii="仿宋" w:hAnsi="仿宋" w:eastAsia="仿宋"/>
          <w:sz w:val="32"/>
          <w:szCs w:val="32"/>
        </w:rPr>
        <w:t>办公电话：____________手机：______________</w:t>
      </w:r>
    </w:p>
    <w:p>
      <w:pPr>
        <w:ind w:firstLine="640" w:firstLineChars="200"/>
        <w:rPr>
          <w:rFonts w:ascii="仿宋" w:hAnsi="仿宋" w:eastAsia="仿宋"/>
          <w:sz w:val="32"/>
          <w:szCs w:val="32"/>
        </w:rPr>
      </w:pPr>
      <w:r>
        <w:rPr>
          <w:rFonts w:hint="eastAsia" w:ascii="仿宋" w:hAnsi="仿宋" w:eastAsia="仿宋"/>
          <w:sz w:val="32"/>
          <w:szCs w:val="32"/>
        </w:rPr>
        <w:t>通信地址：________________________________</w:t>
      </w:r>
    </w:p>
    <w:p>
      <w:pPr>
        <w:ind w:firstLine="640" w:firstLineChars="200"/>
        <w:rPr>
          <w:rFonts w:ascii="仿宋" w:hAnsi="仿宋" w:eastAsia="仿宋"/>
          <w:sz w:val="32"/>
          <w:szCs w:val="32"/>
        </w:rPr>
      </w:pPr>
      <w:r>
        <w:rPr>
          <w:rFonts w:hint="eastAsia" w:ascii="仿宋" w:hAnsi="仿宋" w:eastAsia="仿宋"/>
          <w:sz w:val="32"/>
          <w:szCs w:val="32"/>
        </w:rPr>
        <w:br w:type="page"/>
      </w:r>
      <w:r>
        <w:rPr>
          <w:rFonts w:hint="eastAsia" w:ascii="仿宋" w:hAnsi="仿宋" w:eastAsia="仿宋"/>
          <w:sz w:val="32"/>
          <w:szCs w:val="32"/>
        </w:rPr>
        <w:t>鉴于：</w:t>
      </w:r>
    </w:p>
    <w:p>
      <w:pPr>
        <w:autoSpaceDE w:val="0"/>
        <w:autoSpaceDN w:val="0"/>
        <w:adjustRightInd w:val="0"/>
        <w:ind w:firstLine="640" w:firstLineChars="200"/>
        <w:jc w:val="left"/>
        <w:rPr>
          <w:rFonts w:hint="eastAsia" w:ascii="仿宋" w:hAnsi="仿宋" w:eastAsia="仿宋" w:cs="宋体"/>
          <w:kern w:val="0"/>
          <w:sz w:val="32"/>
          <w:szCs w:val="30"/>
        </w:rPr>
      </w:pPr>
      <w:r>
        <w:rPr>
          <w:rFonts w:hint="eastAsia" w:ascii="仿宋" w:hAnsi="仿宋" w:eastAsia="仿宋" w:cs="宋体"/>
          <w:kern w:val="0"/>
          <w:sz w:val="32"/>
          <w:szCs w:val="30"/>
        </w:rPr>
        <w:t>双方根据国家有关法律、法规，依据安徽电力中长期交易规则</w:t>
      </w:r>
      <w:r>
        <w:rPr>
          <w:rFonts w:hint="eastAsia" w:ascii="仿宋" w:hAnsi="仿宋" w:eastAsia="仿宋" w:cs="宋体"/>
          <w:kern w:val="0"/>
          <w:sz w:val="32"/>
          <w:szCs w:val="30"/>
          <w:lang w:eastAsia="zh-CN"/>
        </w:rPr>
        <w:t>及</w:t>
      </w:r>
      <w:r>
        <w:rPr>
          <w:rFonts w:hint="eastAsia" w:ascii="仿宋" w:hAnsi="仿宋" w:eastAsia="仿宋" w:cs="宋体"/>
          <w:kern w:val="0"/>
          <w:sz w:val="32"/>
          <w:szCs w:val="30"/>
        </w:rPr>
        <w:t>年度实施方案</w:t>
      </w:r>
      <w:r>
        <w:rPr>
          <w:rFonts w:hint="eastAsia" w:ascii="仿宋" w:hAnsi="仿宋" w:eastAsia="仿宋" w:cs="宋体"/>
          <w:kern w:val="0"/>
          <w:sz w:val="32"/>
          <w:szCs w:val="30"/>
          <w:lang w:eastAsia="zh-CN"/>
        </w:rPr>
        <w:t>、绿色电力交易相关规则、安徽现货市场建设相关政策规则等</w:t>
      </w:r>
      <w:r>
        <w:rPr>
          <w:rFonts w:hint="eastAsia" w:ascii="仿宋" w:hAnsi="仿宋" w:eastAsia="仿宋" w:cs="宋体"/>
          <w:kern w:val="0"/>
          <w:sz w:val="32"/>
          <w:szCs w:val="30"/>
        </w:rPr>
        <w:t>，本着平等、自愿、公平、诚信的原则，经协商一致，签订本合同。</w:t>
      </w:r>
    </w:p>
    <w:p>
      <w:pPr>
        <w:autoSpaceDE w:val="0"/>
        <w:autoSpaceDN w:val="0"/>
        <w:adjustRightInd w:val="0"/>
        <w:spacing w:beforeLines="50"/>
        <w:jc w:val="center"/>
        <w:rPr>
          <w:rFonts w:ascii="仿宋" w:hAnsi="仿宋" w:eastAsia="仿宋" w:cs="宋体"/>
          <w:b/>
          <w:kern w:val="0"/>
          <w:sz w:val="32"/>
          <w:szCs w:val="30"/>
        </w:rPr>
      </w:pPr>
      <w:r>
        <w:rPr>
          <w:rFonts w:hint="eastAsia" w:ascii="仿宋" w:hAnsi="仿宋" w:eastAsia="仿宋" w:cs="宋体"/>
          <w:b/>
          <w:kern w:val="0"/>
          <w:sz w:val="32"/>
          <w:szCs w:val="30"/>
        </w:rPr>
        <w:t>第一章 双方陈述</w:t>
      </w:r>
    </w:p>
    <w:p>
      <w:pPr>
        <w:autoSpaceDE w:val="0"/>
        <w:autoSpaceDN w:val="0"/>
        <w:adjustRightInd w:val="0"/>
        <w:ind w:firstLine="640" w:firstLineChars="200"/>
        <w:jc w:val="left"/>
        <w:rPr>
          <w:rFonts w:ascii="仿宋" w:hAnsi="仿宋" w:eastAsia="仿宋" w:cs="宋体"/>
          <w:kern w:val="0"/>
          <w:sz w:val="32"/>
          <w:szCs w:val="30"/>
        </w:rPr>
      </w:pPr>
      <w:r>
        <w:rPr>
          <w:rFonts w:hint="eastAsia" w:ascii="仿宋" w:hAnsi="仿宋" w:eastAsia="仿宋" w:cs="宋体"/>
          <w:kern w:val="0"/>
          <w:sz w:val="32"/>
          <w:szCs w:val="30"/>
        </w:rPr>
        <w:t>甲、乙双方任何一方在此向对方陈述如下：</w:t>
      </w:r>
    </w:p>
    <w:p>
      <w:pPr>
        <w:autoSpaceDE w:val="0"/>
        <w:autoSpaceDN w:val="0"/>
        <w:adjustRightInd w:val="0"/>
        <w:ind w:firstLine="640" w:firstLineChars="200"/>
        <w:jc w:val="left"/>
        <w:rPr>
          <w:rFonts w:ascii="仿宋" w:hAnsi="仿宋" w:eastAsia="仿宋" w:cs="宋体"/>
          <w:kern w:val="0"/>
          <w:sz w:val="32"/>
          <w:szCs w:val="30"/>
        </w:rPr>
      </w:pPr>
      <w:r>
        <w:rPr>
          <w:rFonts w:hint="eastAsia" w:ascii="仿宋" w:hAnsi="仿宋" w:eastAsia="仿宋" w:cs="宋体"/>
          <w:kern w:val="0"/>
          <w:sz w:val="32"/>
          <w:szCs w:val="30"/>
        </w:rPr>
        <w:t>1.1 本方为一家依法设立并合法存续的企业，有权签署并有能力履行本合同。</w:t>
      </w:r>
    </w:p>
    <w:p>
      <w:pPr>
        <w:autoSpaceDE w:val="0"/>
        <w:autoSpaceDN w:val="0"/>
        <w:adjustRightInd w:val="0"/>
        <w:ind w:firstLine="640" w:firstLineChars="200"/>
        <w:rPr>
          <w:rFonts w:ascii="仿宋" w:hAnsi="仿宋" w:eastAsia="仿宋" w:cs="宋体"/>
          <w:kern w:val="0"/>
          <w:sz w:val="32"/>
          <w:szCs w:val="30"/>
        </w:rPr>
      </w:pPr>
      <w:r>
        <w:rPr>
          <w:rFonts w:hint="eastAsia" w:ascii="仿宋" w:hAnsi="仿宋" w:eastAsia="仿宋" w:cs="宋体"/>
          <w:kern w:val="0"/>
          <w:sz w:val="32"/>
          <w:szCs w:val="30"/>
        </w:rPr>
        <w:t>1.2 本方签署和履行本合同所需的一切手续（包括办理必要的政府批准、取得营业执照等）均已</w:t>
      </w:r>
      <w:r>
        <w:rPr>
          <w:rFonts w:hint="eastAsia" w:ascii="仿宋" w:hAnsi="仿宋" w:eastAsia="仿宋" w:cs="宋体"/>
          <w:kern w:val="0"/>
          <w:sz w:val="32"/>
          <w:szCs w:val="30"/>
          <w:lang w:val="en-US" w:eastAsia="zh-CN"/>
        </w:rPr>
        <w:t>办理完毕</w:t>
      </w:r>
      <w:r>
        <w:rPr>
          <w:rFonts w:hint="eastAsia" w:ascii="仿宋" w:hAnsi="仿宋" w:eastAsia="仿宋" w:cs="宋体"/>
          <w:kern w:val="0"/>
          <w:sz w:val="32"/>
          <w:szCs w:val="30"/>
        </w:rPr>
        <w:t>并合法有效。</w:t>
      </w:r>
    </w:p>
    <w:p>
      <w:pPr>
        <w:autoSpaceDE w:val="0"/>
        <w:autoSpaceDN w:val="0"/>
        <w:adjustRightInd w:val="0"/>
        <w:ind w:firstLine="640" w:firstLineChars="200"/>
        <w:rPr>
          <w:rFonts w:ascii="仿宋" w:hAnsi="仿宋" w:eastAsia="仿宋" w:cs="宋体"/>
          <w:kern w:val="0"/>
          <w:sz w:val="32"/>
          <w:szCs w:val="30"/>
        </w:rPr>
      </w:pPr>
      <w:r>
        <w:rPr>
          <w:rFonts w:hint="eastAsia" w:ascii="仿宋" w:hAnsi="仿宋" w:eastAsia="仿宋" w:cs="宋体"/>
          <w:kern w:val="0"/>
          <w:sz w:val="32"/>
          <w:szCs w:val="30"/>
        </w:rPr>
        <w:t>1.3 在签署本合同时，</w:t>
      </w:r>
      <w:r>
        <w:rPr>
          <w:rFonts w:hint="eastAsia" w:ascii="仿宋" w:hAnsi="仿宋" w:eastAsia="仿宋" w:cs="宋体"/>
          <w:kern w:val="0"/>
          <w:sz w:val="32"/>
          <w:szCs w:val="30"/>
          <w:lang w:val="en-US" w:eastAsia="zh-CN"/>
        </w:rPr>
        <w:t>人民</w:t>
      </w:r>
      <w:r>
        <w:rPr>
          <w:rFonts w:hint="eastAsia" w:ascii="仿宋" w:hAnsi="仿宋" w:eastAsia="仿宋" w:cs="宋体"/>
          <w:kern w:val="0"/>
          <w:sz w:val="32"/>
          <w:szCs w:val="30"/>
        </w:rPr>
        <w:t>法院、仲裁机构、行政机关均未做出过任何足以对本方履行本合同产生重大不利影响的判决、裁定、裁决或具体行政行为。</w:t>
      </w:r>
    </w:p>
    <w:p>
      <w:pPr>
        <w:autoSpaceDE w:val="0"/>
        <w:autoSpaceDN w:val="0"/>
        <w:adjustRightInd w:val="0"/>
        <w:ind w:firstLine="640" w:firstLineChars="200"/>
        <w:rPr>
          <w:rFonts w:ascii="仿宋" w:hAnsi="仿宋" w:eastAsia="仿宋" w:cs="宋体"/>
          <w:color w:val="auto"/>
          <w:kern w:val="0"/>
          <w:sz w:val="32"/>
          <w:szCs w:val="30"/>
        </w:rPr>
      </w:pPr>
      <w:r>
        <w:rPr>
          <w:rFonts w:hint="eastAsia" w:ascii="仿宋" w:hAnsi="仿宋" w:eastAsia="仿宋" w:cs="宋体"/>
          <w:kern w:val="0"/>
          <w:sz w:val="32"/>
          <w:szCs w:val="30"/>
        </w:rPr>
        <w:t>1.4 本方为签署本合同所需的内部授权程序均已完成，签署本合同的是本方法定代表人或授权代理人，并且本合同</w:t>
      </w:r>
      <w:r>
        <w:rPr>
          <w:rFonts w:hint="eastAsia" w:ascii="仿宋" w:hAnsi="仿宋" w:eastAsia="仿宋" w:cs="宋体"/>
          <w:color w:val="auto"/>
          <w:kern w:val="0"/>
          <w:sz w:val="32"/>
          <w:szCs w:val="30"/>
        </w:rPr>
        <w:t>生效后即对双方具有法律约束力。</w:t>
      </w:r>
    </w:p>
    <w:p>
      <w:pPr>
        <w:autoSpaceDE w:val="0"/>
        <w:autoSpaceDN w:val="0"/>
        <w:adjustRightInd w:val="0"/>
        <w:ind w:firstLine="640" w:firstLineChars="200"/>
        <w:rPr>
          <w:rFonts w:ascii="仿宋" w:hAnsi="仿宋" w:eastAsia="仿宋" w:cs="宋体"/>
          <w:color w:val="auto"/>
          <w:kern w:val="0"/>
          <w:sz w:val="32"/>
          <w:szCs w:val="30"/>
        </w:rPr>
      </w:pPr>
      <w:r>
        <w:rPr>
          <w:rFonts w:hint="eastAsia" w:ascii="仿宋" w:hAnsi="仿宋" w:eastAsia="仿宋" w:cs="宋体"/>
          <w:color w:val="auto"/>
          <w:kern w:val="0"/>
          <w:sz w:val="32"/>
          <w:szCs w:val="30"/>
        </w:rPr>
        <w:t>1.5 本方签署的合同内容符合国家有关市场交易的法律、法规以及政策等。</w:t>
      </w:r>
    </w:p>
    <w:p>
      <w:pPr>
        <w:autoSpaceDE w:val="0"/>
        <w:autoSpaceDN w:val="0"/>
        <w:adjustRightInd w:val="0"/>
        <w:ind w:firstLine="640" w:firstLineChars="200"/>
        <w:rPr>
          <w:rFonts w:ascii="仿宋" w:hAnsi="仿宋" w:eastAsia="仿宋" w:cs="宋体"/>
          <w:color w:val="auto"/>
          <w:kern w:val="0"/>
          <w:sz w:val="32"/>
          <w:szCs w:val="30"/>
        </w:rPr>
      </w:pPr>
      <w:r>
        <w:rPr>
          <w:rFonts w:hint="eastAsia" w:ascii="仿宋" w:hAnsi="仿宋" w:eastAsia="仿宋" w:cs="宋体"/>
          <w:color w:val="auto"/>
          <w:kern w:val="0"/>
          <w:sz w:val="32"/>
          <w:szCs w:val="30"/>
        </w:rPr>
        <w:t>1.6 如国家法律、法规发生变化或者政府有关部门出台有关规定、规则，合同双方同意按照法律、法规、规定和规则予以调整和修改。</w:t>
      </w:r>
    </w:p>
    <w:p>
      <w:pPr>
        <w:autoSpaceDE w:val="0"/>
        <w:autoSpaceDN w:val="0"/>
        <w:adjustRightInd w:val="0"/>
        <w:ind w:firstLine="640" w:firstLineChars="200"/>
        <w:rPr>
          <w:rFonts w:ascii="仿宋" w:hAnsi="仿宋" w:eastAsia="仿宋" w:cs="宋体"/>
          <w:color w:val="auto"/>
          <w:kern w:val="0"/>
          <w:sz w:val="32"/>
          <w:szCs w:val="30"/>
        </w:rPr>
      </w:pPr>
      <w:r>
        <w:rPr>
          <w:rFonts w:hint="eastAsia" w:ascii="仿宋" w:hAnsi="仿宋" w:eastAsia="仿宋" w:cs="宋体"/>
          <w:color w:val="auto"/>
          <w:kern w:val="0"/>
          <w:sz w:val="32"/>
          <w:szCs w:val="30"/>
        </w:rPr>
        <w:t>1.7 甲方承诺在本合同签订前，未与其他售电公司签订本年度零售交易代理合同，且在本代理合同签订后，不再与其他售电公司签订本年度电力市场零售交易代理合同。</w:t>
      </w:r>
    </w:p>
    <w:p>
      <w:pPr>
        <w:autoSpaceDE w:val="0"/>
        <w:autoSpaceDN w:val="0"/>
        <w:adjustRightInd w:val="0"/>
        <w:spacing w:beforeLines="50"/>
        <w:jc w:val="center"/>
        <w:rPr>
          <w:rFonts w:ascii="仿宋" w:hAnsi="仿宋" w:eastAsia="仿宋" w:cs="宋体"/>
          <w:b/>
          <w:color w:val="auto"/>
          <w:kern w:val="0"/>
          <w:sz w:val="32"/>
          <w:szCs w:val="30"/>
        </w:rPr>
      </w:pPr>
      <w:r>
        <w:rPr>
          <w:rFonts w:hint="eastAsia" w:ascii="仿宋" w:hAnsi="仿宋" w:eastAsia="仿宋" w:cs="宋体"/>
          <w:b/>
          <w:color w:val="auto"/>
          <w:kern w:val="0"/>
          <w:sz w:val="32"/>
          <w:szCs w:val="30"/>
        </w:rPr>
        <w:t>第二章 双方的权利和义务</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2.1 甲方的权利包括：</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2.1.1 根据与国网安徽省电力有限公司（以下简称省电力公司）签订的《供用电合同》，按照国家有关法规享受省电力公司提供的有关接入和用电服务。</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2.1.2 获得乙方履行本合同义务相关的信息、资料。</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 甲方的义务包括：</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2.2.1 根据实际用电需求，年度交易前，向乙方提供代理合同意向电量并在合同中明确</w:t>
      </w:r>
      <w:r>
        <w:rPr>
          <w:rFonts w:hint="eastAsia" w:ascii="仿宋" w:hAnsi="仿宋" w:eastAsia="仿宋"/>
          <w:color w:val="auto"/>
          <w:sz w:val="32"/>
          <w:szCs w:val="32"/>
        </w:rPr>
        <w:t>。</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2.2.2 按照安徽电力市场规则，承担偏差电费。</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2.2.3 向乙方提供与履行本合同相关的其他信息。如实提供用户用电信息，配合乙方、省电力公司及安徽电力交易中心有限公司（以下简称省电力交易中心）进行</w:t>
      </w:r>
      <w:r>
        <w:rPr>
          <w:rFonts w:hint="eastAsia" w:ascii="仿宋" w:hAnsi="仿宋" w:eastAsia="仿宋" w:cs="宋体"/>
          <w:color w:val="auto"/>
          <w:kern w:val="0"/>
          <w:sz w:val="32"/>
          <w:szCs w:val="30"/>
          <w:lang w:eastAsia="zh-CN"/>
        </w:rPr>
        <w:t>电力（</w:t>
      </w:r>
      <w:r>
        <w:rPr>
          <w:rFonts w:hint="eastAsia" w:ascii="仿宋" w:hAnsi="仿宋" w:eastAsia="仿宋" w:cs="宋体"/>
          <w:color w:val="auto"/>
          <w:kern w:val="0"/>
          <w:sz w:val="32"/>
          <w:szCs w:val="30"/>
        </w:rPr>
        <w:t>电量</w:t>
      </w:r>
      <w:r>
        <w:rPr>
          <w:rFonts w:hint="eastAsia" w:ascii="仿宋" w:hAnsi="仿宋" w:eastAsia="仿宋" w:cs="宋体"/>
          <w:color w:val="auto"/>
          <w:kern w:val="0"/>
          <w:sz w:val="32"/>
          <w:szCs w:val="30"/>
          <w:lang w:eastAsia="zh-CN"/>
        </w:rPr>
        <w:t>）</w:t>
      </w:r>
      <w:r>
        <w:rPr>
          <w:rFonts w:hint="eastAsia" w:ascii="仿宋" w:hAnsi="仿宋" w:eastAsia="仿宋" w:cs="宋体"/>
          <w:color w:val="auto"/>
          <w:kern w:val="0"/>
          <w:sz w:val="32"/>
          <w:szCs w:val="30"/>
        </w:rPr>
        <w:t>交易、电费结算、数据统计等工作。</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2.2.4 按电力相关规定和与省电力公司签署的《供用电合同》，按时足额缴纳电费。</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2.2.5 电力交易电量不得转供或变相转供。</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2.3 乙方的权利包括：</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 xml:space="preserve">2.3.1 </w:t>
      </w:r>
      <w:r>
        <w:rPr>
          <w:rFonts w:hint="eastAsia" w:ascii="仿宋" w:hAnsi="仿宋" w:eastAsia="仿宋" w:cs="宋体"/>
          <w:color w:val="auto"/>
          <w:kern w:val="0"/>
          <w:sz w:val="32"/>
          <w:szCs w:val="30"/>
          <w:lang w:eastAsia="zh-CN"/>
        </w:rPr>
        <w:t>获得</w:t>
      </w:r>
      <w:r>
        <w:rPr>
          <w:rFonts w:hint="eastAsia" w:ascii="仿宋" w:hAnsi="仿宋" w:eastAsia="仿宋" w:cs="宋体"/>
          <w:color w:val="auto"/>
          <w:kern w:val="0"/>
          <w:sz w:val="32"/>
          <w:szCs w:val="30"/>
        </w:rPr>
        <w:t>甲方提供履行本合同义务相关的信息、资料及查阅关口计量数据。</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2.3.2 按相关规定收取电力交易代理费用。</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 乙方的义务包括：</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2.4.1 按照安徽电力市场规则，参与电力直接交易，承担偏差电费。</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2.4.2 按照国家有关法规、规定和技术规范，代理甲方参加电力市场直接交易，并按规定进行差额电费分配。</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2.4.3 向甲方提供真实准确的有关电力直接交易的相关信息及资料，不得提供虚假的或误导性的信息。</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2.4.4 协助甲方申请办理电力交易有关手续。</w:t>
      </w:r>
    </w:p>
    <w:p>
      <w:pPr>
        <w:autoSpaceDE w:val="0"/>
        <w:autoSpaceDN w:val="0"/>
        <w:adjustRightInd w:val="0"/>
        <w:ind w:firstLine="640" w:firstLineChars="200"/>
        <w:jc w:val="left"/>
        <w:rPr>
          <w:rFonts w:ascii="仿宋" w:hAnsi="仿宋" w:eastAsia="仿宋" w:cs="宋体"/>
          <w:color w:val="auto"/>
          <w:kern w:val="0"/>
          <w:sz w:val="32"/>
          <w:szCs w:val="30"/>
        </w:rPr>
      </w:pPr>
      <w:r>
        <w:rPr>
          <w:rFonts w:hint="eastAsia" w:ascii="仿宋" w:hAnsi="仿宋" w:eastAsia="仿宋" w:cs="宋体"/>
          <w:color w:val="auto"/>
          <w:kern w:val="0"/>
          <w:sz w:val="32"/>
          <w:szCs w:val="30"/>
        </w:rPr>
        <w:t>2.4.5 向甲方、省电力公司及省电力交易中心提供与履行本合同相关的其他信息。</w:t>
      </w:r>
    </w:p>
    <w:p>
      <w:pPr>
        <w:spacing w:beforeLines="50"/>
        <w:jc w:val="center"/>
        <w:outlineLvl w:val="0"/>
        <w:rPr>
          <w:rFonts w:ascii="仿宋" w:hAnsi="仿宋" w:eastAsia="仿宋"/>
          <w:b/>
          <w:color w:val="auto"/>
          <w:sz w:val="32"/>
          <w:szCs w:val="32"/>
        </w:rPr>
      </w:pPr>
      <w:r>
        <w:rPr>
          <w:rFonts w:hint="eastAsia" w:ascii="仿宋" w:hAnsi="仿宋" w:eastAsia="仿宋"/>
          <w:b/>
          <w:color w:val="auto"/>
          <w:sz w:val="32"/>
          <w:szCs w:val="32"/>
        </w:rPr>
        <w:t>第三章 交易电量、电价</w:t>
      </w:r>
    </w:p>
    <w:p>
      <w:pPr>
        <w:ind w:firstLine="640" w:firstLineChars="200"/>
        <w:jc w:val="left"/>
        <w:rPr>
          <w:rFonts w:ascii="仿宋" w:hAnsi="仿宋" w:eastAsia="仿宋"/>
          <w:color w:val="auto"/>
          <w:sz w:val="32"/>
          <w:szCs w:val="32"/>
        </w:rPr>
      </w:pPr>
      <w:r>
        <w:rPr>
          <w:rFonts w:hint="eastAsia" w:ascii="仿宋" w:hAnsi="仿宋" w:eastAsia="仿宋"/>
          <w:color w:val="auto"/>
          <w:sz w:val="32"/>
          <w:szCs w:val="32"/>
        </w:rPr>
        <w:t>3.1</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本合同执行期自</w:t>
      </w:r>
      <w:r>
        <w:rPr>
          <w:rFonts w:ascii="仿宋" w:hAnsi="仿宋" w:eastAsia="仿宋"/>
          <w:color w:val="auto"/>
          <w:sz w:val="32"/>
          <w:szCs w:val="32"/>
        </w:rPr>
        <w:t>202</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4</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年</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1</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月</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1</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日至</w:t>
      </w:r>
      <w:r>
        <w:rPr>
          <w:rFonts w:ascii="仿宋" w:hAnsi="仿宋" w:eastAsia="仿宋"/>
          <w:color w:val="auto"/>
          <w:sz w:val="32"/>
          <w:szCs w:val="32"/>
        </w:rPr>
        <w:t>202</w:t>
      </w:r>
      <w:r>
        <w:rPr>
          <w:rFonts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4</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年</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12</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月</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31</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日，合同签订周期为壹年。</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3.2</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甲方所有工商业用电电量均由乙方代理参加市场交易。</w:t>
      </w:r>
    </w:p>
    <w:p>
      <w:pPr>
        <w:ind w:firstLine="640" w:firstLineChars="200"/>
        <w:rPr>
          <w:rFonts w:ascii="仿宋" w:hAnsi="仿宋" w:eastAsia="仿宋"/>
          <w:color w:val="auto"/>
          <w:sz w:val="32"/>
          <w:szCs w:val="28"/>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3</w:t>
      </w:r>
      <w:r>
        <w:rPr>
          <w:rFonts w:hint="eastAsia" w:ascii="仿宋" w:hAnsi="仿宋" w:eastAsia="仿宋"/>
          <w:color w:val="auto"/>
          <w:sz w:val="32"/>
          <w:szCs w:val="32"/>
        </w:rPr>
        <w:t xml:space="preserve"> </w:t>
      </w:r>
      <w:r>
        <w:rPr>
          <w:rFonts w:hint="eastAsia" w:ascii="仿宋" w:hAnsi="仿宋" w:eastAsia="仿宋"/>
          <w:color w:val="auto"/>
          <w:sz w:val="32"/>
          <w:szCs w:val="28"/>
        </w:rPr>
        <w:t>合同执行期内，甲方工商业及其他用电常规</w:t>
      </w:r>
      <w:r>
        <w:rPr>
          <w:rFonts w:hint="eastAsia" w:ascii="仿宋" w:hAnsi="仿宋" w:eastAsia="仿宋"/>
          <w:color w:val="auto"/>
          <w:sz w:val="32"/>
          <w:szCs w:val="28"/>
          <w:lang w:eastAsia="zh-CN"/>
        </w:rPr>
        <w:t>中长期交易</w:t>
      </w:r>
      <w:r>
        <w:rPr>
          <w:rFonts w:hint="eastAsia" w:ascii="仿宋" w:hAnsi="仿宋" w:eastAsia="仿宋"/>
          <w:color w:val="auto"/>
          <w:sz w:val="32"/>
          <w:szCs w:val="28"/>
        </w:rPr>
        <w:t>购电需求为_______兆瓦时。分月购电量见下表。</w:t>
      </w:r>
    </w:p>
    <w:p>
      <w:pPr>
        <w:ind w:firstLine="640" w:firstLineChars="200"/>
        <w:rPr>
          <w:rFonts w:ascii="仿宋" w:hAnsi="仿宋" w:eastAsia="仿宋"/>
          <w:color w:val="auto"/>
          <w:sz w:val="32"/>
          <w:szCs w:val="28"/>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 xml:space="preserve">4 </w:t>
      </w:r>
      <w:r>
        <w:rPr>
          <w:rFonts w:hint="eastAsia" w:ascii="仿宋" w:hAnsi="仿宋" w:eastAsia="仿宋"/>
          <w:color w:val="auto"/>
          <w:sz w:val="32"/>
          <w:szCs w:val="28"/>
        </w:rPr>
        <w:t>合同执行期内，甲方工商业及其他用电</w:t>
      </w:r>
      <w:r>
        <w:rPr>
          <w:rFonts w:hint="eastAsia" w:ascii="仿宋" w:hAnsi="仿宋" w:eastAsia="仿宋"/>
          <w:color w:val="auto"/>
          <w:sz w:val="32"/>
          <w:szCs w:val="28"/>
          <w:lang w:eastAsia="zh-CN"/>
        </w:rPr>
        <w:t>绿色电力交易购电需求</w:t>
      </w:r>
      <w:r>
        <w:rPr>
          <w:rFonts w:hint="eastAsia" w:ascii="仿宋" w:hAnsi="仿宋" w:eastAsia="仿宋"/>
          <w:color w:val="auto"/>
          <w:sz w:val="32"/>
          <w:szCs w:val="28"/>
        </w:rPr>
        <w:t>为_</w:t>
      </w:r>
      <w:r>
        <w:rPr>
          <w:rFonts w:hint="eastAsia" w:ascii="仿宋" w:hAnsi="仿宋" w:eastAsia="仿宋"/>
          <w:color w:val="auto"/>
          <w:sz w:val="32"/>
          <w:szCs w:val="28"/>
          <w:lang w:val="en-US" w:eastAsia="zh-CN"/>
        </w:rPr>
        <w:t>/</w:t>
      </w:r>
      <w:r>
        <w:rPr>
          <w:rFonts w:hint="eastAsia" w:ascii="仿宋" w:hAnsi="仿宋" w:eastAsia="仿宋"/>
          <w:color w:val="auto"/>
          <w:sz w:val="32"/>
          <w:szCs w:val="28"/>
        </w:rPr>
        <w:t>___兆瓦时。分月购电量见下表。</w:t>
      </w:r>
    </w:p>
    <w:p>
      <w:pPr>
        <w:jc w:val="center"/>
        <w:rPr>
          <w:rFonts w:ascii="仿宋" w:hAnsi="仿宋" w:eastAsia="仿宋"/>
          <w:color w:val="auto"/>
          <w:sz w:val="32"/>
          <w:szCs w:val="32"/>
        </w:rPr>
      </w:pPr>
      <w:r>
        <w:rPr>
          <w:rFonts w:hint="eastAsia" w:ascii="仿宋" w:hAnsi="仿宋" w:eastAsia="仿宋"/>
          <w:color w:val="auto"/>
          <w:sz w:val="32"/>
          <w:szCs w:val="28"/>
        </w:rPr>
        <w:t>分月购电</w:t>
      </w:r>
      <w:r>
        <w:rPr>
          <w:rFonts w:hint="eastAsia" w:ascii="仿宋" w:hAnsi="仿宋" w:eastAsia="仿宋"/>
          <w:color w:val="auto"/>
          <w:sz w:val="32"/>
          <w:szCs w:val="28"/>
          <w:lang w:eastAsia="zh-CN"/>
        </w:rPr>
        <w:t>需求</w:t>
      </w:r>
      <w:r>
        <w:rPr>
          <w:rFonts w:hint="eastAsia" w:ascii="仿宋" w:hAnsi="仿宋" w:eastAsia="仿宋"/>
          <w:color w:val="auto"/>
          <w:sz w:val="32"/>
          <w:szCs w:val="28"/>
        </w:rPr>
        <w:t>明细表</w:t>
      </w:r>
    </w:p>
    <w:p>
      <w:pPr>
        <w:jc w:val="right"/>
        <w:rPr>
          <w:rFonts w:ascii="仿宋" w:hAnsi="仿宋" w:eastAsia="仿宋"/>
          <w:color w:val="auto"/>
          <w:sz w:val="28"/>
          <w:szCs w:val="28"/>
        </w:rPr>
      </w:pPr>
      <w:r>
        <w:rPr>
          <w:rFonts w:hint="eastAsia" w:ascii="仿宋" w:hAnsi="仿宋" w:eastAsia="仿宋" w:cs="仿宋_GB2312"/>
          <w:color w:val="auto"/>
          <w:sz w:val="24"/>
          <w:szCs w:val="32"/>
        </w:rPr>
        <w:t xml:space="preserve">                 </w:t>
      </w:r>
      <w:r>
        <w:rPr>
          <w:rFonts w:hint="eastAsia" w:ascii="仿宋" w:hAnsi="仿宋" w:eastAsia="仿宋" w:cs="仿宋_GB2312"/>
          <w:color w:val="auto"/>
          <w:sz w:val="28"/>
          <w:szCs w:val="28"/>
        </w:rPr>
        <w:t xml:space="preserve">  单位：</w:t>
      </w:r>
      <w:r>
        <w:rPr>
          <w:rFonts w:hint="eastAsia" w:ascii="仿宋" w:hAnsi="仿宋" w:eastAsia="仿宋"/>
          <w:color w:val="auto"/>
          <w:sz w:val="28"/>
          <w:szCs w:val="28"/>
        </w:rPr>
        <w:t>兆瓦时(1兆瓦时=1000千瓦时)</w:t>
      </w:r>
    </w:p>
    <w:tbl>
      <w:tblPr>
        <w:tblStyle w:val="15"/>
        <w:tblW w:w="75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0"/>
        <w:gridCol w:w="3425"/>
        <w:gridCol w:w="33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1" w:hRule="atLeast"/>
          <w:jc w:val="center"/>
        </w:trPr>
        <w:tc>
          <w:tcPr>
            <w:tcW w:w="850" w:type="dxa"/>
            <w:shd w:val="clear" w:color="auto" w:fill="auto"/>
            <w:vAlign w:val="center"/>
          </w:tcPr>
          <w:p>
            <w:pPr>
              <w:widowControl/>
              <w:jc w:val="center"/>
              <w:rPr>
                <w:rFonts w:ascii="仿宋" w:hAnsi="仿宋" w:eastAsia="仿宋" w:cs="宋体"/>
                <w:b/>
                <w:color w:val="auto"/>
                <w:kern w:val="0"/>
                <w:sz w:val="28"/>
                <w:szCs w:val="28"/>
              </w:rPr>
            </w:pPr>
            <w:r>
              <w:rPr>
                <w:rFonts w:hint="eastAsia" w:ascii="仿宋" w:hAnsi="仿宋" w:eastAsia="仿宋" w:cs="宋体"/>
                <w:b/>
                <w:color w:val="auto"/>
                <w:kern w:val="0"/>
                <w:sz w:val="28"/>
                <w:szCs w:val="28"/>
              </w:rPr>
              <w:t>月度　</w:t>
            </w:r>
          </w:p>
        </w:tc>
        <w:tc>
          <w:tcPr>
            <w:tcW w:w="3425" w:type="dxa"/>
            <w:shd w:val="clear" w:color="auto" w:fill="auto"/>
            <w:vAlign w:val="center"/>
          </w:tcPr>
          <w:p>
            <w:pPr>
              <w:widowControl/>
              <w:jc w:val="center"/>
              <w:rPr>
                <w:rFonts w:ascii="仿宋" w:hAnsi="仿宋" w:eastAsia="仿宋" w:cs="宋体"/>
                <w:b/>
                <w:bCs/>
                <w:color w:val="auto"/>
                <w:kern w:val="0"/>
                <w:sz w:val="28"/>
                <w:szCs w:val="28"/>
              </w:rPr>
            </w:pPr>
            <w:r>
              <w:rPr>
                <w:rFonts w:hint="eastAsia" w:ascii="仿宋" w:hAnsi="仿宋" w:eastAsia="仿宋" w:cs="宋体"/>
                <w:b/>
                <w:bCs/>
                <w:color w:val="auto"/>
                <w:kern w:val="0"/>
                <w:sz w:val="28"/>
                <w:szCs w:val="28"/>
              </w:rPr>
              <w:t>常规</w:t>
            </w:r>
            <w:r>
              <w:rPr>
                <w:rFonts w:hint="eastAsia" w:ascii="仿宋" w:hAnsi="仿宋" w:eastAsia="仿宋" w:cs="宋体"/>
                <w:b/>
                <w:bCs/>
                <w:color w:val="auto"/>
                <w:kern w:val="0"/>
                <w:sz w:val="28"/>
                <w:szCs w:val="28"/>
                <w:lang w:eastAsia="zh-CN"/>
              </w:rPr>
              <w:t>中长期交易</w:t>
            </w:r>
            <w:r>
              <w:rPr>
                <w:rFonts w:hint="eastAsia" w:ascii="仿宋" w:hAnsi="仿宋" w:eastAsia="仿宋" w:cs="宋体"/>
                <w:b/>
                <w:bCs/>
                <w:color w:val="auto"/>
                <w:kern w:val="0"/>
                <w:sz w:val="28"/>
                <w:szCs w:val="28"/>
              </w:rPr>
              <w:t>购电量</w:t>
            </w:r>
          </w:p>
        </w:tc>
        <w:tc>
          <w:tcPr>
            <w:tcW w:w="3312" w:type="dxa"/>
            <w:shd w:val="clear" w:color="auto" w:fill="auto"/>
            <w:vAlign w:val="center"/>
          </w:tcPr>
          <w:p>
            <w:pPr>
              <w:widowControl/>
              <w:jc w:val="center"/>
              <w:rPr>
                <w:rFonts w:ascii="仿宋" w:hAnsi="仿宋" w:eastAsia="仿宋" w:cs="宋体"/>
                <w:b/>
                <w:bCs/>
                <w:color w:val="auto"/>
                <w:kern w:val="0"/>
                <w:sz w:val="28"/>
                <w:szCs w:val="28"/>
              </w:rPr>
            </w:pPr>
            <w:r>
              <w:rPr>
                <w:rFonts w:hint="eastAsia" w:ascii="仿宋" w:hAnsi="仿宋" w:eastAsia="仿宋" w:cs="宋体"/>
                <w:b/>
                <w:bCs/>
                <w:color w:val="auto"/>
                <w:kern w:val="0"/>
                <w:sz w:val="28"/>
                <w:szCs w:val="28"/>
              </w:rPr>
              <w:t>绿</w:t>
            </w:r>
            <w:r>
              <w:rPr>
                <w:rFonts w:hint="eastAsia" w:ascii="仿宋" w:hAnsi="仿宋" w:eastAsia="仿宋" w:cs="宋体"/>
                <w:b/>
                <w:bCs/>
                <w:color w:val="auto"/>
                <w:kern w:val="0"/>
                <w:sz w:val="28"/>
                <w:szCs w:val="28"/>
                <w:lang w:eastAsia="zh-CN"/>
              </w:rPr>
              <w:t>色</w:t>
            </w:r>
            <w:r>
              <w:rPr>
                <w:rFonts w:hint="eastAsia" w:ascii="仿宋" w:hAnsi="仿宋" w:eastAsia="仿宋" w:cs="宋体"/>
                <w:b/>
                <w:bCs/>
                <w:color w:val="auto"/>
                <w:kern w:val="0"/>
                <w:sz w:val="28"/>
                <w:szCs w:val="28"/>
              </w:rPr>
              <w:t>电</w:t>
            </w:r>
            <w:r>
              <w:rPr>
                <w:rFonts w:hint="eastAsia" w:ascii="仿宋" w:hAnsi="仿宋" w:eastAsia="仿宋" w:cs="宋体"/>
                <w:b/>
                <w:bCs/>
                <w:color w:val="auto"/>
                <w:kern w:val="0"/>
                <w:sz w:val="28"/>
                <w:szCs w:val="28"/>
                <w:lang w:eastAsia="zh-CN"/>
              </w:rPr>
              <w:t>力交易</w:t>
            </w:r>
            <w:r>
              <w:rPr>
                <w:rFonts w:hint="eastAsia" w:ascii="仿宋" w:hAnsi="仿宋" w:eastAsia="仿宋" w:cs="宋体"/>
                <w:b/>
                <w:bCs/>
                <w:color w:val="auto"/>
                <w:kern w:val="0"/>
                <w:sz w:val="28"/>
                <w:szCs w:val="28"/>
              </w:rPr>
              <w:t>购电量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1月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2月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3月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4月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5月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6月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7月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8月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9月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10月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11月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12月</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850" w:type="dxa"/>
            <w:shd w:val="clear" w:color="auto" w:fill="auto"/>
            <w:vAlign w:val="center"/>
          </w:tcPr>
          <w:p>
            <w:pPr>
              <w:widowControl/>
              <w:jc w:val="center"/>
              <w:rPr>
                <w:rFonts w:ascii="仿宋" w:hAnsi="仿宋" w:eastAsia="仿宋" w:cs="宋体"/>
                <w:b/>
                <w:color w:val="auto"/>
                <w:kern w:val="0"/>
                <w:sz w:val="28"/>
                <w:szCs w:val="28"/>
              </w:rPr>
            </w:pPr>
            <w:r>
              <w:rPr>
                <w:rFonts w:hint="eastAsia" w:ascii="仿宋" w:hAnsi="仿宋" w:eastAsia="仿宋" w:cs="宋体"/>
                <w:b/>
                <w:color w:val="auto"/>
                <w:kern w:val="0"/>
                <w:sz w:val="28"/>
                <w:szCs w:val="28"/>
              </w:rPr>
              <w:t>合计</w:t>
            </w:r>
          </w:p>
        </w:tc>
        <w:tc>
          <w:tcPr>
            <w:tcW w:w="3425"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c>
          <w:tcPr>
            <w:tcW w:w="3312" w:type="dxa"/>
            <w:shd w:val="clear" w:color="auto" w:fill="auto"/>
            <w:vAlign w:val="center"/>
          </w:tcPr>
          <w:p>
            <w:pPr>
              <w:widowControl/>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jc w:val="both"/>
        <w:textAlignment w:val="auto"/>
        <w:outlineLvl w:val="9"/>
        <w:rPr>
          <w:rFonts w:hint="eastAsia" w:ascii="仿宋" w:hAnsi="仿宋" w:eastAsia="仿宋"/>
          <w:color w:val="auto"/>
          <w:sz w:val="32"/>
          <w:szCs w:val="32"/>
          <w:lang w:val="en-US" w:eastAsia="zh-CN"/>
        </w:rPr>
      </w:pPr>
      <w:r>
        <w:rPr>
          <w:rFonts w:hint="eastAsia" w:ascii="仿宋" w:hAnsi="仿宋" w:eastAsia="仿宋"/>
          <w:color w:val="auto"/>
          <w:sz w:val="32"/>
          <w:szCs w:val="32"/>
        </w:rPr>
        <w:t>3.5 乙方代理甲方</w:t>
      </w:r>
      <w:r>
        <w:rPr>
          <w:rFonts w:hint="eastAsia" w:ascii="仿宋" w:hAnsi="仿宋" w:eastAsia="仿宋"/>
          <w:color w:val="auto"/>
          <w:sz w:val="32"/>
          <w:szCs w:val="32"/>
          <w:lang w:eastAsia="zh-CN"/>
        </w:rPr>
        <w:t>参与常规中长期交易，按以下方式确定零售套餐。</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jc w:val="both"/>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仿宋" w:hAnsi="仿宋" w:eastAsia="仿宋"/>
          <w:color w:val="auto"/>
          <w:sz w:val="32"/>
          <w:szCs w:val="32"/>
          <w:lang w:val="en-US" w:eastAsia="zh-CN"/>
        </w:rPr>
        <w:t>3.5.1双方约定</w:t>
      </w:r>
      <w:r>
        <w:rPr>
          <w:rFonts w:hint="eastAsia" w:ascii="仿宋" w:hAnsi="仿宋" w:eastAsia="仿宋"/>
          <w:color w:val="auto"/>
          <w:sz w:val="32"/>
          <w:szCs w:val="32"/>
        </w:rPr>
        <w:t>乙方代理甲方</w:t>
      </w:r>
      <w:r>
        <w:rPr>
          <w:rFonts w:hint="eastAsia" w:ascii="仿宋" w:hAnsi="仿宋" w:eastAsia="仿宋"/>
          <w:color w:val="auto"/>
          <w:sz w:val="32"/>
          <w:szCs w:val="32"/>
          <w:lang w:eastAsia="zh-CN"/>
        </w:rPr>
        <w:t>与火电企业进行常规</w:t>
      </w:r>
      <w:r>
        <w:rPr>
          <w:rFonts w:hint="eastAsia" w:ascii="仿宋" w:hAnsi="仿宋" w:eastAsia="仿宋"/>
          <w:color w:val="auto"/>
          <w:sz w:val="32"/>
          <w:szCs w:val="32"/>
          <w:lang w:val="en-US" w:eastAsia="zh-CN"/>
        </w:rPr>
        <w:t>中长期交易按照套餐_一_结算。（必填）</w:t>
      </w:r>
    </w:p>
    <w:p>
      <w:pPr>
        <w:ind w:firstLine="643" w:firstLineChars="200"/>
        <w:rPr>
          <w:rFonts w:hint="eastAsia" w:ascii="仿宋" w:hAnsi="仿宋" w:eastAsia="仿宋"/>
          <w:color w:val="auto"/>
          <w:sz w:val="32"/>
          <w:szCs w:val="28"/>
        </w:rPr>
      </w:pPr>
      <w:r>
        <w:rPr>
          <w:rFonts w:hint="eastAsia" w:ascii="仿宋" w:hAnsi="仿宋" w:eastAsia="仿宋"/>
          <w:b/>
          <w:color w:val="auto"/>
          <w:sz w:val="32"/>
          <w:szCs w:val="32"/>
          <w:lang w:eastAsia="zh-CN"/>
        </w:rPr>
        <w:t>套餐</w:t>
      </w:r>
      <w:r>
        <w:rPr>
          <w:rFonts w:hint="eastAsia" w:ascii="仿宋" w:hAnsi="仿宋" w:eastAsia="仿宋"/>
          <w:b/>
          <w:color w:val="auto"/>
          <w:sz w:val="32"/>
          <w:szCs w:val="32"/>
        </w:rPr>
        <w:t>一：固定价格</w:t>
      </w:r>
      <w:r>
        <w:rPr>
          <w:rFonts w:hint="eastAsia" w:ascii="仿宋" w:hAnsi="仿宋" w:eastAsia="仿宋"/>
          <w:b/>
          <w:color w:val="auto"/>
          <w:sz w:val="32"/>
          <w:szCs w:val="32"/>
          <w:lang w:val="en-US" w:eastAsia="zh-CN"/>
        </w:rPr>
        <w:t>。</w:t>
      </w:r>
      <w:r>
        <w:rPr>
          <w:rFonts w:hint="eastAsia" w:ascii="仿宋" w:hAnsi="仿宋" w:eastAsia="仿宋"/>
          <w:color w:val="auto"/>
          <w:sz w:val="32"/>
          <w:szCs w:val="32"/>
        </w:rPr>
        <w:t>甲方电量</w:t>
      </w:r>
      <w:r>
        <w:rPr>
          <w:rFonts w:hint="eastAsia" w:ascii="仿宋" w:hAnsi="仿宋" w:eastAsia="仿宋"/>
          <w:color w:val="auto"/>
          <w:sz w:val="32"/>
          <w:szCs w:val="32"/>
          <w:lang w:eastAsia="zh-CN"/>
        </w:rPr>
        <w:t>中长期合约部分（火电）</w:t>
      </w:r>
      <w:r>
        <w:rPr>
          <w:rFonts w:hint="eastAsia" w:ascii="仿宋" w:hAnsi="仿宋" w:eastAsia="仿宋"/>
          <w:color w:val="auto"/>
          <w:sz w:val="32"/>
          <w:szCs w:val="32"/>
        </w:rPr>
        <w:t>均按照</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rPr>
        <w:t>元</w:t>
      </w:r>
      <w:r>
        <w:rPr>
          <w:rFonts w:hint="eastAsia" w:ascii="仿宋" w:hAnsi="仿宋" w:eastAsia="仿宋"/>
          <w:color w:val="auto"/>
          <w:sz w:val="32"/>
          <w:szCs w:val="28"/>
        </w:rPr>
        <w:t>/兆瓦时（1兆瓦时=1千千瓦时）结算。</w:t>
      </w:r>
    </w:p>
    <w:p>
      <w:pPr>
        <w:ind w:firstLine="643" w:firstLineChars="200"/>
        <w:jc w:val="left"/>
        <w:rPr>
          <w:rFonts w:hint="eastAsia" w:ascii="仿宋" w:hAnsi="仿宋" w:eastAsia="仿宋"/>
          <w:color w:val="auto"/>
          <w:sz w:val="32"/>
          <w:szCs w:val="28"/>
        </w:rPr>
      </w:pPr>
      <w:r>
        <w:rPr>
          <w:rFonts w:hint="eastAsia" w:ascii="仿宋" w:hAnsi="仿宋" w:eastAsia="仿宋"/>
          <w:b/>
          <w:color w:val="auto"/>
          <w:sz w:val="32"/>
          <w:szCs w:val="32"/>
          <w:lang w:eastAsia="zh-CN"/>
        </w:rPr>
        <w:t>套餐二</w:t>
      </w:r>
      <w:r>
        <w:rPr>
          <w:rFonts w:hint="eastAsia" w:ascii="仿宋" w:hAnsi="仿宋" w:eastAsia="仿宋"/>
          <w:b/>
          <w:color w:val="auto"/>
          <w:sz w:val="32"/>
          <w:szCs w:val="32"/>
        </w:rPr>
        <w:t>：比例分成</w:t>
      </w:r>
      <w:r>
        <w:rPr>
          <w:rFonts w:hint="eastAsia" w:ascii="仿宋" w:hAnsi="仿宋" w:eastAsia="仿宋"/>
          <w:b/>
          <w:bCs/>
          <w:color w:val="auto"/>
          <w:sz w:val="32"/>
          <w:szCs w:val="32"/>
          <w:lang w:val="en-US" w:eastAsia="zh-CN"/>
        </w:rPr>
        <w:t>。</w:t>
      </w:r>
      <w:r>
        <w:rPr>
          <w:rFonts w:hint="eastAsia" w:ascii="仿宋" w:hAnsi="仿宋" w:eastAsia="仿宋"/>
          <w:color w:val="auto"/>
          <w:sz w:val="32"/>
          <w:szCs w:val="32"/>
          <w:lang w:eastAsia="zh-CN"/>
        </w:rPr>
        <w:t>甲方购电基准价为</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u w:val="single"/>
          <w:lang w:val="en-US" w:eastAsia="zh-CN"/>
        </w:rPr>
        <w:t>/</w:t>
      </w:r>
      <w:r>
        <w:rPr>
          <w:rFonts w:hint="eastAsia" w:ascii="方正仿宋_GBK" w:hAnsi="仿宋" w:eastAsia="方正仿宋_GBK"/>
          <w:color w:val="auto"/>
          <w:sz w:val="32"/>
          <w:szCs w:val="28"/>
          <w:u w:val="single"/>
        </w:rPr>
        <w:t xml:space="preserve"> </w:t>
      </w:r>
      <w:r>
        <w:rPr>
          <w:rFonts w:hint="eastAsia" w:ascii="仿宋" w:hAnsi="仿宋" w:eastAsia="仿宋"/>
          <w:color w:val="auto"/>
          <w:sz w:val="32"/>
          <w:szCs w:val="28"/>
        </w:rPr>
        <w:t>元/兆瓦时</w:t>
      </w:r>
      <w:r>
        <w:rPr>
          <w:rFonts w:hint="eastAsia" w:ascii="仿宋" w:hAnsi="仿宋" w:eastAsia="仿宋"/>
          <w:color w:val="auto"/>
          <w:sz w:val="32"/>
          <w:szCs w:val="28"/>
          <w:lang w:eastAsia="zh-CN"/>
        </w:rPr>
        <w:t>，甲方</w:t>
      </w:r>
      <w:r>
        <w:rPr>
          <w:rFonts w:hint="eastAsia" w:ascii="仿宋" w:hAnsi="仿宋" w:eastAsia="仿宋"/>
          <w:color w:val="auto"/>
          <w:sz w:val="32"/>
          <w:szCs w:val="32"/>
        </w:rPr>
        <w:t>电量</w:t>
      </w:r>
      <w:r>
        <w:rPr>
          <w:rFonts w:hint="eastAsia" w:ascii="仿宋" w:hAnsi="仿宋" w:eastAsia="仿宋"/>
          <w:color w:val="auto"/>
          <w:sz w:val="32"/>
          <w:szCs w:val="32"/>
          <w:lang w:eastAsia="zh-CN"/>
        </w:rPr>
        <w:t>中长期合约部分（火电）</w:t>
      </w:r>
      <w:r>
        <w:rPr>
          <w:rFonts w:hint="eastAsia" w:ascii="仿宋" w:hAnsi="仿宋" w:eastAsia="仿宋"/>
          <w:color w:val="auto"/>
          <w:sz w:val="32"/>
          <w:szCs w:val="28"/>
          <w:lang w:eastAsia="zh-CN"/>
        </w:rPr>
        <w:t>结算价</w:t>
      </w:r>
      <w:r>
        <w:rPr>
          <w:rFonts w:hint="eastAsia" w:ascii="仿宋" w:hAnsi="仿宋" w:eastAsia="仿宋"/>
          <w:color w:val="auto"/>
          <w:sz w:val="32"/>
          <w:szCs w:val="28"/>
          <w:lang w:val="en-US" w:eastAsia="zh-CN"/>
        </w:rPr>
        <w:t>=甲方购电基准价+</w:t>
      </w:r>
      <w:r>
        <w:rPr>
          <w:rFonts w:hint="eastAsia" w:ascii="宋体" w:hAnsi="宋体" w:eastAsia="宋体" w:cs="宋体"/>
          <w:color w:val="auto"/>
          <w:sz w:val="32"/>
          <w:szCs w:val="28"/>
          <w:lang w:val="en-US" w:eastAsia="zh-CN"/>
        </w:rPr>
        <w:t>[</w:t>
      </w:r>
      <w:r>
        <w:rPr>
          <w:rFonts w:hint="eastAsia" w:ascii="仿宋" w:hAnsi="仿宋" w:eastAsia="仿宋"/>
          <w:color w:val="auto"/>
          <w:sz w:val="32"/>
          <w:szCs w:val="28"/>
        </w:rPr>
        <w:t>乙方批发侧</w:t>
      </w:r>
      <w:r>
        <w:rPr>
          <w:rFonts w:hint="eastAsia" w:ascii="仿宋" w:hAnsi="仿宋" w:eastAsia="仿宋"/>
          <w:color w:val="auto"/>
          <w:sz w:val="32"/>
          <w:szCs w:val="28"/>
          <w:lang w:eastAsia="zh-CN"/>
        </w:rPr>
        <w:t>中长期合约</w:t>
      </w:r>
      <w:r>
        <w:rPr>
          <w:rFonts w:hint="eastAsia" w:ascii="仿宋" w:hAnsi="仿宋" w:eastAsia="仿宋"/>
          <w:color w:val="auto"/>
          <w:sz w:val="32"/>
          <w:szCs w:val="32"/>
          <w:lang w:eastAsia="zh-CN"/>
        </w:rPr>
        <w:t>（火电）</w:t>
      </w:r>
      <w:r>
        <w:rPr>
          <w:rFonts w:hint="eastAsia" w:ascii="仿宋" w:hAnsi="仿宋" w:eastAsia="仿宋"/>
          <w:color w:val="auto"/>
          <w:sz w:val="32"/>
          <w:szCs w:val="28"/>
          <w:lang w:eastAsia="zh-CN"/>
        </w:rPr>
        <w:t>结算</w:t>
      </w:r>
      <w:r>
        <w:rPr>
          <w:rFonts w:hint="eastAsia" w:ascii="仿宋" w:hAnsi="仿宋" w:eastAsia="仿宋"/>
          <w:color w:val="auto"/>
          <w:sz w:val="32"/>
          <w:szCs w:val="28"/>
        </w:rPr>
        <w:t>均价</w:t>
      </w:r>
      <w:r>
        <w:rPr>
          <w:rFonts w:hint="eastAsia" w:ascii="仿宋" w:hAnsi="仿宋" w:eastAsia="仿宋"/>
          <w:color w:val="auto"/>
          <w:sz w:val="32"/>
          <w:szCs w:val="28"/>
          <w:lang w:val="en-US" w:eastAsia="zh-CN"/>
        </w:rPr>
        <w:t>-甲方购电基准价</w:t>
      </w:r>
      <w:r>
        <w:rPr>
          <w:rFonts w:hint="eastAsia" w:ascii="宋体" w:hAnsi="宋体" w:eastAsia="宋体" w:cs="宋体"/>
          <w:color w:val="auto"/>
          <w:sz w:val="32"/>
          <w:szCs w:val="28"/>
          <w:lang w:val="en-US" w:eastAsia="zh-CN"/>
        </w:rPr>
        <w:t>]</w:t>
      </w:r>
      <w:r>
        <w:rPr>
          <w:rFonts w:hint="default" w:ascii="Arial" w:hAnsi="Arial" w:eastAsia="仿宋" w:cs="Arial"/>
          <w:color w:val="auto"/>
          <w:sz w:val="32"/>
          <w:szCs w:val="28"/>
        </w:rPr>
        <w:t>×</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u w:val="single"/>
          <w:lang w:val="en-US" w:eastAsia="zh-CN"/>
        </w:rPr>
        <w:t>/</w:t>
      </w:r>
      <w:r>
        <w:rPr>
          <w:rFonts w:hint="eastAsia" w:ascii="方正仿宋_GBK" w:hAnsi="仿宋" w:eastAsia="方正仿宋_GBK"/>
          <w:color w:val="auto"/>
          <w:sz w:val="32"/>
          <w:szCs w:val="28"/>
        </w:rPr>
        <w:t xml:space="preserve"> </w:t>
      </w:r>
      <w:r>
        <w:rPr>
          <w:rFonts w:hint="eastAsia" w:ascii="仿宋" w:hAnsi="仿宋" w:eastAsia="仿宋"/>
          <w:color w:val="auto"/>
          <w:sz w:val="32"/>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jc w:val="both"/>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仿宋" w:hAnsi="仿宋" w:eastAsia="仿宋"/>
          <w:color w:val="auto"/>
          <w:sz w:val="32"/>
          <w:szCs w:val="28"/>
          <w:lang w:val="en-US" w:eastAsia="zh-CN"/>
        </w:rPr>
        <w:t xml:space="preserve">3.5.2 </w:t>
      </w:r>
      <w:r>
        <w:rPr>
          <w:rFonts w:hint="eastAsia" w:ascii="仿宋" w:hAnsi="仿宋" w:eastAsia="仿宋"/>
          <w:color w:val="auto"/>
          <w:sz w:val="32"/>
          <w:szCs w:val="32"/>
          <w:lang w:val="en-US" w:eastAsia="zh-CN"/>
        </w:rPr>
        <w:t>双方约定</w:t>
      </w:r>
      <w:r>
        <w:rPr>
          <w:rFonts w:hint="eastAsia" w:ascii="仿宋" w:hAnsi="仿宋" w:eastAsia="仿宋"/>
          <w:color w:val="auto"/>
          <w:sz w:val="32"/>
          <w:szCs w:val="32"/>
        </w:rPr>
        <w:t>乙方代理甲方</w:t>
      </w:r>
      <w:r>
        <w:rPr>
          <w:rFonts w:hint="eastAsia" w:ascii="仿宋" w:hAnsi="仿宋" w:eastAsia="仿宋"/>
          <w:color w:val="auto"/>
          <w:sz w:val="32"/>
          <w:szCs w:val="32"/>
          <w:lang w:eastAsia="zh-CN"/>
        </w:rPr>
        <w:t>与新能源发电企业进行常规</w:t>
      </w:r>
      <w:r>
        <w:rPr>
          <w:rFonts w:hint="eastAsia" w:ascii="仿宋" w:hAnsi="仿宋" w:eastAsia="仿宋"/>
          <w:color w:val="auto"/>
          <w:sz w:val="32"/>
          <w:szCs w:val="32"/>
          <w:lang w:val="en-US" w:eastAsia="zh-CN"/>
        </w:rPr>
        <w:t>中长期交易按照套餐_一_结算。（必填）</w:t>
      </w:r>
    </w:p>
    <w:p>
      <w:pPr>
        <w:ind w:firstLine="643" w:firstLineChars="200"/>
        <w:jc w:val="left"/>
        <w:rPr>
          <w:rFonts w:hint="eastAsia" w:ascii="仿宋" w:hAnsi="仿宋" w:eastAsia="仿宋"/>
          <w:color w:val="auto"/>
          <w:sz w:val="32"/>
          <w:szCs w:val="28"/>
        </w:rPr>
      </w:pPr>
      <w:r>
        <w:rPr>
          <w:rFonts w:hint="eastAsia" w:ascii="仿宋" w:hAnsi="仿宋" w:eastAsia="仿宋"/>
          <w:b/>
          <w:color w:val="auto"/>
          <w:sz w:val="32"/>
          <w:szCs w:val="32"/>
          <w:lang w:val="en-US" w:eastAsia="zh-CN"/>
        </w:rPr>
        <w:t>套餐</w:t>
      </w:r>
      <w:r>
        <w:rPr>
          <w:rFonts w:hint="eastAsia" w:ascii="仿宋" w:hAnsi="仿宋" w:eastAsia="仿宋"/>
          <w:b/>
          <w:color w:val="auto"/>
          <w:sz w:val="32"/>
          <w:szCs w:val="32"/>
        </w:rPr>
        <w:t>一</w:t>
      </w:r>
      <w:r>
        <w:rPr>
          <w:rFonts w:hint="eastAsia" w:ascii="仿宋" w:hAnsi="仿宋" w:eastAsia="仿宋"/>
          <w:b/>
          <w:color w:val="auto"/>
          <w:sz w:val="32"/>
          <w:szCs w:val="32"/>
          <w:lang w:val="en-US" w:eastAsia="zh-CN"/>
        </w:rPr>
        <w:t>：比例分成</w:t>
      </w:r>
      <w:r>
        <w:rPr>
          <w:rFonts w:hint="eastAsia" w:ascii="方正仿宋_GBK" w:hAnsi="方正仿宋_GBK" w:eastAsia="方正仿宋_GBK" w:cs="方正仿宋_GBK"/>
          <w:b/>
          <w:bCs/>
          <w:color w:val="auto"/>
          <w:sz w:val="32"/>
          <w:szCs w:val="32"/>
          <w:lang w:val="en-US" w:eastAsia="zh-CN"/>
        </w:rPr>
        <w:t>。</w:t>
      </w:r>
      <w:r>
        <w:rPr>
          <w:rFonts w:hint="eastAsia" w:ascii="仿宋" w:hAnsi="仿宋" w:eastAsia="仿宋"/>
          <w:color w:val="auto"/>
          <w:sz w:val="32"/>
          <w:szCs w:val="32"/>
          <w:lang w:eastAsia="zh-CN"/>
        </w:rPr>
        <w:t>甲方购电基准价为</w:t>
      </w:r>
      <w:r>
        <w:rPr>
          <w:rFonts w:hint="eastAsia" w:ascii="方正仿宋_GBK" w:hAnsi="仿宋" w:eastAsia="方正仿宋_GBK"/>
          <w:color w:val="auto"/>
          <w:sz w:val="32"/>
          <w:szCs w:val="28"/>
          <w:u w:val="single"/>
        </w:rPr>
        <w:t xml:space="preserve">     </w:t>
      </w:r>
      <w:r>
        <w:rPr>
          <w:rFonts w:hint="eastAsia" w:ascii="仿宋" w:hAnsi="仿宋" w:eastAsia="仿宋"/>
          <w:color w:val="auto"/>
          <w:sz w:val="32"/>
          <w:szCs w:val="28"/>
        </w:rPr>
        <w:t>元/兆瓦时</w:t>
      </w:r>
      <w:r>
        <w:rPr>
          <w:rFonts w:hint="eastAsia" w:ascii="仿宋" w:hAnsi="仿宋" w:eastAsia="仿宋"/>
          <w:color w:val="auto"/>
          <w:sz w:val="32"/>
          <w:szCs w:val="28"/>
          <w:lang w:eastAsia="zh-CN"/>
        </w:rPr>
        <w:t>，甲方</w:t>
      </w:r>
      <w:r>
        <w:rPr>
          <w:rFonts w:hint="eastAsia" w:ascii="仿宋" w:hAnsi="仿宋" w:eastAsia="仿宋"/>
          <w:color w:val="auto"/>
          <w:sz w:val="32"/>
          <w:szCs w:val="32"/>
        </w:rPr>
        <w:t>电量</w:t>
      </w:r>
      <w:r>
        <w:rPr>
          <w:rFonts w:hint="eastAsia" w:ascii="仿宋" w:hAnsi="仿宋" w:eastAsia="仿宋"/>
          <w:color w:val="auto"/>
          <w:sz w:val="32"/>
          <w:szCs w:val="32"/>
          <w:lang w:eastAsia="zh-CN"/>
        </w:rPr>
        <w:t>中长期合约部分（新能源）</w:t>
      </w:r>
      <w:r>
        <w:rPr>
          <w:rFonts w:hint="eastAsia" w:ascii="仿宋" w:hAnsi="仿宋" w:eastAsia="仿宋"/>
          <w:color w:val="auto"/>
          <w:sz w:val="32"/>
          <w:szCs w:val="28"/>
          <w:lang w:eastAsia="zh-CN"/>
        </w:rPr>
        <w:t>结算价</w:t>
      </w:r>
      <w:r>
        <w:rPr>
          <w:rFonts w:hint="eastAsia" w:ascii="仿宋" w:hAnsi="仿宋" w:eastAsia="仿宋"/>
          <w:color w:val="auto"/>
          <w:sz w:val="32"/>
          <w:szCs w:val="28"/>
          <w:lang w:val="en-US" w:eastAsia="zh-CN"/>
        </w:rPr>
        <w:t>=甲方购电基准价+</w:t>
      </w:r>
      <w:r>
        <w:rPr>
          <w:rFonts w:hint="eastAsia" w:ascii="宋体" w:hAnsi="宋体" w:eastAsia="宋体" w:cs="宋体"/>
          <w:color w:val="auto"/>
          <w:sz w:val="32"/>
          <w:szCs w:val="28"/>
          <w:lang w:val="en-US" w:eastAsia="zh-CN"/>
        </w:rPr>
        <w:t>[</w:t>
      </w:r>
      <w:r>
        <w:rPr>
          <w:rFonts w:hint="eastAsia" w:ascii="仿宋" w:hAnsi="仿宋" w:eastAsia="仿宋"/>
          <w:color w:val="auto"/>
          <w:sz w:val="32"/>
          <w:szCs w:val="28"/>
        </w:rPr>
        <w:t>乙方批发侧</w:t>
      </w:r>
      <w:r>
        <w:rPr>
          <w:rFonts w:hint="eastAsia" w:ascii="仿宋" w:hAnsi="仿宋" w:eastAsia="仿宋"/>
          <w:color w:val="auto"/>
          <w:sz w:val="32"/>
          <w:szCs w:val="28"/>
          <w:lang w:eastAsia="zh-CN"/>
        </w:rPr>
        <w:t>中长期合约</w:t>
      </w:r>
      <w:r>
        <w:rPr>
          <w:rFonts w:hint="eastAsia" w:ascii="仿宋" w:hAnsi="仿宋" w:eastAsia="仿宋"/>
          <w:color w:val="auto"/>
          <w:sz w:val="32"/>
          <w:szCs w:val="32"/>
          <w:lang w:eastAsia="zh-CN"/>
        </w:rPr>
        <w:t>（新能源）</w:t>
      </w:r>
      <w:r>
        <w:rPr>
          <w:rFonts w:hint="eastAsia" w:ascii="仿宋" w:hAnsi="仿宋" w:eastAsia="仿宋"/>
          <w:color w:val="auto"/>
          <w:sz w:val="32"/>
          <w:szCs w:val="28"/>
          <w:lang w:eastAsia="zh-CN"/>
        </w:rPr>
        <w:t>结算</w:t>
      </w:r>
      <w:r>
        <w:rPr>
          <w:rFonts w:hint="eastAsia" w:ascii="仿宋" w:hAnsi="仿宋" w:eastAsia="仿宋"/>
          <w:color w:val="auto"/>
          <w:sz w:val="32"/>
          <w:szCs w:val="28"/>
        </w:rPr>
        <w:t>均价</w:t>
      </w:r>
      <w:r>
        <w:rPr>
          <w:rFonts w:hint="eastAsia" w:ascii="仿宋" w:hAnsi="仿宋" w:eastAsia="仿宋"/>
          <w:color w:val="auto"/>
          <w:sz w:val="32"/>
          <w:szCs w:val="28"/>
          <w:lang w:val="en-US" w:eastAsia="zh-CN"/>
        </w:rPr>
        <w:t>-甲方购电基准价</w:t>
      </w:r>
      <w:r>
        <w:rPr>
          <w:rFonts w:hint="eastAsia" w:ascii="宋体" w:hAnsi="宋体" w:eastAsia="宋体" w:cs="宋体"/>
          <w:color w:val="auto"/>
          <w:sz w:val="32"/>
          <w:szCs w:val="28"/>
          <w:lang w:val="en-US" w:eastAsia="zh-CN"/>
        </w:rPr>
        <w:t>]</w:t>
      </w:r>
      <w:r>
        <w:rPr>
          <w:rFonts w:hint="default" w:ascii="Arial" w:hAnsi="Arial" w:eastAsia="仿宋" w:cs="Arial"/>
          <w:color w:val="auto"/>
          <w:sz w:val="32"/>
          <w:szCs w:val="28"/>
        </w:rPr>
        <w:t>×</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u w:val="single"/>
          <w:lang w:val="en-US" w:eastAsia="zh-CN"/>
        </w:rPr>
        <w:t>0</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rPr>
        <w:t xml:space="preserve"> </w:t>
      </w:r>
      <w:r>
        <w:rPr>
          <w:rFonts w:hint="eastAsia" w:ascii="仿宋" w:hAnsi="仿宋" w:eastAsia="仿宋"/>
          <w:color w:val="auto"/>
          <w:sz w:val="32"/>
          <w:szCs w:val="28"/>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6</w:t>
      </w:r>
      <w:r>
        <w:rPr>
          <w:rFonts w:hint="eastAsia" w:ascii="仿宋" w:hAnsi="仿宋" w:eastAsia="仿宋"/>
          <w:color w:val="auto"/>
          <w:sz w:val="32"/>
          <w:szCs w:val="32"/>
        </w:rPr>
        <w:t>双方约定乙方代理甲方</w:t>
      </w:r>
      <w:r>
        <w:rPr>
          <w:rFonts w:hint="eastAsia" w:ascii="仿宋" w:hAnsi="仿宋" w:eastAsia="仿宋"/>
          <w:color w:val="auto"/>
          <w:sz w:val="32"/>
          <w:szCs w:val="32"/>
          <w:lang w:eastAsia="zh-CN"/>
        </w:rPr>
        <w:t>与新能源发电企业进行</w:t>
      </w:r>
      <w:r>
        <w:rPr>
          <w:rFonts w:hint="eastAsia" w:ascii="仿宋" w:hAnsi="仿宋" w:eastAsia="仿宋"/>
          <w:color w:val="auto"/>
          <w:sz w:val="32"/>
          <w:szCs w:val="32"/>
        </w:rPr>
        <w:t>绿色电力交易按</w:t>
      </w:r>
      <w:r>
        <w:rPr>
          <w:rFonts w:hint="eastAsia" w:ascii="仿宋" w:hAnsi="仿宋" w:eastAsia="仿宋"/>
          <w:color w:val="auto"/>
          <w:sz w:val="32"/>
          <w:szCs w:val="32"/>
          <w:lang w:eastAsia="zh-CN"/>
        </w:rPr>
        <w:t>套餐</w:t>
      </w:r>
      <w:r>
        <w:rPr>
          <w:rFonts w:hint="eastAsia" w:ascii="仿宋" w:hAnsi="仿宋" w:eastAsia="仿宋"/>
          <w:color w:val="auto"/>
          <w:sz w:val="32"/>
          <w:szCs w:val="28"/>
          <w:u w:val="single"/>
        </w:rPr>
        <w:t xml:space="preserve"> </w:t>
      </w:r>
      <w:r>
        <w:rPr>
          <w:rFonts w:hint="eastAsia" w:ascii="仿宋" w:hAnsi="仿宋" w:eastAsia="仿宋"/>
          <w:color w:val="auto"/>
          <w:sz w:val="32"/>
          <w:szCs w:val="28"/>
          <w:u w:val="single"/>
          <w:lang w:val="en-US" w:eastAsia="zh-CN"/>
        </w:rPr>
        <w:t xml:space="preserve"> /</w:t>
      </w:r>
      <w:r>
        <w:rPr>
          <w:rFonts w:hint="eastAsia" w:ascii="仿宋" w:hAnsi="仿宋" w:eastAsia="仿宋"/>
          <w:color w:val="auto"/>
          <w:sz w:val="32"/>
          <w:szCs w:val="32"/>
          <w:u w:val="single"/>
        </w:rPr>
        <w:t xml:space="preserve">  </w:t>
      </w:r>
      <w:r>
        <w:rPr>
          <w:rFonts w:hint="eastAsia" w:ascii="仿宋" w:hAnsi="仿宋" w:eastAsia="仿宋"/>
          <w:color w:val="auto"/>
          <w:sz w:val="32"/>
          <w:szCs w:val="28"/>
        </w:rPr>
        <w:t>结算</w:t>
      </w:r>
      <w:r>
        <w:rPr>
          <w:rFonts w:hint="eastAsia" w:ascii="仿宋" w:hAnsi="仿宋" w:eastAsia="仿宋"/>
          <w:color w:val="auto"/>
          <w:sz w:val="32"/>
          <w:szCs w:val="28"/>
          <w:lang w:eastAsia="zh-CN"/>
        </w:rPr>
        <w:t>，结算价格含绿色电力权益价值</w:t>
      </w:r>
      <w:r>
        <w:rPr>
          <w:rFonts w:hint="eastAsia" w:ascii="仿宋" w:hAnsi="仿宋" w:eastAsia="仿宋"/>
          <w:color w:val="auto"/>
          <w:sz w:val="32"/>
          <w:szCs w:val="28"/>
        </w:rPr>
        <w:t>。</w:t>
      </w:r>
      <w:r>
        <w:rPr>
          <w:rFonts w:hint="eastAsia" w:ascii="仿宋" w:hAnsi="仿宋" w:eastAsia="仿宋"/>
          <w:color w:val="auto"/>
          <w:sz w:val="32"/>
          <w:szCs w:val="32"/>
          <w:lang w:val="en-US" w:eastAsia="zh-CN"/>
        </w:rPr>
        <w:t>（选填）</w:t>
      </w:r>
    </w:p>
    <w:p>
      <w:pPr>
        <w:ind w:firstLine="643" w:firstLineChars="200"/>
        <w:rPr>
          <w:rFonts w:ascii="仿宋" w:hAnsi="仿宋" w:eastAsia="仿宋"/>
          <w:color w:val="auto"/>
          <w:sz w:val="32"/>
          <w:szCs w:val="32"/>
          <w:u w:val="single"/>
        </w:rPr>
      </w:pPr>
      <w:r>
        <w:rPr>
          <w:rFonts w:hint="eastAsia" w:ascii="仿宋" w:hAnsi="仿宋" w:eastAsia="仿宋"/>
          <w:b/>
          <w:color w:val="auto"/>
          <w:sz w:val="32"/>
          <w:szCs w:val="32"/>
          <w:lang w:eastAsia="zh-CN"/>
        </w:rPr>
        <w:t>套餐一</w:t>
      </w:r>
      <w:r>
        <w:rPr>
          <w:rFonts w:hint="eastAsia" w:ascii="仿宋" w:hAnsi="仿宋" w:eastAsia="仿宋"/>
          <w:b/>
          <w:color w:val="auto"/>
          <w:sz w:val="32"/>
          <w:szCs w:val="32"/>
        </w:rPr>
        <w:t>：固定价格。</w:t>
      </w:r>
      <w:r>
        <w:rPr>
          <w:rFonts w:hint="eastAsia" w:ascii="仿宋" w:hAnsi="仿宋" w:eastAsia="仿宋"/>
          <w:color w:val="auto"/>
          <w:sz w:val="32"/>
          <w:szCs w:val="32"/>
        </w:rPr>
        <w:t>甲方</w:t>
      </w:r>
      <w:r>
        <w:rPr>
          <w:rFonts w:hint="eastAsia" w:ascii="仿宋" w:hAnsi="仿宋" w:eastAsia="仿宋"/>
          <w:color w:val="auto"/>
          <w:sz w:val="32"/>
          <w:szCs w:val="32"/>
          <w:lang w:eastAsia="zh-CN"/>
        </w:rPr>
        <w:t>电量</w:t>
      </w:r>
      <w:r>
        <w:rPr>
          <w:rFonts w:hint="eastAsia" w:ascii="仿宋" w:hAnsi="仿宋" w:eastAsia="仿宋"/>
          <w:color w:val="auto"/>
          <w:sz w:val="32"/>
          <w:szCs w:val="32"/>
        </w:rPr>
        <w:t>绿色电力</w:t>
      </w:r>
      <w:r>
        <w:rPr>
          <w:rFonts w:hint="eastAsia" w:ascii="仿宋" w:hAnsi="仿宋" w:eastAsia="仿宋"/>
          <w:color w:val="auto"/>
          <w:sz w:val="32"/>
          <w:szCs w:val="32"/>
          <w:lang w:eastAsia="zh-CN"/>
        </w:rPr>
        <w:t>交易部分</w:t>
      </w:r>
      <w:r>
        <w:rPr>
          <w:rFonts w:hint="eastAsia" w:ascii="仿宋" w:hAnsi="仿宋" w:eastAsia="仿宋"/>
          <w:color w:val="auto"/>
          <w:sz w:val="32"/>
          <w:szCs w:val="32"/>
        </w:rPr>
        <w:t>均按照</w:t>
      </w:r>
      <w:r>
        <w:rPr>
          <w:rFonts w:hint="eastAsia" w:ascii="仿宋" w:hAnsi="仿宋" w:eastAsia="仿宋"/>
          <w:color w:val="auto"/>
          <w:sz w:val="32"/>
          <w:szCs w:val="32"/>
          <w:u w:val="single"/>
        </w:rPr>
        <w:t xml:space="preserve">                                   </w:t>
      </w:r>
    </w:p>
    <w:p>
      <w:pPr>
        <w:rPr>
          <w:rFonts w:ascii="仿宋" w:hAnsi="仿宋" w:eastAsia="仿宋"/>
          <w:color w:val="auto"/>
          <w:sz w:val="32"/>
          <w:szCs w:val="32"/>
          <w:u w:val="single"/>
        </w:rPr>
      </w:pPr>
      <w:r>
        <w:rPr>
          <w:rFonts w:hint="eastAsia" w:ascii="仿宋" w:hAnsi="仿宋" w:eastAsia="仿宋"/>
          <w:color w:val="auto"/>
          <w:sz w:val="32"/>
          <w:szCs w:val="32"/>
        </w:rPr>
        <w:t xml:space="preserve"> </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w:t>
      </w:r>
      <w:r>
        <w:rPr>
          <w:rFonts w:hint="eastAsia" w:ascii="仿宋" w:hAnsi="仿宋" w:eastAsia="仿宋"/>
          <w:color w:val="auto"/>
          <w:sz w:val="32"/>
          <w:szCs w:val="32"/>
          <w:u w:val="none"/>
          <w:lang w:val="en-US" w:eastAsia="zh-CN"/>
        </w:rPr>
        <w:t>元</w:t>
      </w:r>
      <w:r>
        <w:rPr>
          <w:rFonts w:hint="eastAsia" w:ascii="仿宋" w:hAnsi="仿宋" w:eastAsia="仿宋"/>
          <w:color w:val="auto"/>
          <w:sz w:val="32"/>
          <w:szCs w:val="28"/>
        </w:rPr>
        <w:t>/兆瓦时结算。</w:t>
      </w:r>
    </w:p>
    <w:p>
      <w:pPr>
        <w:ind w:firstLine="643" w:firstLineChars="200"/>
        <w:rPr>
          <w:rFonts w:hint="eastAsia" w:ascii="仿宋" w:hAnsi="仿宋" w:eastAsia="仿宋"/>
          <w:color w:val="auto"/>
          <w:sz w:val="32"/>
          <w:szCs w:val="28"/>
          <w:lang w:eastAsia="zh-CN"/>
        </w:rPr>
      </w:pPr>
      <w:r>
        <w:rPr>
          <w:rFonts w:hint="eastAsia" w:ascii="仿宋" w:hAnsi="仿宋" w:eastAsia="仿宋"/>
          <w:b/>
          <w:color w:val="auto"/>
          <w:sz w:val="32"/>
          <w:szCs w:val="28"/>
          <w:lang w:eastAsia="zh-CN"/>
        </w:rPr>
        <w:t>套餐二</w:t>
      </w:r>
      <w:r>
        <w:rPr>
          <w:rFonts w:hint="eastAsia" w:ascii="仿宋" w:hAnsi="仿宋" w:eastAsia="仿宋"/>
          <w:b/>
          <w:color w:val="auto"/>
          <w:sz w:val="32"/>
          <w:szCs w:val="28"/>
        </w:rPr>
        <w:t>：比例分成。</w:t>
      </w:r>
      <w:r>
        <w:rPr>
          <w:rFonts w:hint="eastAsia" w:ascii="仿宋" w:hAnsi="仿宋" w:eastAsia="仿宋"/>
          <w:color w:val="auto"/>
          <w:sz w:val="32"/>
          <w:szCs w:val="32"/>
          <w:lang w:eastAsia="zh-CN"/>
        </w:rPr>
        <w:t>甲方购电基准价为</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u w:val="single"/>
          <w:lang w:val="en-US" w:eastAsia="zh-CN"/>
        </w:rPr>
        <w:t>/</w:t>
      </w:r>
      <w:r>
        <w:rPr>
          <w:rFonts w:hint="eastAsia" w:ascii="方正仿宋_GBK" w:hAnsi="仿宋" w:eastAsia="方正仿宋_GBK"/>
          <w:color w:val="auto"/>
          <w:sz w:val="32"/>
          <w:szCs w:val="28"/>
          <w:u w:val="single"/>
        </w:rPr>
        <w:t xml:space="preserve"> </w:t>
      </w:r>
      <w:r>
        <w:rPr>
          <w:rFonts w:hint="eastAsia" w:ascii="仿宋" w:hAnsi="仿宋" w:eastAsia="仿宋"/>
          <w:color w:val="auto"/>
          <w:sz w:val="32"/>
          <w:szCs w:val="28"/>
        </w:rPr>
        <w:t>元/兆瓦时</w:t>
      </w:r>
      <w:r>
        <w:rPr>
          <w:rFonts w:hint="eastAsia" w:ascii="仿宋" w:hAnsi="仿宋" w:eastAsia="仿宋"/>
          <w:color w:val="auto"/>
          <w:sz w:val="32"/>
          <w:szCs w:val="28"/>
          <w:lang w:eastAsia="zh-CN"/>
        </w:rPr>
        <w:t>，</w:t>
      </w:r>
      <w:r>
        <w:rPr>
          <w:rFonts w:hint="eastAsia" w:ascii="仿宋" w:hAnsi="仿宋" w:eastAsia="仿宋"/>
          <w:color w:val="auto"/>
          <w:sz w:val="32"/>
          <w:szCs w:val="32"/>
        </w:rPr>
        <w:t>甲方</w:t>
      </w:r>
      <w:r>
        <w:rPr>
          <w:rFonts w:hint="eastAsia" w:ascii="仿宋" w:hAnsi="仿宋" w:eastAsia="仿宋"/>
          <w:color w:val="auto"/>
          <w:sz w:val="32"/>
          <w:szCs w:val="32"/>
          <w:lang w:eastAsia="zh-CN"/>
        </w:rPr>
        <w:t>电量</w:t>
      </w:r>
      <w:r>
        <w:rPr>
          <w:rFonts w:hint="eastAsia" w:ascii="仿宋" w:hAnsi="仿宋" w:eastAsia="仿宋"/>
          <w:color w:val="auto"/>
          <w:sz w:val="32"/>
          <w:szCs w:val="32"/>
        </w:rPr>
        <w:t>绿色电力</w:t>
      </w:r>
      <w:r>
        <w:rPr>
          <w:rFonts w:hint="eastAsia" w:ascii="仿宋" w:hAnsi="仿宋" w:eastAsia="仿宋"/>
          <w:color w:val="auto"/>
          <w:sz w:val="32"/>
          <w:szCs w:val="32"/>
          <w:lang w:eastAsia="zh-CN"/>
        </w:rPr>
        <w:t>交易部分</w:t>
      </w:r>
      <w:r>
        <w:rPr>
          <w:rFonts w:hint="eastAsia" w:ascii="仿宋" w:hAnsi="仿宋" w:eastAsia="仿宋"/>
          <w:color w:val="auto"/>
          <w:sz w:val="32"/>
          <w:szCs w:val="28"/>
          <w:lang w:eastAsia="zh-CN"/>
        </w:rPr>
        <w:t>结算价</w:t>
      </w:r>
      <w:r>
        <w:rPr>
          <w:rFonts w:hint="eastAsia" w:ascii="仿宋" w:hAnsi="仿宋" w:eastAsia="仿宋"/>
          <w:color w:val="auto"/>
          <w:sz w:val="32"/>
          <w:szCs w:val="28"/>
          <w:lang w:val="en-US" w:eastAsia="zh-CN"/>
        </w:rPr>
        <w:t>=甲方购电基准价+（</w:t>
      </w:r>
      <w:r>
        <w:rPr>
          <w:rFonts w:hint="eastAsia" w:ascii="仿宋" w:hAnsi="仿宋" w:eastAsia="仿宋"/>
          <w:color w:val="auto"/>
          <w:sz w:val="32"/>
          <w:szCs w:val="28"/>
        </w:rPr>
        <w:t>乙方绿</w:t>
      </w:r>
      <w:r>
        <w:rPr>
          <w:rFonts w:hint="eastAsia" w:ascii="仿宋" w:hAnsi="仿宋" w:eastAsia="仿宋"/>
          <w:color w:val="auto"/>
          <w:sz w:val="32"/>
          <w:szCs w:val="28"/>
          <w:lang w:eastAsia="zh-CN"/>
        </w:rPr>
        <w:t>色电力</w:t>
      </w:r>
      <w:r>
        <w:rPr>
          <w:rFonts w:hint="eastAsia" w:ascii="仿宋" w:hAnsi="仿宋" w:eastAsia="仿宋"/>
          <w:color w:val="auto"/>
          <w:sz w:val="32"/>
          <w:szCs w:val="32"/>
          <w:u w:val="none"/>
          <w:lang w:val="en-US" w:eastAsia="zh-CN"/>
        </w:rPr>
        <w:t>交易</w:t>
      </w:r>
      <w:r>
        <w:rPr>
          <w:rFonts w:hint="eastAsia" w:ascii="仿宋" w:hAnsi="仿宋" w:eastAsia="仿宋"/>
          <w:color w:val="auto"/>
          <w:sz w:val="32"/>
          <w:szCs w:val="28"/>
        </w:rPr>
        <w:t>批发侧</w:t>
      </w:r>
      <w:r>
        <w:rPr>
          <w:rFonts w:hint="eastAsia" w:ascii="仿宋" w:hAnsi="仿宋" w:eastAsia="仿宋"/>
          <w:color w:val="auto"/>
          <w:sz w:val="32"/>
          <w:szCs w:val="32"/>
          <w:u w:val="none"/>
          <w:lang w:val="en-US" w:eastAsia="zh-CN"/>
        </w:rPr>
        <w:t>结算均价</w:t>
      </w:r>
      <w:r>
        <w:rPr>
          <w:rFonts w:hint="eastAsia" w:ascii="仿宋" w:hAnsi="仿宋" w:eastAsia="仿宋"/>
          <w:color w:val="auto"/>
          <w:sz w:val="32"/>
          <w:szCs w:val="28"/>
          <w:lang w:val="en-US" w:eastAsia="zh-CN"/>
        </w:rPr>
        <w:t>-甲方购电基准价）</w:t>
      </w:r>
      <w:r>
        <w:rPr>
          <w:rFonts w:hint="default" w:ascii="Arial" w:hAnsi="Arial" w:eastAsia="仿宋" w:cs="Arial"/>
          <w:color w:val="auto"/>
          <w:sz w:val="32"/>
          <w:szCs w:val="28"/>
        </w:rPr>
        <w:t>×</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u w:val="single"/>
          <w:lang w:val="en-US" w:eastAsia="zh-CN"/>
        </w:rPr>
        <w:t>/</w:t>
      </w:r>
      <w:r>
        <w:rPr>
          <w:rFonts w:hint="eastAsia" w:ascii="方正仿宋_GBK" w:hAnsi="仿宋" w:eastAsia="方正仿宋_GBK"/>
          <w:color w:val="auto"/>
          <w:sz w:val="32"/>
          <w:szCs w:val="28"/>
          <w:u w:val="single"/>
        </w:rPr>
        <w:t xml:space="preserve"> </w:t>
      </w:r>
      <w:r>
        <w:rPr>
          <w:rFonts w:hint="eastAsia" w:ascii="仿宋" w:hAnsi="仿宋" w:eastAsia="仿宋"/>
          <w:color w:val="auto"/>
          <w:sz w:val="32"/>
          <w:szCs w:val="28"/>
        </w:rPr>
        <w:t>%</w:t>
      </w:r>
      <w:r>
        <w:rPr>
          <w:rFonts w:hint="eastAsia" w:ascii="仿宋" w:hAnsi="仿宋" w:eastAsia="仿宋"/>
          <w:color w:val="auto"/>
          <w:sz w:val="32"/>
          <w:szCs w:val="28"/>
          <w:lang w:eastAsia="zh-CN"/>
        </w:rPr>
        <w:t>。</w:t>
      </w:r>
    </w:p>
    <w:p>
      <w:pPr>
        <w:ind w:firstLine="640" w:firstLineChars="200"/>
        <w:jc w:val="left"/>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 xml:space="preserve">7 </w:t>
      </w:r>
      <w:r>
        <w:rPr>
          <w:rFonts w:hint="eastAsia" w:ascii="仿宋" w:hAnsi="仿宋" w:eastAsia="仿宋"/>
          <w:color w:val="auto"/>
          <w:sz w:val="32"/>
          <w:szCs w:val="32"/>
        </w:rPr>
        <w:t>双方约定乙方代理甲方</w:t>
      </w:r>
      <w:r>
        <w:rPr>
          <w:rFonts w:hint="eastAsia" w:ascii="仿宋" w:hAnsi="仿宋" w:eastAsia="仿宋"/>
          <w:color w:val="auto"/>
          <w:sz w:val="32"/>
          <w:szCs w:val="32"/>
          <w:lang w:eastAsia="zh-CN"/>
        </w:rPr>
        <w:t>通过现货市场购（售）电量</w:t>
      </w:r>
      <w:r>
        <w:rPr>
          <w:rFonts w:hint="eastAsia" w:ascii="仿宋" w:hAnsi="仿宋" w:eastAsia="仿宋"/>
          <w:color w:val="auto"/>
          <w:sz w:val="32"/>
          <w:szCs w:val="32"/>
        </w:rPr>
        <w:t>按</w:t>
      </w:r>
      <w:r>
        <w:rPr>
          <w:rFonts w:hint="eastAsia" w:ascii="仿宋" w:hAnsi="仿宋" w:eastAsia="仿宋"/>
          <w:color w:val="auto"/>
          <w:sz w:val="32"/>
          <w:szCs w:val="32"/>
          <w:lang w:eastAsia="zh-CN"/>
        </w:rPr>
        <w:t>套餐</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一</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结算。</w:t>
      </w:r>
      <w:r>
        <w:rPr>
          <w:rFonts w:hint="eastAsia" w:ascii="仿宋" w:hAnsi="仿宋" w:eastAsia="仿宋"/>
          <w:color w:val="auto"/>
          <w:sz w:val="32"/>
          <w:szCs w:val="32"/>
          <w:lang w:val="en-US" w:eastAsia="zh-CN"/>
        </w:rPr>
        <w:t>（必填）</w:t>
      </w:r>
    </w:p>
    <w:p>
      <w:pPr>
        <w:ind w:firstLine="643" w:firstLineChars="200"/>
        <w:rPr>
          <w:rFonts w:hint="eastAsia" w:ascii="仿宋" w:hAnsi="仿宋" w:eastAsia="仿宋"/>
          <w:color w:val="auto"/>
          <w:sz w:val="32"/>
          <w:szCs w:val="28"/>
        </w:rPr>
      </w:pPr>
      <w:r>
        <w:rPr>
          <w:rFonts w:hint="eastAsia" w:ascii="仿宋" w:hAnsi="仿宋" w:eastAsia="仿宋"/>
          <w:b/>
          <w:color w:val="auto"/>
          <w:sz w:val="32"/>
          <w:szCs w:val="32"/>
          <w:lang w:eastAsia="zh-CN"/>
        </w:rPr>
        <w:t>套餐一</w:t>
      </w:r>
      <w:r>
        <w:rPr>
          <w:rFonts w:hint="eastAsia" w:ascii="仿宋" w:hAnsi="仿宋" w:eastAsia="仿宋"/>
          <w:b/>
          <w:color w:val="auto"/>
          <w:sz w:val="32"/>
          <w:szCs w:val="32"/>
        </w:rPr>
        <w:t>：价格</w:t>
      </w:r>
      <w:r>
        <w:rPr>
          <w:rFonts w:hint="eastAsia" w:ascii="仿宋" w:hAnsi="仿宋" w:eastAsia="仿宋"/>
          <w:b/>
          <w:color w:val="auto"/>
          <w:sz w:val="32"/>
          <w:szCs w:val="32"/>
          <w:lang w:eastAsia="zh-CN"/>
        </w:rPr>
        <w:t>传导</w:t>
      </w:r>
      <w:r>
        <w:rPr>
          <w:rFonts w:hint="eastAsia" w:ascii="仿宋" w:hAnsi="仿宋" w:eastAsia="仿宋"/>
          <w:b/>
          <w:color w:val="auto"/>
          <w:sz w:val="32"/>
          <w:szCs w:val="32"/>
        </w:rPr>
        <w:t>。</w:t>
      </w:r>
      <w:r>
        <w:rPr>
          <w:rFonts w:hint="eastAsia" w:ascii="仿宋" w:hAnsi="仿宋" w:eastAsia="仿宋"/>
          <w:color w:val="auto"/>
          <w:sz w:val="32"/>
          <w:szCs w:val="32"/>
        </w:rPr>
        <w:t>甲方</w:t>
      </w:r>
      <w:r>
        <w:rPr>
          <w:rFonts w:hint="eastAsia" w:ascii="仿宋" w:hAnsi="仿宋" w:eastAsia="仿宋"/>
          <w:color w:val="auto"/>
          <w:sz w:val="32"/>
          <w:szCs w:val="32"/>
          <w:lang w:eastAsia="zh-CN"/>
        </w:rPr>
        <w:t>现货市场购（售）电量按照</w:t>
      </w:r>
      <w:r>
        <w:rPr>
          <w:rFonts w:hint="eastAsia" w:ascii="仿宋" w:hAnsi="仿宋" w:eastAsia="仿宋"/>
          <w:color w:val="auto"/>
          <w:sz w:val="32"/>
          <w:szCs w:val="28"/>
        </w:rPr>
        <w:t>乙方</w:t>
      </w:r>
      <w:r>
        <w:rPr>
          <w:rFonts w:hint="eastAsia" w:ascii="仿宋" w:hAnsi="仿宋" w:eastAsia="仿宋"/>
          <w:color w:val="auto"/>
          <w:sz w:val="32"/>
          <w:szCs w:val="28"/>
          <w:lang w:eastAsia="zh-CN"/>
        </w:rPr>
        <w:t>现货市场批发侧购</w:t>
      </w:r>
      <w:r>
        <w:rPr>
          <w:rFonts w:hint="eastAsia" w:ascii="仿宋" w:hAnsi="仿宋" w:eastAsia="仿宋"/>
          <w:color w:val="auto"/>
          <w:sz w:val="32"/>
          <w:szCs w:val="32"/>
          <w:lang w:eastAsia="zh-CN"/>
        </w:rPr>
        <w:t>（售）电</w:t>
      </w:r>
      <w:r>
        <w:rPr>
          <w:rFonts w:hint="eastAsia" w:ascii="仿宋" w:hAnsi="仿宋" w:eastAsia="仿宋"/>
          <w:color w:val="auto"/>
          <w:sz w:val="32"/>
          <w:szCs w:val="32"/>
          <w:u w:val="none"/>
          <w:lang w:val="en-US" w:eastAsia="zh-CN"/>
        </w:rPr>
        <w:t>结算均价</w:t>
      </w:r>
      <w:r>
        <w:rPr>
          <w:rFonts w:hint="eastAsia" w:ascii="仿宋" w:hAnsi="仿宋" w:eastAsia="仿宋"/>
          <w:color w:val="auto"/>
          <w:sz w:val="32"/>
          <w:szCs w:val="28"/>
          <w:lang w:eastAsia="zh-CN"/>
        </w:rPr>
        <w:t>执行</w:t>
      </w:r>
      <w:r>
        <w:rPr>
          <w:rFonts w:hint="eastAsia" w:ascii="仿宋" w:hAnsi="仿宋" w:eastAsia="仿宋"/>
          <w:color w:val="auto"/>
          <w:sz w:val="32"/>
          <w:szCs w:val="28"/>
        </w:rPr>
        <w:t>。</w:t>
      </w:r>
    </w:p>
    <w:p>
      <w:pPr>
        <w:ind w:firstLine="643" w:firstLineChars="200"/>
        <w:jc w:val="left"/>
        <w:rPr>
          <w:rFonts w:hint="eastAsia" w:ascii="仿宋" w:hAnsi="仿宋" w:eastAsia="仿宋"/>
          <w:color w:val="auto"/>
          <w:sz w:val="32"/>
          <w:szCs w:val="28"/>
        </w:rPr>
      </w:pPr>
      <w:r>
        <w:rPr>
          <w:rFonts w:hint="eastAsia" w:ascii="仿宋" w:hAnsi="仿宋" w:eastAsia="仿宋"/>
          <w:b/>
          <w:color w:val="auto"/>
          <w:sz w:val="32"/>
          <w:szCs w:val="28"/>
          <w:lang w:eastAsia="zh-CN"/>
        </w:rPr>
        <w:t>套餐二</w:t>
      </w:r>
      <w:r>
        <w:rPr>
          <w:rFonts w:hint="eastAsia" w:ascii="仿宋" w:hAnsi="仿宋" w:eastAsia="仿宋"/>
          <w:b/>
          <w:color w:val="auto"/>
          <w:sz w:val="32"/>
          <w:szCs w:val="28"/>
        </w:rPr>
        <w:t>：比例分成。</w:t>
      </w:r>
      <w:r>
        <w:rPr>
          <w:rFonts w:hint="eastAsia" w:ascii="仿宋" w:hAnsi="仿宋" w:eastAsia="仿宋"/>
          <w:color w:val="auto"/>
          <w:sz w:val="32"/>
          <w:szCs w:val="32"/>
          <w:lang w:eastAsia="zh-CN"/>
        </w:rPr>
        <w:t>甲方购（售）电基准价为</w:t>
      </w:r>
      <w:r>
        <w:rPr>
          <w:rFonts w:hint="eastAsia" w:ascii="方正仿宋_GBK" w:hAnsi="仿宋" w:eastAsia="方正仿宋_GBK"/>
          <w:color w:val="auto"/>
          <w:sz w:val="32"/>
          <w:szCs w:val="28"/>
          <w:u w:val="single"/>
        </w:rPr>
        <w:t xml:space="preserve">     </w:t>
      </w:r>
      <w:r>
        <w:rPr>
          <w:rFonts w:hint="eastAsia" w:ascii="仿宋" w:hAnsi="仿宋" w:eastAsia="仿宋"/>
          <w:color w:val="auto"/>
          <w:sz w:val="32"/>
          <w:szCs w:val="28"/>
        </w:rPr>
        <w:t>元/兆瓦时</w:t>
      </w:r>
      <w:r>
        <w:rPr>
          <w:rFonts w:hint="eastAsia" w:ascii="仿宋" w:hAnsi="仿宋" w:eastAsia="仿宋"/>
          <w:color w:val="auto"/>
          <w:sz w:val="32"/>
          <w:szCs w:val="28"/>
          <w:lang w:eastAsia="zh-CN"/>
        </w:rPr>
        <w:t>，甲方现货市场购</w:t>
      </w:r>
      <w:r>
        <w:rPr>
          <w:rFonts w:hint="eastAsia" w:ascii="仿宋" w:hAnsi="仿宋" w:eastAsia="仿宋"/>
          <w:color w:val="auto"/>
          <w:sz w:val="32"/>
          <w:szCs w:val="32"/>
          <w:lang w:eastAsia="zh-CN"/>
        </w:rPr>
        <w:t>（售）电</w:t>
      </w:r>
      <w:r>
        <w:rPr>
          <w:rFonts w:hint="eastAsia" w:ascii="仿宋" w:hAnsi="仿宋" w:eastAsia="仿宋"/>
          <w:color w:val="auto"/>
          <w:sz w:val="32"/>
          <w:szCs w:val="28"/>
          <w:lang w:eastAsia="zh-CN"/>
        </w:rPr>
        <w:t>结算价</w:t>
      </w:r>
      <w:r>
        <w:rPr>
          <w:rFonts w:hint="eastAsia" w:ascii="仿宋" w:hAnsi="仿宋" w:eastAsia="仿宋"/>
          <w:color w:val="auto"/>
          <w:sz w:val="32"/>
          <w:szCs w:val="28"/>
          <w:lang w:val="en-US" w:eastAsia="zh-CN"/>
        </w:rPr>
        <w:t>=甲方购</w:t>
      </w:r>
      <w:r>
        <w:rPr>
          <w:rFonts w:hint="eastAsia" w:ascii="仿宋" w:hAnsi="仿宋" w:eastAsia="仿宋"/>
          <w:color w:val="auto"/>
          <w:sz w:val="32"/>
          <w:szCs w:val="32"/>
          <w:lang w:eastAsia="zh-CN"/>
        </w:rPr>
        <w:t>（售）</w:t>
      </w:r>
      <w:r>
        <w:rPr>
          <w:rFonts w:hint="eastAsia" w:ascii="仿宋" w:hAnsi="仿宋" w:eastAsia="仿宋"/>
          <w:color w:val="auto"/>
          <w:sz w:val="32"/>
          <w:szCs w:val="28"/>
          <w:lang w:val="en-US" w:eastAsia="zh-CN"/>
        </w:rPr>
        <w:t>电基准价+[</w:t>
      </w:r>
      <w:r>
        <w:rPr>
          <w:rFonts w:hint="eastAsia" w:ascii="仿宋" w:hAnsi="仿宋" w:eastAsia="仿宋"/>
          <w:color w:val="auto"/>
          <w:sz w:val="32"/>
          <w:szCs w:val="28"/>
        </w:rPr>
        <w:t>乙方</w:t>
      </w:r>
      <w:r>
        <w:rPr>
          <w:rFonts w:hint="eastAsia" w:ascii="仿宋" w:hAnsi="仿宋" w:eastAsia="仿宋"/>
          <w:color w:val="auto"/>
          <w:sz w:val="32"/>
          <w:szCs w:val="28"/>
          <w:lang w:eastAsia="zh-CN"/>
        </w:rPr>
        <w:t>现货市场批发侧购</w:t>
      </w:r>
      <w:r>
        <w:rPr>
          <w:rFonts w:hint="eastAsia" w:ascii="仿宋" w:hAnsi="仿宋" w:eastAsia="仿宋"/>
          <w:color w:val="auto"/>
          <w:sz w:val="32"/>
          <w:szCs w:val="32"/>
          <w:lang w:eastAsia="zh-CN"/>
        </w:rPr>
        <w:t>（售）</w:t>
      </w:r>
      <w:r>
        <w:rPr>
          <w:rFonts w:hint="eastAsia" w:ascii="仿宋" w:hAnsi="仿宋" w:eastAsia="仿宋"/>
          <w:color w:val="auto"/>
          <w:sz w:val="32"/>
          <w:szCs w:val="28"/>
          <w:lang w:eastAsia="zh-CN"/>
        </w:rPr>
        <w:t>电结算</w:t>
      </w:r>
      <w:r>
        <w:rPr>
          <w:rFonts w:hint="eastAsia" w:ascii="仿宋" w:hAnsi="仿宋" w:eastAsia="仿宋"/>
          <w:color w:val="auto"/>
          <w:sz w:val="32"/>
          <w:szCs w:val="28"/>
        </w:rPr>
        <w:t>均价</w:t>
      </w:r>
      <w:r>
        <w:rPr>
          <w:rFonts w:hint="eastAsia" w:ascii="仿宋" w:hAnsi="仿宋" w:eastAsia="仿宋"/>
          <w:color w:val="auto"/>
          <w:sz w:val="32"/>
          <w:szCs w:val="28"/>
          <w:lang w:val="en-US" w:eastAsia="zh-CN"/>
        </w:rPr>
        <w:t>-甲方购</w:t>
      </w:r>
      <w:r>
        <w:rPr>
          <w:rFonts w:hint="eastAsia" w:ascii="仿宋" w:hAnsi="仿宋" w:eastAsia="仿宋"/>
          <w:color w:val="auto"/>
          <w:sz w:val="32"/>
          <w:szCs w:val="32"/>
          <w:lang w:eastAsia="zh-CN"/>
        </w:rPr>
        <w:t>（售）</w:t>
      </w:r>
      <w:r>
        <w:rPr>
          <w:rFonts w:hint="eastAsia" w:ascii="仿宋" w:hAnsi="仿宋" w:eastAsia="仿宋"/>
          <w:color w:val="auto"/>
          <w:sz w:val="32"/>
          <w:szCs w:val="28"/>
          <w:lang w:val="en-US" w:eastAsia="zh-CN"/>
        </w:rPr>
        <w:t>电基准价]</w:t>
      </w:r>
      <w:r>
        <w:rPr>
          <w:rFonts w:hint="default" w:ascii="Arial" w:hAnsi="Arial" w:eastAsia="仿宋" w:cs="Arial"/>
          <w:color w:val="auto"/>
          <w:sz w:val="32"/>
          <w:szCs w:val="28"/>
        </w:rPr>
        <w:t>×</w:t>
      </w:r>
      <w:r>
        <w:rPr>
          <w:rFonts w:hint="eastAsia" w:ascii="方正仿宋_GBK" w:hAnsi="仿宋" w:eastAsia="方正仿宋_GBK"/>
          <w:color w:val="auto"/>
          <w:sz w:val="32"/>
          <w:szCs w:val="28"/>
          <w:u w:val="single"/>
        </w:rPr>
        <w:t xml:space="preserve">   </w:t>
      </w:r>
      <w:r>
        <w:rPr>
          <w:rFonts w:hint="eastAsia" w:ascii="方正仿宋_GBK" w:hAnsi="仿宋" w:eastAsia="方正仿宋_GBK"/>
          <w:color w:val="auto"/>
          <w:sz w:val="32"/>
          <w:szCs w:val="28"/>
        </w:rPr>
        <w:t xml:space="preserve"> </w:t>
      </w:r>
      <w:r>
        <w:rPr>
          <w:rFonts w:hint="eastAsia" w:ascii="仿宋" w:hAnsi="仿宋" w:eastAsia="仿宋"/>
          <w:color w:val="auto"/>
          <w:sz w:val="32"/>
          <w:szCs w:val="28"/>
        </w:rPr>
        <w:t>%。</w:t>
      </w:r>
    </w:p>
    <w:p>
      <w:pPr>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val="en-US" w:eastAsia="zh-CN"/>
        </w:rPr>
        <w:t>3.8 合同期内，乙方同意向甲方提供以下增值服务。</w:t>
      </w:r>
      <w:r>
        <w:rPr>
          <w:rFonts w:hint="eastAsia" w:ascii="仿宋" w:hAnsi="仿宋" w:eastAsia="仿宋"/>
          <w:color w:val="auto"/>
          <w:sz w:val="32"/>
          <w:szCs w:val="32"/>
          <w:lang w:eastAsia="zh-CN"/>
        </w:rPr>
        <w:t>（说明：</w:t>
      </w:r>
      <w:r>
        <w:rPr>
          <w:rFonts w:hint="eastAsia" w:ascii="仿宋" w:hAnsi="仿宋" w:eastAsia="仿宋"/>
          <w:color w:val="auto"/>
          <w:sz w:val="32"/>
          <w:szCs w:val="32"/>
          <w:lang w:val="en-US" w:eastAsia="zh-CN"/>
        </w:rPr>
        <w:t>1.增值服务可包括但不限于</w:t>
      </w:r>
      <w:r>
        <w:rPr>
          <w:rFonts w:hint="eastAsia" w:ascii="仿宋" w:hAnsi="仿宋" w:eastAsia="仿宋"/>
          <w:b w:val="0"/>
          <w:bCs/>
          <w:color w:val="auto"/>
          <w:sz w:val="32"/>
          <w:szCs w:val="32"/>
          <w:lang w:val="en-US" w:eastAsia="zh-CN"/>
        </w:rPr>
        <w:t>电费电价分析、购电业务协办、用电效能诊断等，可</w:t>
      </w:r>
      <w:r>
        <w:rPr>
          <w:rFonts w:hint="eastAsia" w:ascii="仿宋" w:hAnsi="仿宋" w:eastAsia="仿宋"/>
          <w:color w:val="auto"/>
          <w:sz w:val="32"/>
          <w:szCs w:val="32"/>
          <w:lang w:val="en-US" w:eastAsia="zh-CN"/>
        </w:rPr>
        <w:t>不选或多选。2.双方可对增值服务具体内容、标准等进行约定。</w:t>
      </w:r>
      <w:r>
        <w:rPr>
          <w:rFonts w:hint="eastAsia" w:ascii="仿宋" w:hAnsi="仿宋" w:eastAsia="仿宋"/>
          <w:color w:val="auto"/>
          <w:sz w:val="32"/>
          <w:szCs w:val="32"/>
          <w:lang w:eastAsia="zh-CN"/>
        </w:rPr>
        <w:t>）</w:t>
      </w:r>
    </w:p>
    <w:p>
      <w:pPr>
        <w:ind w:firstLine="640" w:firstLineChars="200"/>
        <w:jc w:val="left"/>
        <w:rPr>
          <w:rFonts w:hint="eastAsia" w:ascii="仿宋" w:hAnsi="仿宋" w:eastAsia="仿宋"/>
          <w:color w:val="auto"/>
          <w:sz w:val="32"/>
          <w:szCs w:val="32"/>
          <w:u w:val="single"/>
        </w:rPr>
      </w:pPr>
      <w:r>
        <w:rPr>
          <w:rFonts w:hint="eastAsia" w:ascii="仿宋" w:hAnsi="仿宋" w:eastAsia="仿宋"/>
          <w:color w:val="auto"/>
          <w:sz w:val="32"/>
          <w:szCs w:val="32"/>
          <w:u w:val="none"/>
        </w:rPr>
        <w:t>①</w:t>
      </w:r>
      <w:r>
        <w:rPr>
          <w:rFonts w:hint="eastAsia" w:ascii="仿宋" w:hAnsi="仿宋" w:eastAsia="仿宋"/>
          <w:color w:val="auto"/>
          <w:sz w:val="32"/>
          <w:szCs w:val="28"/>
          <w:lang w:eastAsia="zh-CN"/>
        </w:rPr>
        <w:t>服务项目名称</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none"/>
          <w:lang w:val="en-US" w:eastAsia="zh-CN"/>
        </w:rPr>
        <w:t>，</w:t>
      </w:r>
      <w:r>
        <w:rPr>
          <w:rFonts w:hint="eastAsia" w:ascii="仿宋" w:hAnsi="仿宋" w:eastAsia="仿宋"/>
          <w:color w:val="auto"/>
          <w:sz w:val="32"/>
          <w:szCs w:val="28"/>
          <w:lang w:eastAsia="zh-CN"/>
        </w:rPr>
        <w:t>服务内容及约定：</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lang w:eastAsia="zh-CN"/>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ind w:firstLine="640" w:firstLineChars="200"/>
        <w:jc w:val="left"/>
        <w:rPr>
          <w:rFonts w:hint="eastAsia" w:ascii="仿宋" w:hAnsi="仿宋" w:eastAsia="仿宋"/>
          <w:color w:val="auto"/>
          <w:sz w:val="32"/>
          <w:szCs w:val="32"/>
          <w:u w:val="single"/>
        </w:rPr>
      </w:pPr>
      <w:r>
        <w:rPr>
          <w:rFonts w:hint="eastAsia" w:ascii="仿宋" w:hAnsi="仿宋" w:eastAsia="仿宋"/>
          <w:color w:val="auto"/>
          <w:sz w:val="32"/>
          <w:szCs w:val="32"/>
          <w:u w:val="none"/>
          <w:lang w:val="en-US" w:eastAsia="zh-CN"/>
        </w:rPr>
        <w:t>②</w:t>
      </w:r>
      <w:r>
        <w:rPr>
          <w:rFonts w:hint="eastAsia" w:ascii="仿宋" w:hAnsi="仿宋" w:eastAsia="仿宋"/>
          <w:color w:val="auto"/>
          <w:sz w:val="32"/>
          <w:szCs w:val="28"/>
          <w:lang w:eastAsia="zh-CN"/>
        </w:rPr>
        <w:t>服务项目名称</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none"/>
          <w:lang w:val="en-US" w:eastAsia="zh-CN"/>
        </w:rPr>
        <w:t>，</w:t>
      </w:r>
      <w:r>
        <w:rPr>
          <w:rFonts w:hint="eastAsia" w:ascii="仿宋" w:hAnsi="仿宋" w:eastAsia="仿宋"/>
          <w:color w:val="auto"/>
          <w:sz w:val="32"/>
          <w:szCs w:val="28"/>
          <w:lang w:eastAsia="zh-CN"/>
        </w:rPr>
        <w:t>服务内容及约定：</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lang w:eastAsia="zh-CN"/>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ind w:firstLine="640" w:firstLineChars="200"/>
        <w:jc w:val="left"/>
        <w:rPr>
          <w:rFonts w:hint="eastAsia" w:ascii="仿宋" w:hAnsi="仿宋" w:eastAsia="仿宋"/>
          <w:color w:val="auto"/>
          <w:sz w:val="32"/>
          <w:szCs w:val="32"/>
          <w:u w:val="single"/>
        </w:rPr>
      </w:pPr>
      <w:r>
        <w:rPr>
          <w:rFonts w:hint="eastAsia" w:ascii="仿宋" w:hAnsi="仿宋" w:eastAsia="仿宋"/>
          <w:color w:val="auto"/>
          <w:sz w:val="32"/>
          <w:szCs w:val="32"/>
          <w:u w:val="none"/>
          <w:lang w:val="en-US" w:eastAsia="zh-CN"/>
        </w:rPr>
        <w:t>③</w:t>
      </w:r>
      <w:r>
        <w:rPr>
          <w:rFonts w:hint="eastAsia" w:ascii="仿宋" w:hAnsi="仿宋" w:eastAsia="仿宋"/>
          <w:color w:val="auto"/>
          <w:sz w:val="32"/>
          <w:szCs w:val="28"/>
          <w:lang w:eastAsia="zh-CN"/>
        </w:rPr>
        <w:t>服务项目名称</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none"/>
          <w:lang w:val="en-US" w:eastAsia="zh-CN"/>
        </w:rPr>
        <w:t>，</w:t>
      </w:r>
      <w:r>
        <w:rPr>
          <w:rFonts w:hint="eastAsia" w:ascii="仿宋" w:hAnsi="仿宋" w:eastAsia="仿宋"/>
          <w:color w:val="auto"/>
          <w:sz w:val="32"/>
          <w:szCs w:val="28"/>
          <w:lang w:eastAsia="zh-CN"/>
        </w:rPr>
        <w:t>服务内容及约定：</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lang w:eastAsia="zh-CN"/>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rPr>
          <w:rFonts w:hint="eastAsia" w:ascii="仿宋" w:hAnsi="仿宋" w:eastAsia="仿宋"/>
          <w:color w:val="auto"/>
          <w:sz w:val="32"/>
          <w:szCs w:val="32"/>
          <w:u w:val="single"/>
        </w:rPr>
      </w:pP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r>
        <w:rPr>
          <w:rFonts w:hint="eastAsia" w:ascii="仿宋" w:hAnsi="仿宋" w:eastAsia="仿宋"/>
          <w:color w:val="auto"/>
          <w:sz w:val="32"/>
          <w:szCs w:val="32"/>
          <w:u w:val="single"/>
          <w:lang w:val="en-US" w:eastAsia="zh-CN"/>
        </w:rPr>
        <w:t xml:space="preserve">       </w:t>
      </w:r>
      <w:r>
        <w:rPr>
          <w:rFonts w:hint="eastAsia" w:ascii="仿宋" w:hAnsi="仿宋" w:eastAsia="仿宋"/>
          <w:color w:val="auto"/>
          <w:sz w:val="32"/>
          <w:szCs w:val="32"/>
          <w:u w:val="single"/>
        </w:rPr>
        <w:t xml:space="preserve"> </w:t>
      </w:r>
    </w:p>
    <w:p>
      <w:pPr>
        <w:ind w:firstLine="640" w:firstLineChars="200"/>
        <w:rPr>
          <w:rFonts w:hint="eastAsia" w:ascii="仿宋" w:hAnsi="仿宋" w:eastAsia="仿宋"/>
          <w:color w:val="auto"/>
          <w:sz w:val="32"/>
          <w:szCs w:val="28"/>
          <w:u w:val="none"/>
          <w:lang w:eastAsia="zh-CN"/>
        </w:rPr>
      </w:pPr>
      <w:r>
        <w:rPr>
          <w:rFonts w:hint="eastAsia" w:ascii="仿宋" w:hAnsi="仿宋" w:eastAsia="仿宋"/>
          <w:color w:val="auto"/>
          <w:sz w:val="32"/>
          <w:szCs w:val="32"/>
          <w:u w:val="none"/>
        </w:rPr>
        <w:t xml:space="preserve"> </w:t>
      </w:r>
      <w:r>
        <w:rPr>
          <w:rFonts w:hint="default" w:ascii="仿宋" w:hAnsi="仿宋" w:eastAsia="仿宋"/>
          <w:color w:val="auto"/>
          <w:sz w:val="32"/>
          <w:szCs w:val="32"/>
          <w:u w:val="none"/>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 xml:space="preserve">9 </w:t>
      </w:r>
      <w:r>
        <w:rPr>
          <w:rFonts w:hint="eastAsia" w:ascii="仿宋" w:hAnsi="仿宋" w:eastAsia="仿宋"/>
          <w:color w:val="auto"/>
          <w:sz w:val="32"/>
          <w:szCs w:val="32"/>
        </w:rPr>
        <w:t>甲方按月向乙方提供月度市场购电需求，经双方确认后并录入省电力交易中心交易平台。对于常规电力甲方申报月度购电量，作为其直接交易偏差电费结算依据。对于绿电交易，甲方申报的月度购电量作为月度需执行的合同电量。</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lang w:val="en-US" w:eastAsia="zh-CN"/>
        </w:rPr>
        <w:t xml:space="preserve">10 </w:t>
      </w:r>
      <w:r>
        <w:rPr>
          <w:rFonts w:hint="eastAsia" w:ascii="仿宋" w:hAnsi="仿宋" w:eastAsia="仿宋"/>
          <w:color w:val="auto"/>
          <w:sz w:val="32"/>
          <w:szCs w:val="32"/>
        </w:rPr>
        <w:t>除双方另行约定外，本合同约定甲方委托乙方参与合同期内电力市场全部类型交易。</w:t>
      </w:r>
    </w:p>
    <w:p>
      <w:pPr>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 xml:space="preserve">3.11 </w:t>
      </w:r>
      <w:r>
        <w:rPr>
          <w:rFonts w:hint="eastAsia" w:ascii="仿宋" w:hAnsi="仿宋" w:eastAsia="仿宋"/>
          <w:color w:val="auto"/>
          <w:sz w:val="32"/>
          <w:szCs w:val="32"/>
        </w:rPr>
        <w:t>乙方完成批发市场直接交易后，应及时将交易结果通知甲方。</w:t>
      </w:r>
    </w:p>
    <w:p>
      <w:pPr>
        <w:ind w:firstLine="640" w:firstLineChars="200"/>
        <w:rPr>
          <w:rFonts w:hint="eastAsia" w:ascii="Calibri" w:hAnsi="Calibri" w:eastAsia="仿宋" w:cs="Calibri"/>
          <w:color w:val="auto"/>
          <w:sz w:val="32"/>
          <w:szCs w:val="32"/>
          <w:highlight w:val="yellow"/>
          <w:u w:val="none"/>
          <w:lang w:val="en-US" w:eastAsia="zh-CN"/>
        </w:rPr>
      </w:pPr>
      <w:r>
        <w:rPr>
          <w:rFonts w:hint="eastAsia" w:ascii="仿宋" w:hAnsi="仿宋" w:eastAsia="仿宋"/>
          <w:color w:val="auto"/>
          <w:sz w:val="32"/>
          <w:szCs w:val="32"/>
        </w:rPr>
        <w:t>3.1</w:t>
      </w:r>
      <w:r>
        <w:rPr>
          <w:rFonts w:hint="eastAsia" w:ascii="仿宋" w:hAnsi="仿宋" w:eastAsia="仿宋"/>
          <w:color w:val="auto"/>
          <w:sz w:val="32"/>
          <w:szCs w:val="32"/>
          <w:lang w:val="en-US" w:eastAsia="zh-CN"/>
        </w:rPr>
        <w:t>2</w:t>
      </w:r>
      <w:r>
        <w:rPr>
          <w:rFonts w:hint="eastAsia" w:ascii="仿宋" w:hAnsi="仿宋" w:eastAsia="仿宋"/>
          <w:color w:val="auto"/>
          <w:sz w:val="32"/>
          <w:szCs w:val="32"/>
        </w:rPr>
        <w:t xml:space="preserve"> 合同有效期内，因国家或安徽省电力市场相关政策、法规发生重大调整，导致合同无法执行时，按国家或安徽省相关政策法规执行。</w:t>
      </w:r>
    </w:p>
    <w:p>
      <w:pPr>
        <w:numPr>
          <w:ilvl w:val="0"/>
          <w:numId w:val="0"/>
        </w:numPr>
        <w:spacing w:beforeLines="50"/>
        <w:jc w:val="center"/>
        <w:outlineLvl w:val="0"/>
        <w:rPr>
          <w:rFonts w:ascii="仿宋" w:hAnsi="仿宋" w:eastAsia="仿宋"/>
          <w:b/>
          <w:color w:val="auto"/>
          <w:sz w:val="32"/>
          <w:szCs w:val="32"/>
        </w:rPr>
      </w:pPr>
      <w:r>
        <w:rPr>
          <w:rFonts w:hint="eastAsia" w:ascii="仿宋" w:hAnsi="仿宋" w:eastAsia="仿宋"/>
          <w:b/>
          <w:color w:val="auto"/>
          <w:sz w:val="32"/>
          <w:szCs w:val="32"/>
        </w:rPr>
        <w:t>第四章 合同中止</w:t>
      </w:r>
    </w:p>
    <w:p>
      <w:pPr>
        <w:ind w:firstLine="640" w:firstLineChars="200"/>
        <w:jc w:val="left"/>
        <w:rPr>
          <w:rFonts w:ascii="仿宋" w:hAnsi="仿宋" w:eastAsia="仿宋"/>
          <w:color w:val="auto"/>
          <w:sz w:val="32"/>
          <w:szCs w:val="32"/>
        </w:rPr>
      </w:pPr>
      <w:r>
        <w:rPr>
          <w:rFonts w:hint="eastAsia" w:ascii="仿宋" w:hAnsi="仿宋" w:eastAsia="仿宋"/>
          <w:color w:val="auto"/>
          <w:sz w:val="32"/>
          <w:szCs w:val="32"/>
        </w:rPr>
        <w:t>4.1</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双方均不得在合同执行期内擅自中止合同。如确需中止合同，须双方协商一致并签订书面合同中止协议，并报安徽电力交易中心有限公司，抄送国网安徽省电力有限公司。双方对合同中止赔偿条款约定如下：__________________________________________________。</w:t>
      </w:r>
    </w:p>
    <w:p>
      <w:pPr>
        <w:spacing w:beforeLines="50"/>
        <w:jc w:val="center"/>
        <w:outlineLvl w:val="0"/>
        <w:rPr>
          <w:rFonts w:ascii="仿宋" w:hAnsi="仿宋" w:eastAsia="仿宋"/>
          <w:b/>
          <w:color w:val="auto"/>
          <w:sz w:val="32"/>
          <w:szCs w:val="32"/>
        </w:rPr>
      </w:pPr>
      <w:r>
        <w:rPr>
          <w:rFonts w:hint="eastAsia" w:ascii="仿宋" w:hAnsi="仿宋" w:eastAsia="仿宋"/>
          <w:b/>
          <w:color w:val="auto"/>
          <w:sz w:val="32"/>
          <w:szCs w:val="32"/>
        </w:rPr>
        <w:t>第五章 合同违约及赔偿</w:t>
      </w:r>
    </w:p>
    <w:p>
      <w:pPr>
        <w:ind w:firstLine="640" w:firstLineChars="200"/>
        <w:rPr>
          <w:rFonts w:ascii="仿宋" w:hAnsi="仿宋" w:eastAsia="仿宋"/>
          <w:color w:val="auto"/>
          <w:sz w:val="32"/>
          <w:szCs w:val="32"/>
        </w:rPr>
      </w:pPr>
      <w:r>
        <w:rPr>
          <w:rFonts w:hint="eastAsia" w:ascii="仿宋" w:hAnsi="仿宋" w:eastAsia="仿宋"/>
          <w:color w:val="auto"/>
          <w:sz w:val="32"/>
          <w:szCs w:val="32"/>
        </w:rPr>
        <w:t>5.1</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合同执行期内，如甲方发生以下行为，则构成违约：</w:t>
      </w:r>
    </w:p>
    <w:p>
      <w:pPr>
        <w:ind w:firstLine="640" w:firstLineChars="200"/>
        <w:rPr>
          <w:rFonts w:ascii="仿宋" w:hAnsi="仿宋" w:eastAsia="仿宋"/>
          <w:color w:val="auto"/>
          <w:sz w:val="32"/>
          <w:szCs w:val="32"/>
        </w:rPr>
      </w:pPr>
      <w:r>
        <w:rPr>
          <w:rFonts w:hint="eastAsia" w:ascii="仿宋" w:hAnsi="仿宋" w:eastAsia="仿宋"/>
          <w:color w:val="auto"/>
          <w:sz w:val="32"/>
          <w:szCs w:val="32"/>
        </w:rPr>
        <w:t>（1）甲方同其它售电公司签订本年度代理合同；</w:t>
      </w:r>
    </w:p>
    <w:p>
      <w:pPr>
        <w:ind w:firstLine="640" w:firstLineChars="200"/>
        <w:rPr>
          <w:rFonts w:ascii="仿宋" w:hAnsi="仿宋" w:eastAsia="仿宋"/>
          <w:color w:val="auto"/>
          <w:sz w:val="32"/>
          <w:szCs w:val="32"/>
        </w:rPr>
      </w:pPr>
      <w:r>
        <w:rPr>
          <w:rFonts w:hint="eastAsia" w:ascii="仿宋" w:hAnsi="仿宋" w:eastAsia="仿宋"/>
          <w:color w:val="auto"/>
          <w:sz w:val="32"/>
          <w:szCs w:val="32"/>
        </w:rPr>
        <w:t>（2）</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 xml:space="preserve"> 。</w:t>
      </w:r>
    </w:p>
    <w:p>
      <w:pPr>
        <w:ind w:firstLine="640" w:firstLineChars="200"/>
        <w:rPr>
          <w:rFonts w:ascii="仿宋" w:hAnsi="仿宋" w:eastAsia="仿宋"/>
          <w:color w:val="auto"/>
          <w:sz w:val="32"/>
          <w:szCs w:val="32"/>
        </w:rPr>
      </w:pPr>
      <w:r>
        <w:rPr>
          <w:rFonts w:hint="eastAsia" w:ascii="仿宋" w:hAnsi="仿宋" w:eastAsia="仿宋"/>
          <w:color w:val="auto"/>
          <w:sz w:val="32"/>
          <w:szCs w:val="32"/>
        </w:rPr>
        <w:t>违约赔偿甲乙双方协商一致，约定如下：</w:t>
      </w:r>
    </w:p>
    <w:p>
      <w:pPr>
        <w:ind w:firstLine="640" w:firstLineChars="200"/>
        <w:rPr>
          <w:rFonts w:ascii="仿宋" w:hAnsi="仿宋" w:eastAsia="仿宋"/>
          <w:color w:val="auto"/>
          <w:sz w:val="32"/>
          <w:szCs w:val="32"/>
        </w:rPr>
      </w:pPr>
      <w:r>
        <w:rPr>
          <w:rFonts w:hint="eastAsia" w:ascii="仿宋" w:hAnsi="仿宋" w:eastAsia="仿宋"/>
          <w:color w:val="auto"/>
          <w:sz w:val="32"/>
          <w:szCs w:val="32"/>
        </w:rPr>
        <w:t>（1）</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（2）</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 xml:space="preserve">（3） </w:t>
      </w:r>
      <w:r>
        <w:rPr>
          <w:rFonts w:hint="eastAsia" w:ascii="仿宋" w:hAnsi="仿宋" w:eastAsia="仿宋"/>
          <w:color w:val="auto"/>
          <w:sz w:val="32"/>
          <w:szCs w:val="32"/>
          <w:u w:val="single"/>
        </w:rPr>
        <w:t xml:space="preserve">                                   </w:t>
      </w:r>
      <w:r>
        <w:rPr>
          <w:rFonts w:hint="eastAsia" w:ascii="仿宋" w:hAnsi="仿宋" w:eastAsia="仿宋"/>
          <w:color w:val="auto"/>
          <w:sz w:val="32"/>
          <w:szCs w:val="32"/>
        </w:rPr>
        <w:t>。</w:t>
      </w:r>
    </w:p>
    <w:p>
      <w:pPr>
        <w:ind w:firstLine="640" w:firstLineChars="200"/>
        <w:rPr>
          <w:rFonts w:ascii="仿宋" w:hAnsi="仿宋" w:eastAsia="仿宋"/>
          <w:color w:val="auto"/>
          <w:sz w:val="32"/>
          <w:szCs w:val="32"/>
        </w:rPr>
      </w:pPr>
      <w:r>
        <w:rPr>
          <w:rFonts w:hint="eastAsia" w:ascii="仿宋" w:hAnsi="仿宋" w:eastAsia="仿宋"/>
          <w:color w:val="auto"/>
          <w:sz w:val="32"/>
          <w:szCs w:val="32"/>
        </w:rPr>
        <w:t>5.2</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合同执行期内，如乙方发生以下行为，则构成违约：</w:t>
      </w:r>
    </w:p>
    <w:p>
      <w:pPr>
        <w:ind w:firstLine="640" w:firstLineChars="200"/>
        <w:rPr>
          <w:rFonts w:ascii="仿宋" w:hAnsi="仿宋" w:eastAsia="仿宋"/>
          <w:color w:val="auto"/>
          <w:sz w:val="32"/>
          <w:szCs w:val="32"/>
        </w:rPr>
      </w:pPr>
      <w:r>
        <w:rPr>
          <w:rFonts w:hint="eastAsia" w:ascii="仿宋" w:hAnsi="仿宋" w:eastAsia="仿宋"/>
          <w:color w:val="auto"/>
          <w:sz w:val="32"/>
          <w:szCs w:val="32"/>
        </w:rPr>
        <w:t>（1）乙方未按照合同约定的差额电费分配方式执行；</w:t>
      </w:r>
    </w:p>
    <w:p>
      <w:pPr>
        <w:ind w:firstLine="640" w:firstLineChars="200"/>
        <w:rPr>
          <w:rFonts w:ascii="仿宋" w:hAnsi="仿宋" w:eastAsia="仿宋"/>
          <w:color w:val="auto"/>
          <w:sz w:val="32"/>
          <w:szCs w:val="32"/>
        </w:rPr>
      </w:pPr>
      <w:r>
        <w:rPr>
          <w:rFonts w:hint="eastAsia" w:ascii="仿宋" w:hAnsi="仿宋" w:eastAsia="仿宋"/>
          <w:color w:val="auto"/>
          <w:sz w:val="32"/>
          <w:szCs w:val="32"/>
        </w:rPr>
        <w:t>（2）________________________________________；</w:t>
      </w:r>
    </w:p>
    <w:p>
      <w:pPr>
        <w:ind w:firstLine="640" w:firstLineChars="200"/>
        <w:rPr>
          <w:rFonts w:ascii="仿宋" w:hAnsi="仿宋" w:eastAsia="仿宋"/>
          <w:sz w:val="32"/>
          <w:szCs w:val="32"/>
        </w:rPr>
      </w:pPr>
      <w:r>
        <w:rPr>
          <w:rFonts w:hint="eastAsia" w:ascii="仿宋" w:hAnsi="仿宋" w:eastAsia="仿宋"/>
          <w:sz w:val="32"/>
          <w:szCs w:val="32"/>
        </w:rPr>
        <w:t>（3）________________________________________。</w:t>
      </w:r>
    </w:p>
    <w:p>
      <w:pPr>
        <w:ind w:firstLine="640" w:firstLineChars="200"/>
        <w:rPr>
          <w:rFonts w:ascii="仿宋" w:hAnsi="仿宋" w:eastAsia="仿宋"/>
          <w:sz w:val="32"/>
          <w:szCs w:val="32"/>
        </w:rPr>
      </w:pPr>
      <w:r>
        <w:rPr>
          <w:rFonts w:hint="eastAsia" w:ascii="仿宋" w:hAnsi="仿宋" w:eastAsia="仿宋"/>
          <w:sz w:val="32"/>
          <w:szCs w:val="32"/>
        </w:rPr>
        <w:t>违约赔偿甲乙双方协商一致，约定如下：</w:t>
      </w:r>
    </w:p>
    <w:p>
      <w:pPr>
        <w:ind w:firstLine="640" w:firstLineChars="200"/>
        <w:rPr>
          <w:rFonts w:ascii="仿宋" w:hAnsi="仿宋" w:eastAsia="仿宋"/>
          <w:sz w:val="32"/>
          <w:szCs w:val="32"/>
        </w:rPr>
      </w:pPr>
      <w:r>
        <w:rPr>
          <w:rFonts w:hint="eastAsia" w:ascii="仿宋" w:hAnsi="仿宋" w:eastAsia="仿宋"/>
          <w:sz w:val="32"/>
          <w:szCs w:val="32"/>
        </w:rPr>
        <w:t>（1）_______________________________________；</w:t>
      </w:r>
    </w:p>
    <w:p>
      <w:pPr>
        <w:ind w:firstLine="640" w:firstLineChars="200"/>
        <w:rPr>
          <w:rFonts w:ascii="仿宋" w:hAnsi="仿宋" w:eastAsia="仿宋"/>
          <w:sz w:val="32"/>
          <w:szCs w:val="32"/>
        </w:rPr>
      </w:pPr>
      <w:r>
        <w:rPr>
          <w:rFonts w:hint="eastAsia" w:ascii="仿宋" w:hAnsi="仿宋" w:eastAsia="仿宋"/>
          <w:sz w:val="32"/>
          <w:szCs w:val="32"/>
        </w:rPr>
        <w:t>（2）_______________________________________；</w:t>
      </w:r>
    </w:p>
    <w:p>
      <w:pPr>
        <w:ind w:firstLine="640" w:firstLineChars="200"/>
        <w:rPr>
          <w:rFonts w:ascii="仿宋" w:hAnsi="仿宋" w:eastAsia="仿宋"/>
          <w:sz w:val="32"/>
          <w:szCs w:val="32"/>
        </w:rPr>
      </w:pPr>
      <w:r>
        <w:rPr>
          <w:rFonts w:hint="eastAsia" w:ascii="仿宋" w:hAnsi="仿宋" w:eastAsia="仿宋"/>
          <w:sz w:val="32"/>
          <w:szCs w:val="32"/>
        </w:rPr>
        <w:t>（3）_______________________________________。</w:t>
      </w:r>
    </w:p>
    <w:p>
      <w:pPr>
        <w:spacing w:beforeLines="50"/>
        <w:jc w:val="center"/>
        <w:outlineLvl w:val="0"/>
        <w:rPr>
          <w:rFonts w:ascii="仿宋" w:hAnsi="仿宋" w:eastAsia="仿宋"/>
          <w:b/>
          <w:sz w:val="32"/>
          <w:szCs w:val="32"/>
        </w:rPr>
      </w:pPr>
      <w:r>
        <w:rPr>
          <w:rFonts w:hint="eastAsia" w:ascii="仿宋" w:hAnsi="仿宋" w:eastAsia="仿宋"/>
          <w:b/>
          <w:sz w:val="32"/>
          <w:szCs w:val="32"/>
        </w:rPr>
        <w:t>第六章 争议解决</w:t>
      </w:r>
    </w:p>
    <w:p>
      <w:pPr>
        <w:autoSpaceDE w:val="0"/>
        <w:autoSpaceDN w:val="0"/>
        <w:adjustRightInd w:val="0"/>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 xml:space="preserve">6.1 </w:t>
      </w:r>
      <w:r>
        <w:rPr>
          <w:rFonts w:hint="eastAsia" w:ascii="仿宋" w:hAnsi="仿宋" w:eastAsia="仿宋"/>
          <w:sz w:val="32"/>
          <w:szCs w:val="32"/>
        </w:rPr>
        <w:t>本合同履约发生争议时，原则上由双方自行协商，或提请电力市场管理委员会调解。</w:t>
      </w:r>
      <w:r>
        <w:rPr>
          <w:rFonts w:hint="eastAsia" w:ascii="仿宋" w:hAnsi="仿宋" w:eastAsia="仿宋" w:cs="宋体"/>
          <w:kern w:val="0"/>
          <w:sz w:val="32"/>
          <w:szCs w:val="32"/>
        </w:rPr>
        <w:t>协商或调解不成的，可以按照以下第</w:t>
      </w:r>
      <w:r>
        <w:rPr>
          <w:rFonts w:hint="eastAsia" w:ascii="仿宋" w:hAnsi="仿宋" w:eastAsia="仿宋" w:cs="宋体"/>
          <w:kern w:val="0"/>
          <w:sz w:val="32"/>
          <w:szCs w:val="32"/>
          <w:u w:val="single"/>
        </w:rPr>
        <w:t xml:space="preserve">     </w:t>
      </w:r>
      <w:r>
        <w:rPr>
          <w:rFonts w:hint="eastAsia" w:ascii="仿宋" w:hAnsi="仿宋" w:eastAsia="仿宋" w:cs="宋体"/>
          <w:kern w:val="0"/>
          <w:sz w:val="32"/>
          <w:szCs w:val="32"/>
        </w:rPr>
        <w:t>种方式解决：</w:t>
      </w:r>
    </w:p>
    <w:p>
      <w:pPr>
        <w:autoSpaceDE w:val="0"/>
        <w:autoSpaceDN w:val="0"/>
        <w:adjustRightInd w:val="0"/>
        <w:ind w:firstLine="640" w:firstLineChars="200"/>
        <w:jc w:val="left"/>
        <w:rPr>
          <w:rFonts w:ascii="仿宋" w:hAnsi="仿宋" w:eastAsia="仿宋" w:cs="宋体"/>
          <w:kern w:val="0"/>
          <w:sz w:val="32"/>
          <w:szCs w:val="32"/>
        </w:rPr>
      </w:pPr>
      <w:r>
        <w:rPr>
          <w:rFonts w:hint="eastAsia" w:ascii="仿宋" w:hAnsi="仿宋" w:eastAsia="仿宋"/>
          <w:sz w:val="32"/>
          <w:szCs w:val="32"/>
        </w:rPr>
        <w:t>（1）</w:t>
      </w:r>
      <w:r>
        <w:rPr>
          <w:rFonts w:hint="eastAsia" w:ascii="仿宋" w:hAnsi="仿宋" w:eastAsia="仿宋" w:cs="宋体"/>
          <w:kern w:val="0"/>
          <w:sz w:val="32"/>
          <w:szCs w:val="32"/>
        </w:rPr>
        <w:t xml:space="preserve">依法向 </w:t>
      </w:r>
      <w:r>
        <w:rPr>
          <w:rFonts w:hint="eastAsia" w:ascii="仿宋" w:hAnsi="仿宋" w:eastAsia="仿宋" w:cs="宋体"/>
          <w:kern w:val="0"/>
          <w:sz w:val="32"/>
          <w:szCs w:val="32"/>
          <w:u w:val="single"/>
        </w:rPr>
        <w:t xml:space="preserve">       </w:t>
      </w:r>
      <w:r>
        <w:rPr>
          <w:rFonts w:hint="eastAsia" w:ascii="仿宋" w:hAnsi="仿宋" w:eastAsia="仿宋" w:cs="宋体"/>
          <w:kern w:val="0"/>
          <w:sz w:val="32"/>
          <w:szCs w:val="32"/>
        </w:rPr>
        <w:t>人民法院提起诉讼；</w:t>
      </w:r>
    </w:p>
    <w:p>
      <w:pPr>
        <w:autoSpaceDE w:val="0"/>
        <w:autoSpaceDN w:val="0"/>
        <w:adjustRightInd w:val="0"/>
        <w:ind w:firstLine="640" w:firstLineChars="200"/>
        <w:jc w:val="left"/>
        <w:rPr>
          <w:rFonts w:ascii="仿宋" w:hAnsi="仿宋" w:eastAsia="仿宋" w:cs="宋体"/>
          <w:kern w:val="0"/>
          <w:sz w:val="32"/>
          <w:szCs w:val="32"/>
        </w:rPr>
      </w:pPr>
      <w:r>
        <w:rPr>
          <w:rFonts w:hint="eastAsia" w:ascii="仿宋" w:hAnsi="仿宋" w:eastAsia="仿宋"/>
          <w:sz w:val="32"/>
          <w:szCs w:val="32"/>
        </w:rPr>
        <w:t>（2）</w:t>
      </w:r>
      <w:r>
        <w:rPr>
          <w:rFonts w:hint="eastAsia" w:ascii="仿宋" w:hAnsi="仿宋" w:eastAsia="仿宋" w:cs="宋体"/>
          <w:kern w:val="0"/>
          <w:sz w:val="32"/>
          <w:szCs w:val="32"/>
        </w:rPr>
        <w:t xml:space="preserve"> 提交</w:t>
      </w:r>
      <w:r>
        <w:rPr>
          <w:rFonts w:hint="eastAsia" w:ascii="仿宋" w:hAnsi="仿宋" w:eastAsia="仿宋" w:cs="宋体"/>
          <w:kern w:val="0"/>
          <w:sz w:val="32"/>
          <w:szCs w:val="32"/>
          <w:u w:val="single"/>
        </w:rPr>
        <w:t xml:space="preserve">        </w:t>
      </w:r>
      <w:r>
        <w:rPr>
          <w:rFonts w:hint="eastAsia" w:ascii="仿宋" w:hAnsi="仿宋" w:eastAsia="仿宋" w:cs="宋体"/>
          <w:kern w:val="0"/>
          <w:sz w:val="32"/>
          <w:szCs w:val="32"/>
        </w:rPr>
        <w:t>仲裁委员会仲裁。</w:t>
      </w:r>
    </w:p>
    <w:p>
      <w:pPr>
        <w:autoSpaceDE w:val="0"/>
        <w:autoSpaceDN w:val="0"/>
        <w:adjustRightInd w:val="0"/>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6.2 在争议解决之前，双方应继续履行其在本合同下的所有义务，但不影响根据上述诉讼或裁决而进行最终的调整。</w:t>
      </w:r>
    </w:p>
    <w:p>
      <w:pPr>
        <w:autoSpaceDE w:val="0"/>
        <w:autoSpaceDN w:val="0"/>
        <w:adjustRightInd w:val="0"/>
        <w:spacing w:beforeLines="50"/>
        <w:jc w:val="center"/>
        <w:rPr>
          <w:rFonts w:ascii="仿宋" w:hAnsi="仿宋" w:eastAsia="仿宋" w:cs="宋体"/>
          <w:b/>
          <w:kern w:val="0"/>
          <w:sz w:val="32"/>
          <w:szCs w:val="30"/>
        </w:rPr>
      </w:pPr>
      <w:r>
        <w:rPr>
          <w:rFonts w:hint="eastAsia" w:ascii="仿宋" w:hAnsi="仿宋" w:eastAsia="仿宋" w:cs="宋体"/>
          <w:b/>
          <w:kern w:val="0"/>
          <w:sz w:val="32"/>
          <w:szCs w:val="30"/>
        </w:rPr>
        <w:t>第七章 适用法律</w:t>
      </w:r>
    </w:p>
    <w:p>
      <w:pPr>
        <w:autoSpaceDE w:val="0"/>
        <w:autoSpaceDN w:val="0"/>
        <w:adjustRightInd w:val="0"/>
        <w:ind w:firstLine="640" w:firstLineChars="200"/>
        <w:jc w:val="left"/>
        <w:rPr>
          <w:rFonts w:ascii="仿宋" w:hAnsi="仿宋" w:eastAsia="仿宋" w:cs="宋体"/>
          <w:kern w:val="0"/>
          <w:sz w:val="32"/>
          <w:szCs w:val="30"/>
        </w:rPr>
      </w:pPr>
      <w:r>
        <w:rPr>
          <w:rFonts w:hint="eastAsia" w:ascii="仿宋" w:hAnsi="仿宋" w:eastAsia="仿宋" w:cs="宋体"/>
          <w:kern w:val="0"/>
          <w:sz w:val="32"/>
          <w:szCs w:val="30"/>
        </w:rPr>
        <w:t>本合同的订立、效力、解释、履行和争议的解决均适用中华人民共和国法律。</w:t>
      </w:r>
    </w:p>
    <w:p>
      <w:pPr>
        <w:spacing w:beforeLines="50"/>
        <w:jc w:val="center"/>
        <w:outlineLvl w:val="0"/>
        <w:rPr>
          <w:rFonts w:ascii="仿宋" w:hAnsi="仿宋" w:eastAsia="仿宋"/>
          <w:b/>
          <w:sz w:val="32"/>
          <w:szCs w:val="32"/>
        </w:rPr>
      </w:pPr>
      <w:r>
        <w:rPr>
          <w:rFonts w:hint="eastAsia" w:ascii="仿宋" w:hAnsi="仿宋" w:eastAsia="仿宋"/>
          <w:b/>
          <w:sz w:val="32"/>
          <w:szCs w:val="32"/>
        </w:rPr>
        <w:t>第八章 其他</w:t>
      </w:r>
    </w:p>
    <w:p>
      <w:pPr>
        <w:ind w:firstLine="640" w:firstLineChars="200"/>
        <w:rPr>
          <w:rFonts w:ascii="仿宋" w:hAnsi="仿宋" w:eastAsia="仿宋"/>
          <w:sz w:val="32"/>
          <w:szCs w:val="32"/>
        </w:rPr>
      </w:pPr>
      <w:r>
        <w:rPr>
          <w:rFonts w:hint="eastAsia" w:ascii="仿宋" w:hAnsi="仿宋" w:eastAsia="仿宋"/>
          <w:sz w:val="32"/>
          <w:szCs w:val="32"/>
        </w:rPr>
        <w:t>8.1 本合同为甲乙双方就本合同标的达成的参与安徽电力市场的全部协议，并作为省电力交易中心执行的唯一认定合同。</w:t>
      </w:r>
    </w:p>
    <w:p>
      <w:pPr>
        <w:ind w:firstLine="640" w:firstLineChars="200"/>
        <w:rPr>
          <w:rFonts w:ascii="仿宋" w:hAnsi="仿宋" w:eastAsia="仿宋"/>
          <w:sz w:val="32"/>
          <w:szCs w:val="32"/>
        </w:rPr>
      </w:pPr>
      <w:r>
        <w:rPr>
          <w:rFonts w:hint="eastAsia" w:ascii="仿宋" w:hAnsi="仿宋" w:eastAsia="仿宋"/>
          <w:sz w:val="32"/>
          <w:szCs w:val="32"/>
        </w:rPr>
        <w:t>8.2 双方保证对从另一方取得且无法自公开渠道获得的资料和文件予以保密。未经该资料和文件的原提供方同意，另一方不得向任何第三方泄露该资料和文件的全部或部分内容。但国家另有规定的除外。</w:t>
      </w:r>
    </w:p>
    <w:p>
      <w:pPr>
        <w:ind w:firstLine="640" w:firstLineChars="200"/>
        <w:rPr>
          <w:rFonts w:ascii="仿宋" w:hAnsi="仿宋" w:eastAsia="仿宋"/>
          <w:sz w:val="32"/>
          <w:szCs w:val="32"/>
        </w:rPr>
      </w:pPr>
      <w:r>
        <w:rPr>
          <w:rFonts w:hint="eastAsia" w:ascii="仿宋" w:hAnsi="仿宋" w:eastAsia="仿宋"/>
          <w:sz w:val="32"/>
          <w:szCs w:val="32"/>
        </w:rPr>
        <w:t>8.3 本合同的附件是本合同不可缺少的组成部分，与本合同具有同等法律效力。如果采用上述原则后分歧和矛盾仍然存在，则由双方本着诚实信用的原则按合同目的协商确定。</w:t>
      </w:r>
    </w:p>
    <w:p>
      <w:pPr>
        <w:ind w:firstLine="640" w:firstLineChars="200"/>
        <w:rPr>
          <w:rFonts w:ascii="仿宋" w:hAnsi="仿宋" w:eastAsia="仿宋"/>
          <w:sz w:val="32"/>
          <w:szCs w:val="32"/>
        </w:rPr>
      </w:pPr>
      <w:r>
        <w:rPr>
          <w:rFonts w:hint="eastAsia" w:ascii="仿宋" w:hAnsi="仿宋" w:eastAsia="仿宋"/>
          <w:sz w:val="32"/>
          <w:szCs w:val="32"/>
        </w:rPr>
        <w:t>8.4 任何与本合同有关的通知、文件和合规的帐单等均须以书面方式进行。通过挂号信、快递或当面送交的，经收件方签字确认即被认为送达；若以传真方式发出并被接收，即视为送达。所有通知、文件和合规的帐单等均在送达或接收后方能生效。一切通知、帐单、资料或文件等应发往本合同提供的地址。当该方书面通知另一方变更地址时，发往变更后的地址。</w:t>
      </w:r>
    </w:p>
    <w:p>
      <w:pPr>
        <w:ind w:firstLine="640" w:firstLineChars="200"/>
        <w:rPr>
          <w:rFonts w:hint="eastAsia" w:ascii="仿宋" w:hAnsi="仿宋" w:eastAsia="仿宋"/>
          <w:sz w:val="32"/>
          <w:szCs w:val="32"/>
        </w:rPr>
      </w:pPr>
      <w:r>
        <w:rPr>
          <w:rFonts w:hint="eastAsia" w:ascii="仿宋" w:hAnsi="仿宋" w:eastAsia="仿宋"/>
          <w:sz w:val="32"/>
          <w:szCs w:val="32"/>
        </w:rPr>
        <w:t>8.5 双方约定的其他事项:</w:t>
      </w:r>
    </w:p>
    <w:p>
      <w:pPr>
        <w:ind w:firstLine="640" w:firstLineChars="200"/>
        <w:rPr>
          <w:rFonts w:hint="eastAsia" w:ascii="仿宋" w:hAnsi="仿宋" w:eastAsia="仿宋"/>
          <w:sz w:val="32"/>
          <w:szCs w:val="32"/>
          <w:u w:val="single"/>
          <w:lang w:eastAsia="zh-CN"/>
        </w:rPr>
      </w:pP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1</w:t>
      </w:r>
      <w:r>
        <w:rPr>
          <w:rFonts w:hint="eastAsia" w:ascii="仿宋" w:hAnsi="仿宋" w:eastAsia="仿宋"/>
          <w:sz w:val="32"/>
          <w:szCs w:val="32"/>
          <w:u w:val="single"/>
          <w:lang w:eastAsia="zh-CN"/>
        </w:rPr>
        <w:t>）后续任何归属电力用户侧的政策性让利全部归</w:t>
      </w:r>
      <w:r>
        <w:rPr>
          <w:rFonts w:hint="eastAsia" w:ascii="仿宋" w:hAnsi="仿宋" w:eastAsia="仿宋"/>
          <w:sz w:val="32"/>
          <w:szCs w:val="32"/>
          <w:u w:val="single"/>
          <w:lang w:val="en-US" w:eastAsia="zh-CN"/>
        </w:rPr>
        <w:t>甲方</w:t>
      </w:r>
      <w:r>
        <w:rPr>
          <w:rFonts w:hint="eastAsia" w:ascii="仿宋" w:hAnsi="仿宋" w:eastAsia="仿宋"/>
          <w:sz w:val="32"/>
          <w:szCs w:val="32"/>
          <w:u w:val="single"/>
          <w:lang w:eastAsia="zh-CN"/>
        </w:rPr>
        <w:t>所有，包括但不限于发电侧、输配电价、政府性基金及附加让利；</w:t>
      </w:r>
    </w:p>
    <w:p>
      <w:pPr>
        <w:ind w:firstLine="640" w:firstLineChars="200"/>
        <w:rPr>
          <w:rFonts w:hint="eastAsia" w:ascii="仿宋" w:hAnsi="仿宋" w:eastAsia="仿宋"/>
          <w:sz w:val="32"/>
          <w:szCs w:val="32"/>
          <w:u w:val="single"/>
          <w:lang w:eastAsia="zh-CN"/>
        </w:rPr>
      </w:pP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2</w:t>
      </w:r>
      <w:r>
        <w:rPr>
          <w:rFonts w:hint="eastAsia" w:ascii="仿宋" w:hAnsi="仿宋" w:eastAsia="仿宋"/>
          <w:sz w:val="32"/>
          <w:szCs w:val="32"/>
          <w:u w:val="single"/>
          <w:lang w:eastAsia="zh-CN"/>
        </w:rPr>
        <w:t>）因</w:t>
      </w:r>
      <w:r>
        <w:rPr>
          <w:rFonts w:hint="eastAsia" w:ascii="仿宋" w:hAnsi="仿宋" w:eastAsia="仿宋"/>
          <w:sz w:val="32"/>
          <w:szCs w:val="32"/>
          <w:u w:val="single"/>
          <w:lang w:val="en-US" w:eastAsia="zh-CN"/>
        </w:rPr>
        <w:t>乙方</w:t>
      </w:r>
      <w:r>
        <w:rPr>
          <w:rFonts w:hint="eastAsia" w:ascii="仿宋" w:hAnsi="仿宋" w:eastAsia="仿宋"/>
          <w:sz w:val="32"/>
          <w:szCs w:val="32"/>
          <w:u w:val="single"/>
          <w:lang w:eastAsia="zh-CN"/>
        </w:rPr>
        <w:t>原因无法完成合同电量或</w:t>
      </w:r>
      <w:r>
        <w:rPr>
          <w:rFonts w:hint="eastAsia" w:ascii="仿宋" w:hAnsi="仿宋" w:eastAsia="仿宋"/>
          <w:sz w:val="32"/>
          <w:szCs w:val="32"/>
          <w:u w:val="single"/>
          <w:lang w:val="en-US" w:eastAsia="zh-CN"/>
        </w:rPr>
        <w:t>乙方</w:t>
      </w:r>
      <w:r>
        <w:rPr>
          <w:rFonts w:hint="eastAsia" w:ascii="仿宋" w:hAnsi="仿宋" w:eastAsia="仿宋"/>
          <w:sz w:val="32"/>
          <w:szCs w:val="32"/>
          <w:u w:val="single"/>
          <w:lang w:eastAsia="zh-CN"/>
        </w:rPr>
        <w:t>签约电厂因事故跳机、非计划临修、出力受限、电煤供应困难等而无法进行正常发电，</w:t>
      </w:r>
      <w:r>
        <w:rPr>
          <w:rFonts w:hint="eastAsia" w:ascii="仿宋" w:hAnsi="仿宋" w:eastAsia="仿宋"/>
          <w:sz w:val="32"/>
          <w:szCs w:val="32"/>
          <w:u w:val="single"/>
          <w:lang w:val="en-US" w:eastAsia="zh-CN"/>
        </w:rPr>
        <w:t>乙方</w:t>
      </w:r>
      <w:r>
        <w:rPr>
          <w:rFonts w:hint="eastAsia" w:ascii="仿宋" w:hAnsi="仿宋" w:eastAsia="仿宋"/>
          <w:sz w:val="32"/>
          <w:szCs w:val="32"/>
          <w:u w:val="single"/>
          <w:lang w:eastAsia="zh-CN"/>
        </w:rPr>
        <w:t>应立即通知</w:t>
      </w:r>
      <w:r>
        <w:rPr>
          <w:rFonts w:hint="eastAsia" w:ascii="仿宋" w:hAnsi="仿宋" w:eastAsia="仿宋"/>
          <w:sz w:val="32"/>
          <w:szCs w:val="32"/>
          <w:u w:val="single"/>
          <w:lang w:val="en-US" w:eastAsia="zh-CN"/>
        </w:rPr>
        <w:t>甲方</w:t>
      </w:r>
      <w:r>
        <w:rPr>
          <w:rFonts w:hint="eastAsia" w:ascii="仿宋" w:hAnsi="仿宋" w:eastAsia="仿宋"/>
          <w:sz w:val="32"/>
          <w:szCs w:val="32"/>
          <w:u w:val="single"/>
          <w:lang w:eastAsia="zh-CN"/>
        </w:rPr>
        <w:t>，并由</w:t>
      </w:r>
      <w:r>
        <w:rPr>
          <w:rFonts w:hint="eastAsia" w:ascii="仿宋" w:hAnsi="仿宋" w:eastAsia="仿宋"/>
          <w:sz w:val="32"/>
          <w:szCs w:val="32"/>
          <w:u w:val="single"/>
          <w:lang w:val="en-US" w:eastAsia="zh-CN"/>
        </w:rPr>
        <w:t>乙方</w:t>
      </w:r>
      <w:r>
        <w:rPr>
          <w:rFonts w:hint="eastAsia" w:ascii="仿宋" w:hAnsi="仿宋" w:eastAsia="仿宋"/>
          <w:sz w:val="32"/>
          <w:szCs w:val="32"/>
          <w:u w:val="single"/>
          <w:lang w:eastAsia="zh-CN"/>
        </w:rPr>
        <w:t>另行组织余缺电量供应，若由此产生电费增支，全部由</w:t>
      </w:r>
      <w:r>
        <w:rPr>
          <w:rFonts w:hint="eastAsia" w:ascii="仿宋" w:hAnsi="仿宋" w:eastAsia="仿宋"/>
          <w:sz w:val="32"/>
          <w:szCs w:val="32"/>
          <w:u w:val="single"/>
          <w:lang w:val="en-US" w:eastAsia="zh-CN"/>
        </w:rPr>
        <w:t>乙方</w:t>
      </w:r>
      <w:r>
        <w:rPr>
          <w:rFonts w:hint="eastAsia" w:ascii="仿宋" w:hAnsi="仿宋" w:eastAsia="仿宋"/>
          <w:sz w:val="32"/>
          <w:szCs w:val="32"/>
          <w:u w:val="single"/>
          <w:lang w:eastAsia="zh-CN"/>
        </w:rPr>
        <w:t>承担；</w:t>
      </w:r>
    </w:p>
    <w:p>
      <w:pPr>
        <w:ind w:firstLine="640" w:firstLineChars="200"/>
        <w:rPr>
          <w:rFonts w:hint="default" w:ascii="仿宋" w:hAnsi="仿宋" w:eastAsia="仿宋"/>
          <w:sz w:val="32"/>
          <w:szCs w:val="32"/>
          <w:u w:val="single"/>
          <w:lang w:val="en-US" w:eastAsia="zh-CN"/>
        </w:rPr>
      </w:pP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3</w:t>
      </w: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甲方电热锅炉、冰（水）蓄冷空调等不在市场化交易范围内的其他用电，应按照原国家、省发改委等主管部门公布的目录电价执行；若国家或安徽省对此类用电有额外政策，甲乙双方可根据相关政策重新协商交易电价；</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4</w:t>
      </w:r>
      <w:r>
        <w:rPr>
          <w:rFonts w:hint="eastAsia" w:ascii="仿宋" w:hAnsi="仿宋" w:eastAsia="仿宋"/>
          <w:sz w:val="32"/>
          <w:szCs w:val="32"/>
          <w:u w:val="single"/>
          <w:lang w:eastAsia="zh-CN"/>
        </w:rPr>
        <w:t>）</w:t>
      </w:r>
      <w:r>
        <w:rPr>
          <w:rFonts w:hint="eastAsia" w:ascii="仿宋" w:hAnsi="仿宋" w:eastAsia="仿宋"/>
          <w:sz w:val="32"/>
          <w:szCs w:val="32"/>
          <w:u w:val="single"/>
          <w:lang w:val="en-US" w:eastAsia="zh-CN"/>
        </w:rPr>
        <w:t>甲方不承担偏差考核；</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（5）乙方应确保甲方2024年1月电量交易前在安徽省电力交易中心完成本合同备案及电力交易平台系统绑定工作，确保甲方2024年所有电量全部由乙方代理交易，否则由此造成甲方的实际损失由乙方承担；</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（6）本合同中甲方常规电量购电需求为预估值，实际交易电量以甲方实际消耗量为准；同时按当地电力交易政策，甲方可在每月规定时间前核准调整次月的需求电量；</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7）若甲方被归类为高耗能企业且国家或安徽省对高耗能企业电价有额外政策，甲乙双方需重新协商交易电价，并经招标人同意后另行签署新的售电合同；否则，因甲方归类为高能耗企业产生的损失由乙方承担；</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（8）未经双方及电力监管机构同意，双方均不得擅自向任何第三方转让本合同电量；</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（9）乙方承诺甲方合同期内所有电量成交电价不高于电网企业代理购电价格，否则由此造成的（差价）损失由乙方承担；</w:t>
      </w:r>
    </w:p>
    <w:p>
      <w:pPr>
        <w:ind w:firstLine="640" w:firstLineChars="200"/>
        <w:rPr>
          <w:rFonts w:hint="eastAsia" w:ascii="仿宋" w:hAnsi="仿宋" w:eastAsia="仿宋"/>
          <w:sz w:val="32"/>
          <w:szCs w:val="32"/>
          <w:u w:val="single"/>
          <w:lang w:val="en-US" w:eastAsia="zh-CN"/>
        </w:rPr>
      </w:pPr>
      <w:r>
        <w:rPr>
          <w:rFonts w:hint="eastAsia" w:ascii="仿宋" w:hAnsi="仿宋" w:eastAsia="仿宋"/>
          <w:sz w:val="32"/>
          <w:szCs w:val="32"/>
          <w:u w:val="single"/>
          <w:lang w:val="en-US" w:eastAsia="zh-CN"/>
        </w:rPr>
        <w:t>（10）乙方承诺甲方有不低于90%的实际交易电量通过常规中长期交易结算，不高于10%的实际交易电量通过现货市场购(售)电结算，否则由此造成的损失由乙方承担。</w:t>
      </w:r>
    </w:p>
    <w:p>
      <w:pPr>
        <w:ind w:firstLine="640" w:firstLineChars="200"/>
        <w:rPr>
          <w:rFonts w:ascii="仿宋" w:hAnsi="仿宋" w:eastAsia="仿宋"/>
          <w:sz w:val="32"/>
          <w:szCs w:val="32"/>
        </w:rPr>
      </w:pPr>
      <w:r>
        <w:rPr>
          <w:rFonts w:hint="eastAsia" w:ascii="仿宋" w:hAnsi="仿宋" w:eastAsia="仿宋"/>
          <w:sz w:val="32"/>
          <w:szCs w:val="32"/>
        </w:rPr>
        <w:t>8.6</w:t>
      </w:r>
      <w:r>
        <w:rPr>
          <w:rFonts w:hint="eastAsia" w:ascii="仿宋" w:hAnsi="仿宋" w:eastAsia="仿宋"/>
          <w:sz w:val="32"/>
          <w:szCs w:val="32"/>
          <w:lang w:val="en-US" w:eastAsia="zh-CN"/>
        </w:rPr>
        <w:t xml:space="preserve"> </w:t>
      </w:r>
      <w:r>
        <w:rPr>
          <w:rFonts w:hint="eastAsia" w:ascii="仿宋" w:hAnsi="仿宋" w:eastAsia="仿宋"/>
          <w:sz w:val="32"/>
          <w:szCs w:val="32"/>
        </w:rPr>
        <w:t>本合同经双方法定代表人/授权代理人签字并加盖公章后生效。合同一式五份，甲乙双方各执两份，提交省电力交易中心备案一份。</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甲方：（盖章）________________________________</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法定代表人/授权代理人：___________________</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签字日期：_______年___月___日</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签字地点：_______________________________</w:t>
      </w:r>
    </w:p>
    <w:p>
      <w:pPr>
        <w:spacing w:line="800" w:lineRule="exact"/>
        <w:ind w:firstLine="640" w:firstLineChars="200"/>
        <w:rPr>
          <w:rFonts w:hint="eastAsia" w:ascii="仿宋" w:hAnsi="仿宋" w:eastAsia="仿宋"/>
          <w:sz w:val="32"/>
          <w:szCs w:val="32"/>
        </w:rPr>
      </w:pPr>
    </w:p>
    <w:p>
      <w:pPr>
        <w:spacing w:line="800" w:lineRule="exact"/>
        <w:ind w:firstLine="640" w:firstLineChars="200"/>
        <w:rPr>
          <w:rFonts w:ascii="仿宋" w:hAnsi="仿宋" w:eastAsia="仿宋"/>
          <w:sz w:val="32"/>
          <w:szCs w:val="32"/>
        </w:rPr>
      </w:pPr>
      <w:r>
        <w:rPr>
          <w:rFonts w:hint="eastAsia" w:ascii="仿宋" w:hAnsi="仿宋" w:eastAsia="仿宋"/>
          <w:sz w:val="32"/>
          <w:szCs w:val="32"/>
        </w:rPr>
        <w:t>乙方：（盖章）________________________________</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法定代表人/授权代理人：___________________</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签字日期：_______年___月___日</w:t>
      </w:r>
    </w:p>
    <w:p>
      <w:pPr>
        <w:spacing w:line="800" w:lineRule="exact"/>
        <w:ind w:firstLine="640" w:firstLineChars="200"/>
        <w:rPr>
          <w:rFonts w:ascii="仿宋" w:hAnsi="仿宋" w:eastAsia="仿宋"/>
          <w:sz w:val="32"/>
          <w:szCs w:val="32"/>
        </w:rPr>
      </w:pPr>
      <w:r>
        <w:rPr>
          <w:rFonts w:hint="eastAsia" w:ascii="仿宋" w:hAnsi="仿宋" w:eastAsia="仿宋"/>
          <w:sz w:val="32"/>
          <w:szCs w:val="32"/>
        </w:rPr>
        <w:t>签字地点：_______________________________</w:t>
      </w:r>
    </w:p>
    <w:p>
      <w:pPr>
        <w:spacing w:line="800" w:lineRule="exact"/>
        <w:ind w:firstLine="640" w:firstLineChars="200"/>
        <w:rPr>
          <w:rFonts w:ascii="仿宋" w:hAnsi="仿宋" w:eastAsia="仿宋"/>
          <w:sz w:val="32"/>
          <w:szCs w:val="32"/>
        </w:rPr>
      </w:pPr>
    </w:p>
    <w:p>
      <w:pPr>
        <w:spacing w:line="800" w:lineRule="exact"/>
        <w:ind w:firstLine="641"/>
        <w:rPr>
          <w:rFonts w:ascii="仿宋" w:hAnsi="仿宋" w:eastAsia="仿宋"/>
          <w:spacing w:val="-10"/>
          <w:sz w:val="32"/>
          <w:szCs w:val="32"/>
        </w:rPr>
      </w:pPr>
    </w:p>
    <w:p>
      <w:pPr>
        <w:spacing w:line="360" w:lineRule="auto"/>
        <w:jc w:val="left"/>
        <w:outlineLvl w:val="0"/>
        <w:rPr>
          <w:rFonts w:hint="eastAsia" w:ascii="宋体" w:hAnsi="宋体" w:eastAsia="宋体" w:cs="宋体"/>
          <w:color w:val="000000"/>
          <w:kern w:val="0"/>
          <w:sz w:val="26"/>
          <w:szCs w:val="26"/>
          <w:lang w:eastAsia="zh-TW" w:bidi="zh-TW"/>
        </w:rPr>
      </w:pPr>
    </w:p>
    <w:sectPr>
      <w:footerReference r:id="rId11"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CAFAFC-2F20-4E23-B682-E84A279570AF}"/>
  </w:font>
  <w:font w:name="Arial">
    <w:panose1 w:val="020B0604020202020204"/>
    <w:charset w:val="01"/>
    <w:family w:val="swiss"/>
    <w:pitch w:val="default"/>
    <w:sig w:usb0="E0002EFF" w:usb1="C000785B" w:usb2="00000009" w:usb3="00000000" w:csb0="400001FF" w:csb1="FFFF0000"/>
    <w:embedRegular r:id="rId2" w:fontKey="{25539168-C714-461D-865C-B54D170424D0}"/>
  </w:font>
  <w:font w:name="黑体">
    <w:panose1 w:val="02010609060101010101"/>
    <w:charset w:val="86"/>
    <w:family w:val="auto"/>
    <w:pitch w:val="default"/>
    <w:sig w:usb0="800002BF" w:usb1="38CF7CFA" w:usb2="00000016" w:usb3="00000000" w:csb0="00040001" w:csb1="00000000"/>
    <w:embedRegular r:id="rId3" w:fontKey="{BB4C3ACF-C62B-4C12-BE5D-AB27CB9580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AB3870F-818C-4C24-A03F-2DCDA77283A1}"/>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auto"/>
    <w:pitch w:val="default"/>
    <w:sig w:usb0="E4002EFF" w:usb1="C000247B" w:usb2="00000009" w:usb3="00000000" w:csb0="200001FF" w:csb1="00000000"/>
  </w:font>
  <w:font w:name="微软简标宋">
    <w:altName w:val="黑体"/>
    <w:panose1 w:val="00000000000000000000"/>
    <w:charset w:val="86"/>
    <w:family w:val="auto"/>
    <w:pitch w:val="default"/>
    <w:sig w:usb0="00000000" w:usb1="00000000" w:usb2="00000010" w:usb3="00000000" w:csb0="00040000" w:csb1="00000000"/>
    <w:embedRegular r:id="rId5" w:fontKey="{2416D51D-2E69-478A-AA57-569881609AC1}"/>
  </w:font>
  <w:font w:name="Arial Black">
    <w:panose1 w:val="020B0A04020102020204"/>
    <w:charset w:val="00"/>
    <w:family w:val="swiss"/>
    <w:pitch w:val="default"/>
    <w:sig w:usb0="A00002AF" w:usb1="400078FB" w:usb2="00000000" w:usb3="00000000" w:csb0="6000009F" w:csb1="DFD70000"/>
    <w:embedRegular r:id="rId6" w:fontKey="{D3307A74-62A7-43F5-8F13-B1F6DF3BED78}"/>
  </w:font>
  <w:font w:name="DotumChe">
    <w:altName w:val="Malgun Gothic"/>
    <w:panose1 w:val="00000000000000000000"/>
    <w:charset w:val="81"/>
    <w:family w:val="modern"/>
    <w:pitch w:val="default"/>
    <w:sig w:usb0="00000000" w:usb1="00000000" w:usb2="00000030" w:usb3="00000000" w:csb0="0008009F" w:csb1="00000000"/>
    <w:embedRegular r:id="rId7" w:fontKey="{9CFFB73B-2916-43A4-982F-2BA94BA2FBE4}"/>
  </w:font>
  <w:font w:name="@仿宋_GB2312">
    <w:panose1 w:val="02010609030101010101"/>
    <w:charset w:val="86"/>
    <w:family w:val="modern"/>
    <w:pitch w:val="default"/>
    <w:sig w:usb0="00000001" w:usb1="080E0000" w:usb2="00000000" w:usb3="00000000" w:csb0="00040000" w:csb1="00000000"/>
    <w:embedRegular r:id="rId8" w:fontKey="{32567872-65A2-481D-B63E-22055C2C9B6C}"/>
  </w:font>
  <w:font w:name="MS Mincho">
    <w:altName w:val="MS Gothic"/>
    <w:panose1 w:val="02020609040205080304"/>
    <w:charset w:val="80"/>
    <w:family w:val="roman"/>
    <w:pitch w:val="default"/>
    <w:sig w:usb0="00000000" w:usb1="00000000" w:usb2="00000010" w:usb3="00000000" w:csb0="00020000" w:csb1="00000000"/>
    <w:embedRegular r:id="rId9" w:fontKey="{ED8B72FA-7770-4A31-B4EA-BD1A3FDD4DBA}"/>
  </w:font>
  <w:font w:name="宋体-18030">
    <w:altName w:val="宋体"/>
    <w:panose1 w:val="00000000000000000000"/>
    <w:charset w:val="86"/>
    <w:family w:val="modern"/>
    <w:pitch w:val="default"/>
    <w:sig w:usb0="00000000" w:usb1="00000000" w:usb2="000A005E" w:usb3="00000000" w:csb0="00040001" w:csb1="00000000"/>
    <w:embedRegular r:id="rId10" w:fontKey="{4DAA9EEA-81DF-40CA-80D4-8E4F4014D395}"/>
  </w:font>
  <w:font w:name="Tahoma">
    <w:panose1 w:val="020B0604030504040204"/>
    <w:charset w:val="00"/>
    <w:family w:val="swiss"/>
    <w:pitch w:val="default"/>
    <w:sig w:usb0="E1002EFF" w:usb1="C000605B" w:usb2="00000029" w:usb3="00000000" w:csb0="200101FF" w:csb1="20280000"/>
    <w:embedRegular r:id="rId11" w:fontKey="{985B731D-C9A9-4C95-8D74-D73C16224010}"/>
  </w:font>
  <w:font w:name="Cambria">
    <w:panose1 w:val="02040503050406030204"/>
    <w:charset w:val="00"/>
    <w:family w:val="roman"/>
    <w:pitch w:val="default"/>
    <w:sig w:usb0="E00006FF" w:usb1="420024FF" w:usb2="02000000" w:usb3="00000000" w:csb0="2000019F" w:csb1="00000000"/>
    <w:embedRegular r:id="rId12" w:fontKey="{4418FA37-37A5-4D05-9CF3-3865A0688E38}"/>
  </w:font>
  <w:font w:name="方正小标宋_GBK">
    <w:panose1 w:val="02000000000000000000"/>
    <w:charset w:val="86"/>
    <w:family w:val="script"/>
    <w:pitch w:val="default"/>
    <w:sig w:usb0="A00002BF" w:usb1="38CF7CFA" w:usb2="00082016" w:usb3="00000000" w:csb0="00040001" w:csb1="00000000"/>
    <w:embedRegular r:id="rId13" w:fontKey="{D47C8DBB-A825-4CE9-93B8-C59F4FE79A36}"/>
  </w:font>
  <w:font w:name="仿宋">
    <w:panose1 w:val="02010609060101010101"/>
    <w:charset w:val="86"/>
    <w:family w:val="modern"/>
    <w:pitch w:val="default"/>
    <w:sig w:usb0="800002BF" w:usb1="38CF7CFA" w:usb2="00000016" w:usb3="00000000" w:csb0="00040001" w:csb1="00000000"/>
    <w:embedRegular r:id="rId14" w:fontKey="{2F62B33E-E182-413D-907E-4CDB8F6730FB}"/>
  </w:font>
  <w:font w:name="仿宋_GB2312">
    <w:panose1 w:val="02010609030101010101"/>
    <w:charset w:val="86"/>
    <w:family w:val="modern"/>
    <w:pitch w:val="default"/>
    <w:sig w:usb0="00000001" w:usb1="080E0000" w:usb2="00000000" w:usb3="00000000" w:csb0="00040000" w:csb1="00000000"/>
    <w:embedRegular r:id="rId15" w:fontKey="{6DB7315F-EC2A-4C10-976D-C19E0DD66AAF}"/>
  </w:font>
  <w:font w:name="方正仿宋_GBK">
    <w:altName w:val="微软雅黑"/>
    <w:panose1 w:val="03000509000000000000"/>
    <w:charset w:val="86"/>
    <w:family w:val="script"/>
    <w:pitch w:val="default"/>
    <w:sig w:usb0="00000000" w:usb1="00000000" w:usb2="00000000" w:usb3="00000000" w:csb0="00040000" w:csb1="00000000"/>
    <w:embedRegular r:id="rId16" w:fontKey="{90DE8463-F3EE-462D-960A-632C1817BE5A}"/>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sz w:val="24"/>
      </w:rPr>
    </w:pPr>
    <w:r>
      <w:rPr>
        <w:rFonts w:hint="eastAsia" w:ascii="宋体" w:hAnsi="宋体"/>
        <w:kern w:val="0"/>
        <w:sz w:val="24"/>
        <w:szCs w:val="21"/>
      </w:rPr>
      <w:t xml:space="preserve">第 </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w:t>
    </w:r>
    <w:r>
      <w:rPr>
        <w:rFonts w:ascii="宋体" w:hAnsi="宋体"/>
        <w:kern w:val="0"/>
        <w:sz w:val="24"/>
        <w:szCs w:val="21"/>
      </w:rPr>
      <w:fldChar w:fldCharType="end"/>
    </w:r>
    <w:r>
      <w:rPr>
        <w:rFonts w:hint="eastAsia" w:ascii="宋体" w:hAnsi="宋体"/>
        <w:kern w:val="0"/>
        <w:sz w:val="24"/>
        <w:szCs w:val="21"/>
      </w:rPr>
      <w:t xml:space="preserve"> 页 共 </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sz w:val="24"/>
      </w:rPr>
    </w:pPr>
    <w:r>
      <w:rPr>
        <w:rFonts w:hint="eastAsia" w:ascii="宋体" w:hAnsi="宋体"/>
        <w:kern w:val="0"/>
        <w:sz w:val="24"/>
        <w:szCs w:val="21"/>
      </w:rPr>
      <w:t>第</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23</w:t>
    </w:r>
    <w:r>
      <w:rPr>
        <w:rFonts w:ascii="宋体" w:hAnsi="宋体"/>
        <w:kern w:val="0"/>
        <w:sz w:val="24"/>
        <w:szCs w:val="21"/>
      </w:rPr>
      <w:fldChar w:fldCharType="end"/>
    </w:r>
    <w:r>
      <w:rPr>
        <w:rFonts w:hint="eastAsia" w:ascii="宋体" w:hAnsi="宋体"/>
        <w:kern w:val="0"/>
        <w:sz w:val="24"/>
        <w:szCs w:val="21"/>
      </w:rPr>
      <w:t>页共</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1733579257"/>
                            <w:docPartObj>
                              <w:docPartGallery w:val="autotext"/>
                            </w:docPartObj>
                          </w:sdtPr>
                          <w:sdtContent>
                            <w:p>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UO/sC0gEAAKUDAAAOAAAAAAAAAAEAIAAAAB4BAABk&#10;cnMvZTJvRG9jLnhtbFBLBQYAAAAABgAGAFkBAABiBQAAAAA=&#10;">
              <v:fill on="f" focussize="0,0"/>
              <v:stroke on="f"/>
              <v:imagedata o:title=""/>
              <o:lock v:ext="edit" aspectratio="f"/>
              <v:textbox inset="0mm,0mm,0mm,0mm" style="mso-fit-shape-to-text:t;">
                <w:txbxContent>
                  <w:sdt>
                    <w:sdtPr>
                      <w:id w:val="1733579257"/>
                      <w:docPartObj>
                        <w:docPartGallery w:val="autotext"/>
                      </w:docPartObj>
                    </w:sdtPr>
                    <w:sdtContent>
                      <w:p>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v:textbox>
            </v:shape>
          </w:pict>
        </mc:Fallback>
      </mc:AlternateContent>
    </w:r>
  </w:p>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5</w:t>
    </w:r>
    <w:r>
      <w:rPr>
        <w:sz w:val="24"/>
        <w:szCs w:val="24"/>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b/>
        <w:i/>
        <w:sz w:val="24"/>
      </w:rPr>
    </w:pPr>
    <w:r>
      <w:rPr>
        <w:rFonts w:hint="eastAsia"/>
      </w:rPr>
      <w:t xml:space="preserve">合肥文旅博览集团有限公司竞价文件-服务类（适用于有效最低价法）                     </w:t>
    </w:r>
    <w:r>
      <w:t>2023</w:t>
    </w:r>
    <w:r>
      <w:rPr>
        <w:rFonts w:hint="eastAsia"/>
      </w:rPr>
      <w:t>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right"/>
    </w:pPr>
  </w:p>
  <w:p>
    <w:pPr>
      <w:pStyle w:val="12"/>
      <w:pBdr>
        <w:bottom w:val="none" w:color="auto" w:sz="0" w:space="0"/>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zZGVlYjU5N2FjN2M4YmRhYmI3NjE1MGM2YWVkYmYifQ=="/>
  </w:docVars>
  <w:rsids>
    <w:rsidRoot w:val="2C9619FF"/>
    <w:rsid w:val="05F9236F"/>
    <w:rsid w:val="08936406"/>
    <w:rsid w:val="09047723"/>
    <w:rsid w:val="09F00E3F"/>
    <w:rsid w:val="0AFF3250"/>
    <w:rsid w:val="0CE35B53"/>
    <w:rsid w:val="0D482054"/>
    <w:rsid w:val="0D49017D"/>
    <w:rsid w:val="0DF14556"/>
    <w:rsid w:val="11A46535"/>
    <w:rsid w:val="129A2B56"/>
    <w:rsid w:val="13220D35"/>
    <w:rsid w:val="14975EDD"/>
    <w:rsid w:val="15655556"/>
    <w:rsid w:val="1CD32082"/>
    <w:rsid w:val="1CF66756"/>
    <w:rsid w:val="20646C22"/>
    <w:rsid w:val="206A67FF"/>
    <w:rsid w:val="20FA3A7C"/>
    <w:rsid w:val="219A7C30"/>
    <w:rsid w:val="219B0CD7"/>
    <w:rsid w:val="22EE3DFA"/>
    <w:rsid w:val="25145328"/>
    <w:rsid w:val="27B06F8F"/>
    <w:rsid w:val="28174180"/>
    <w:rsid w:val="28FE2577"/>
    <w:rsid w:val="29D73267"/>
    <w:rsid w:val="29EE439A"/>
    <w:rsid w:val="2A73489F"/>
    <w:rsid w:val="2ADF3F76"/>
    <w:rsid w:val="2BCC24B9"/>
    <w:rsid w:val="2C9619FF"/>
    <w:rsid w:val="2F8E1A78"/>
    <w:rsid w:val="2FE761D5"/>
    <w:rsid w:val="31F41E38"/>
    <w:rsid w:val="32D63DFA"/>
    <w:rsid w:val="32EA4A62"/>
    <w:rsid w:val="342E6545"/>
    <w:rsid w:val="353006C9"/>
    <w:rsid w:val="37D7059E"/>
    <w:rsid w:val="37DC152A"/>
    <w:rsid w:val="39DC063D"/>
    <w:rsid w:val="3B5D687E"/>
    <w:rsid w:val="3BB03AD5"/>
    <w:rsid w:val="3C196A75"/>
    <w:rsid w:val="3E2D3726"/>
    <w:rsid w:val="3F4E170B"/>
    <w:rsid w:val="40566039"/>
    <w:rsid w:val="414F1B9C"/>
    <w:rsid w:val="423E4260"/>
    <w:rsid w:val="428B1E08"/>
    <w:rsid w:val="440136DC"/>
    <w:rsid w:val="448C3A26"/>
    <w:rsid w:val="457C590B"/>
    <w:rsid w:val="467A6773"/>
    <w:rsid w:val="46DC7016"/>
    <w:rsid w:val="49D065EC"/>
    <w:rsid w:val="4B21719B"/>
    <w:rsid w:val="4BCD7EC3"/>
    <w:rsid w:val="4C653DFC"/>
    <w:rsid w:val="4D3A5043"/>
    <w:rsid w:val="514069D9"/>
    <w:rsid w:val="51D20780"/>
    <w:rsid w:val="536E3CD2"/>
    <w:rsid w:val="57353867"/>
    <w:rsid w:val="58410FF9"/>
    <w:rsid w:val="590F20C7"/>
    <w:rsid w:val="5A50540F"/>
    <w:rsid w:val="5BAA7871"/>
    <w:rsid w:val="5C294240"/>
    <w:rsid w:val="5CBB1F20"/>
    <w:rsid w:val="5E537A25"/>
    <w:rsid w:val="605771E6"/>
    <w:rsid w:val="621E3013"/>
    <w:rsid w:val="622C1248"/>
    <w:rsid w:val="652710D4"/>
    <w:rsid w:val="65BC5DFD"/>
    <w:rsid w:val="67351D1D"/>
    <w:rsid w:val="69177D44"/>
    <w:rsid w:val="6B7C2010"/>
    <w:rsid w:val="6CC56897"/>
    <w:rsid w:val="6DDF0BE2"/>
    <w:rsid w:val="707A0DD5"/>
    <w:rsid w:val="71CF38CE"/>
    <w:rsid w:val="73F07F32"/>
    <w:rsid w:val="758428B2"/>
    <w:rsid w:val="763469D5"/>
    <w:rsid w:val="772B3B04"/>
    <w:rsid w:val="78D079D6"/>
    <w:rsid w:val="78D67D2F"/>
    <w:rsid w:val="79F0693F"/>
    <w:rsid w:val="7A3765BA"/>
    <w:rsid w:val="7FF51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2"/>
    <w:basedOn w:val="1"/>
    <w:next w:val="1"/>
    <w:qFormat/>
    <w:uiPriority w:val="0"/>
    <w:pPr>
      <w:keepNext/>
      <w:keepLines/>
      <w:spacing w:before="260" w:after="260" w:line="416" w:lineRule="auto"/>
      <w:ind w:firstLine="628"/>
      <w:jc w:val="center"/>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firstLineChars="200"/>
    </w:pPr>
    <w:rPr>
      <w:rFonts w:ascii="Times New Roman" w:eastAsia="宋体"/>
      <w:sz w:val="24"/>
    </w:rPr>
  </w:style>
  <w:style w:type="paragraph" w:styleId="3">
    <w:name w:val="Body Text Indent"/>
    <w:basedOn w:val="1"/>
    <w:next w:val="4"/>
    <w:qFormat/>
    <w:uiPriority w:val="0"/>
    <w:pPr>
      <w:ind w:firstLine="645"/>
    </w:pPr>
    <w:rPr>
      <w:rFonts w:ascii="楷体_GB2312" w:hAnsi="Times New Roman" w:eastAsia="楷体_GB2312"/>
      <w:sz w:val="32"/>
      <w:szCs w:val="20"/>
    </w:rPr>
  </w:style>
  <w:style w:type="paragraph" w:styleId="4">
    <w:name w:val="envelope return"/>
    <w:basedOn w:val="1"/>
    <w:semiHidden/>
    <w:unhideWhenUsed/>
    <w:qFormat/>
    <w:uiPriority w:val="99"/>
    <w:pPr>
      <w:snapToGrid w:val="0"/>
    </w:pPr>
    <w:rPr>
      <w:rFonts w:asciiTheme="majorHAnsi" w:hAnsiTheme="majorHAnsi" w:eastAsiaTheme="majorEastAsia" w:cstheme="majorBidi"/>
    </w:rPr>
  </w:style>
  <w:style w:type="paragraph" w:styleId="7">
    <w:name w:val="Normal Indent"/>
    <w:basedOn w:val="1"/>
    <w:unhideWhenUsed/>
    <w:qFormat/>
    <w:uiPriority w:val="99"/>
    <w:pPr>
      <w:adjustRightInd w:val="0"/>
      <w:spacing w:beforeLines="0" w:afterLines="0" w:line="360" w:lineRule="atLeast"/>
      <w:ind w:firstLine="482"/>
      <w:textAlignment w:val="baseline"/>
    </w:pPr>
    <w:rPr>
      <w:rFonts w:hint="default" w:hAnsi="Times New Roman"/>
      <w:sz w:val="24"/>
      <w:szCs w:val="20"/>
    </w:rPr>
  </w:style>
  <w:style w:type="paragraph" w:styleId="8">
    <w:name w:val="annotation text"/>
    <w:basedOn w:val="1"/>
    <w:qFormat/>
    <w:uiPriority w:val="0"/>
    <w:pPr>
      <w:jc w:val="left"/>
    </w:pPr>
  </w:style>
  <w:style w:type="paragraph" w:styleId="9">
    <w:name w:val="Body Text"/>
    <w:basedOn w:val="1"/>
    <w:qFormat/>
    <w:uiPriority w:val="0"/>
    <w:rPr>
      <w:rFonts w:ascii="宋体" w:hAnsi="Arial"/>
      <w:sz w:val="28"/>
      <w:szCs w:val="20"/>
    </w:rPr>
  </w:style>
  <w:style w:type="paragraph" w:styleId="10">
    <w:name w:val="toc 3"/>
    <w:basedOn w:val="1"/>
    <w:next w:val="1"/>
    <w:qFormat/>
    <w:uiPriority w:val="39"/>
    <w:pPr>
      <w:tabs>
        <w:tab w:val="right" w:leader="dot" w:pos="9403"/>
      </w:tabs>
      <w:spacing w:line="380" w:lineRule="exact"/>
      <w:ind w:left="420"/>
      <w:jc w:val="left"/>
    </w:pPr>
    <w:rPr>
      <w:rFonts w:ascii="Times New Roman" w:hAnsi="Times New Roman"/>
      <w:i/>
      <w:iCs/>
      <w:szCs w:val="24"/>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39"/>
    <w:pPr>
      <w:tabs>
        <w:tab w:val="right" w:leader="dot" w:pos="9403"/>
      </w:tabs>
      <w:ind w:left="210"/>
      <w:jc w:val="left"/>
    </w:pPr>
    <w:rPr>
      <w:rFonts w:ascii="Times New Roman" w:hAnsi="Times New Roman"/>
      <w:smallCaps/>
      <w:sz w:val="28"/>
      <w:szCs w:val="24"/>
    </w:rPr>
  </w:style>
  <w:style w:type="character" w:styleId="17">
    <w:name w:val="page number"/>
    <w:qFormat/>
    <w:uiPriority w:val="99"/>
  </w:style>
  <w:style w:type="paragraph" w:customStyle="1" w:styleId="18">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9">
    <w:name w:val="D&amp;L"/>
    <w:basedOn w:val="12"/>
    <w:qFormat/>
    <w:uiPriority w:val="0"/>
    <w:pPr>
      <w:pBdr>
        <w:bottom w:val="thinThickSmallGap" w:color="auto" w:sz="18" w:space="1"/>
      </w:pBdr>
      <w:adjustRightInd w:val="0"/>
      <w:snapToGrid/>
      <w:spacing w:line="240" w:lineRule="atLeast"/>
      <w:textAlignment w:val="baseline"/>
    </w:pPr>
    <w:rPr>
      <w:rFonts w:ascii="Times New Roman" w:hAnsi="Times New Roman"/>
      <w:kern w:val="0"/>
      <w:sz w:val="24"/>
      <w:szCs w:val="20"/>
    </w:rPr>
  </w:style>
  <w:style w:type="paragraph" w:customStyle="1" w:styleId="20">
    <w:name w:val="_Style 3"/>
    <w:basedOn w:val="1"/>
    <w:qFormat/>
    <w:uiPriority w:val="0"/>
    <w:pPr>
      <w:ind w:firstLine="420" w:firstLineChars="200"/>
    </w:pPr>
  </w:style>
  <w:style w:type="paragraph" w:customStyle="1" w:styleId="21">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Body text|1"/>
    <w:qFormat/>
    <w:uiPriority w:val="0"/>
    <w:pPr>
      <w:widowControl w:val="0"/>
      <w:spacing w:line="425" w:lineRule="auto"/>
      <w:ind w:firstLine="400"/>
    </w:pPr>
    <w:rPr>
      <w:rFonts w:ascii="宋体" w:hAnsi="宋体" w:eastAsia="宋体" w:cs="宋体"/>
      <w:color w:val="000000"/>
      <w:sz w:val="26"/>
      <w:szCs w:val="26"/>
      <w:lang w:val="zh-TW" w:eastAsia="zh-TW" w:bidi="zh-TW"/>
    </w:rPr>
  </w:style>
  <w:style w:type="paragraph" w:customStyle="1" w:styleId="23">
    <w:name w:val="Header or footer|2"/>
    <w:qFormat/>
    <w:uiPriority w:val="0"/>
    <w:pPr>
      <w:widowControl w:val="0"/>
    </w:pPr>
    <w:rPr>
      <w:rFonts w:ascii="Times New Roman" w:hAnsi="Times New Roman" w:eastAsia="Times New Roman" w:cs="Times New Roman"/>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2023-08-14T07:19:00Z</dcterms:created>
  <dc:creator>小毛</dc:creator>
  <cp:lastModifiedBy>小毛</cp:lastModifiedBy>
  <dcterms:modified xsi:type="dcterms:W3CDTF">2023-11-21T03:20:29Z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F4B10CDA09EF41BDBCE51A2D967D7F71_13</vt:lpwstr>
  </property>
</Properties>
</file>