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ascii="宋体" w:hAnsi="宋体"/>
          <w:b/>
          <w:bCs/>
          <w:color w:val="auto"/>
          <w:sz w:val="52"/>
          <w:szCs w:val="52"/>
          <w:highlight w:val="none"/>
        </w:rPr>
      </w:pPr>
    </w:p>
    <w:p>
      <w:pPr>
        <w:tabs>
          <w:tab w:val="left" w:pos="420"/>
        </w:tabs>
        <w:spacing w:line="1700" w:lineRule="exact"/>
        <w:jc w:val="center"/>
        <w:rPr>
          <w:rFonts w:ascii="宋体" w:hAnsi="宋体"/>
          <w:b/>
          <w:color w:val="auto"/>
          <w:sz w:val="52"/>
          <w:szCs w:val="52"/>
          <w:highlight w:val="none"/>
        </w:rPr>
      </w:pPr>
      <w:r>
        <w:rPr>
          <w:rFonts w:hint="eastAsia" w:ascii="宋体" w:hAnsi="宋体"/>
          <w:b/>
          <w:bCs/>
          <w:color w:val="auto"/>
          <w:sz w:val="52"/>
          <w:szCs w:val="52"/>
          <w:highlight w:val="none"/>
        </w:rPr>
        <w:t>服务类标准</w:t>
      </w:r>
      <w:r>
        <w:rPr>
          <w:rFonts w:hint="eastAsia" w:ascii="微软简标宋"/>
          <w:b/>
          <w:bCs/>
          <w:color w:val="auto"/>
          <w:sz w:val="52"/>
          <w:highlight w:val="none"/>
        </w:rPr>
        <w:t>招标文件</w:t>
      </w:r>
    </w:p>
    <w:p>
      <w:pPr>
        <w:tabs>
          <w:tab w:val="left" w:pos="315"/>
          <w:tab w:val="left" w:pos="8820"/>
        </w:tabs>
        <w:spacing w:line="500" w:lineRule="exact"/>
        <w:jc w:val="right"/>
        <w:rPr>
          <w:rFonts w:ascii="微软简标宋"/>
          <w:bCs/>
          <w:color w:val="auto"/>
          <w:sz w:val="52"/>
          <w:highlight w:val="none"/>
        </w:rPr>
      </w:pPr>
    </w:p>
    <w:p>
      <w:pPr>
        <w:tabs>
          <w:tab w:val="left" w:pos="315"/>
          <w:tab w:val="left" w:pos="8820"/>
        </w:tabs>
        <w:spacing w:line="500" w:lineRule="exact"/>
        <w:jc w:val="right"/>
        <w:rPr>
          <w:rFonts w:ascii="微软简标宋"/>
          <w:bCs/>
          <w:color w:val="auto"/>
          <w:sz w:val="52"/>
          <w:highlight w:val="none"/>
        </w:rPr>
      </w:pPr>
    </w:p>
    <w:p>
      <w:pPr>
        <w:tabs>
          <w:tab w:val="left" w:pos="315"/>
          <w:tab w:val="left" w:pos="8820"/>
        </w:tabs>
        <w:spacing w:line="500" w:lineRule="exact"/>
        <w:jc w:val="right"/>
        <w:rPr>
          <w:rFonts w:ascii="微软简标宋"/>
          <w:bCs/>
          <w:color w:val="auto"/>
          <w:sz w:val="52"/>
          <w:highlight w:val="none"/>
        </w:rPr>
      </w:pPr>
    </w:p>
    <w:p>
      <w:pPr>
        <w:tabs>
          <w:tab w:val="left" w:pos="315"/>
          <w:tab w:val="left" w:pos="5220"/>
          <w:tab w:val="left" w:pos="8820"/>
        </w:tabs>
        <w:spacing w:line="500" w:lineRule="exact"/>
        <w:rPr>
          <w:rFonts w:ascii="微软简标宋"/>
          <w:bCs/>
          <w:color w:val="auto"/>
          <w:sz w:val="52"/>
          <w:highlight w:val="none"/>
        </w:rPr>
      </w:pPr>
      <w:r>
        <w:rPr>
          <w:rFonts w:hint="eastAsia" w:ascii="微软简标宋"/>
          <w:bCs/>
          <w:color w:val="auto"/>
          <w:sz w:val="52"/>
          <w:highlight w:val="none"/>
        </w:rPr>
        <w:tab/>
      </w:r>
      <w:r>
        <w:rPr>
          <w:rFonts w:hint="eastAsia" w:ascii="微软简标宋"/>
          <w:bCs/>
          <w:color w:val="auto"/>
          <w:sz w:val="52"/>
          <w:highlight w:val="none"/>
        </w:rPr>
        <w:tab/>
      </w:r>
      <w:r>
        <w:rPr>
          <w:rFonts w:hint="eastAsia" w:ascii="微软简标宋"/>
          <w:bCs/>
          <w:color w:val="auto"/>
          <w:sz w:val="52"/>
          <w:highlight w:val="none"/>
        </w:rPr>
        <w:tab/>
      </w:r>
    </w:p>
    <w:p>
      <w:pPr>
        <w:spacing w:line="360" w:lineRule="auto"/>
        <w:jc w:val="left"/>
        <w:rPr>
          <w:rFonts w:ascii="宋体" w:hAnsi="宋体"/>
          <w:color w:val="auto"/>
          <w:szCs w:val="21"/>
          <w:highlight w:val="none"/>
        </w:rPr>
      </w:pPr>
    </w:p>
    <w:p>
      <w:pPr>
        <w:widowControl/>
        <w:jc w:val="center"/>
        <w:rPr>
          <w:color w:val="auto"/>
          <w:highlight w:val="none"/>
        </w:rPr>
      </w:pPr>
      <w:r>
        <w:rPr>
          <w:color w:val="auto"/>
          <w:highlight w:val="none"/>
        </w:rPr>
        <w:drawing>
          <wp:inline distT="0" distB="0" distL="0" distR="0">
            <wp:extent cx="1381125" cy="13335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81125" cy="1333500"/>
                    </a:xfrm>
                    <a:prstGeom prst="rect">
                      <a:avLst/>
                    </a:prstGeom>
                    <a:noFill/>
                    <a:ln>
                      <a:noFill/>
                    </a:ln>
                  </pic:spPr>
                </pic:pic>
              </a:graphicData>
            </a:graphic>
          </wp:inline>
        </w:drawing>
      </w:r>
    </w:p>
    <w:p>
      <w:pPr>
        <w:widowControl/>
        <w:jc w:val="center"/>
        <w:rPr>
          <w:color w:val="auto"/>
          <w:highlight w:val="none"/>
        </w:rPr>
      </w:pPr>
    </w:p>
    <w:p>
      <w:pPr>
        <w:tabs>
          <w:tab w:val="left" w:pos="2410"/>
        </w:tabs>
        <w:autoSpaceDE w:val="0"/>
        <w:autoSpaceDN w:val="0"/>
        <w:adjustRightInd w:val="0"/>
        <w:snapToGrid w:val="0"/>
        <w:spacing w:line="360" w:lineRule="auto"/>
        <w:rPr>
          <w:rFonts w:ascii="宋体" w:hAnsi="DotumChe" w:cs="宋体"/>
          <w:b/>
          <w:color w:val="auto"/>
          <w:spacing w:val="20"/>
          <w:kern w:val="0"/>
          <w:sz w:val="36"/>
          <w:szCs w:val="36"/>
          <w:highlight w:val="none"/>
        </w:rPr>
      </w:pPr>
    </w:p>
    <w:p>
      <w:pPr>
        <w:pStyle w:val="68"/>
        <w:rPr>
          <w:color w:val="auto"/>
          <w:highlight w:val="none"/>
        </w:rPr>
      </w:pPr>
    </w:p>
    <w:p>
      <w:pPr>
        <w:spacing w:line="560" w:lineRule="exact"/>
        <w:ind w:left="630" w:leftChars="300"/>
        <w:jc w:val="left"/>
        <w:rPr>
          <w:rFonts w:hint="eastAsia" w:ascii="宋体" w:hAnsi="DotumChe" w:eastAsia="宋体" w:cs="宋体"/>
          <w:b/>
          <w:color w:val="auto"/>
          <w:spacing w:val="20"/>
          <w:kern w:val="0"/>
          <w:sz w:val="32"/>
          <w:szCs w:val="32"/>
          <w:highlight w:val="none"/>
          <w:lang w:eastAsia="zh-CN"/>
        </w:rPr>
      </w:pPr>
      <w:r>
        <w:rPr>
          <w:rFonts w:hint="eastAsia" w:ascii="宋体" w:hAnsi="DotumChe" w:cs="宋体"/>
          <w:b/>
          <w:color w:val="auto"/>
          <w:spacing w:val="20"/>
          <w:kern w:val="0"/>
          <w:sz w:val="32"/>
          <w:szCs w:val="32"/>
          <w:highlight w:val="none"/>
        </w:rPr>
        <w:t>项目名称：</w:t>
      </w:r>
      <w:r>
        <w:rPr>
          <w:rFonts w:hint="eastAsia" w:ascii="宋体" w:hAnsi="DotumChe" w:cs="宋体"/>
          <w:b/>
          <w:color w:val="auto"/>
          <w:spacing w:val="20"/>
          <w:kern w:val="0"/>
          <w:sz w:val="32"/>
          <w:szCs w:val="32"/>
          <w:highlight w:val="none"/>
          <w:lang w:eastAsia="zh-CN"/>
        </w:rPr>
        <w:t>合肥泓瑞金陵大酒店烤鸭食材供应及现场制作服务</w:t>
      </w:r>
    </w:p>
    <w:p>
      <w:pPr>
        <w:spacing w:line="560" w:lineRule="exact"/>
        <w:ind w:left="630" w:leftChars="300"/>
        <w:jc w:val="left"/>
        <w:rPr>
          <w:rFonts w:hint="eastAsia" w:ascii="宋体" w:hAnsi="DotumChe" w:cs="宋体"/>
          <w:b/>
          <w:color w:val="auto"/>
          <w:spacing w:val="20"/>
          <w:kern w:val="0"/>
          <w:sz w:val="32"/>
          <w:szCs w:val="32"/>
          <w:highlight w:val="none"/>
          <w:lang w:eastAsia="zh-CN"/>
        </w:rPr>
      </w:pPr>
      <w:r>
        <w:rPr>
          <w:rFonts w:hint="eastAsia" w:ascii="宋体" w:hAnsi="DotumChe" w:cs="宋体"/>
          <w:b/>
          <w:color w:val="auto"/>
          <w:spacing w:val="20"/>
          <w:kern w:val="0"/>
          <w:sz w:val="32"/>
          <w:szCs w:val="32"/>
          <w:highlight w:val="none"/>
          <w:lang w:eastAsia="zh-CN"/>
        </w:rPr>
        <w:t>项目编号：2023WLBLZB00080号</w:t>
      </w:r>
    </w:p>
    <w:p>
      <w:pPr>
        <w:spacing w:line="560" w:lineRule="exact"/>
        <w:ind w:left="630" w:leftChars="300"/>
        <w:jc w:val="left"/>
        <w:rPr>
          <w:rFonts w:ascii="宋体" w:hAnsi="DotumChe" w:cs="宋体"/>
          <w:b/>
          <w:color w:val="auto"/>
          <w:spacing w:val="20"/>
          <w:kern w:val="0"/>
          <w:sz w:val="32"/>
          <w:szCs w:val="32"/>
          <w:highlight w:val="none"/>
        </w:rPr>
      </w:pPr>
      <w:r>
        <w:rPr>
          <w:rFonts w:hint="eastAsia" w:ascii="宋体" w:hAnsi="DotumChe" w:cs="宋体"/>
          <w:b/>
          <w:color w:val="auto"/>
          <w:spacing w:val="20"/>
          <w:kern w:val="0"/>
          <w:sz w:val="32"/>
          <w:szCs w:val="32"/>
          <w:highlight w:val="none"/>
        </w:rPr>
        <w:t>招 标 人：合肥文旅博览集团有限公司</w:t>
      </w:r>
    </w:p>
    <w:p>
      <w:pPr>
        <w:spacing w:line="560" w:lineRule="exact"/>
        <w:ind w:left="630" w:leftChars="300"/>
        <w:jc w:val="left"/>
        <w:rPr>
          <w:rFonts w:ascii="宋体" w:hAnsi="DotumChe" w:cs="宋体"/>
          <w:b/>
          <w:color w:val="auto"/>
          <w:spacing w:val="20"/>
          <w:kern w:val="0"/>
          <w:sz w:val="32"/>
          <w:szCs w:val="32"/>
          <w:highlight w:val="none"/>
        </w:rPr>
      </w:pPr>
      <w:r>
        <w:rPr>
          <w:rFonts w:hint="eastAsia" w:ascii="宋体" w:hAnsi="DotumChe" w:cs="宋体"/>
          <w:b/>
          <w:color w:val="auto"/>
          <w:spacing w:val="20"/>
          <w:kern w:val="0"/>
          <w:sz w:val="32"/>
          <w:szCs w:val="32"/>
          <w:highlight w:val="none"/>
        </w:rPr>
        <w:t>招标时间：2023年9月</w:t>
      </w:r>
    </w:p>
    <w:p>
      <w:pPr>
        <w:spacing w:line="500" w:lineRule="exact"/>
        <w:jc w:val="center"/>
        <w:rPr>
          <w:rFonts w:ascii="黑体" w:hAnsi="宋体" w:eastAsia="黑体"/>
          <w:b/>
          <w:color w:val="auto"/>
          <w:sz w:val="32"/>
          <w:highlight w:val="none"/>
        </w:rPr>
      </w:pPr>
    </w:p>
    <w:p>
      <w:pPr>
        <w:pStyle w:val="2"/>
      </w:pPr>
    </w:p>
    <w:p>
      <w:pPr>
        <w:spacing w:line="500" w:lineRule="exact"/>
        <w:jc w:val="center"/>
        <w:rPr>
          <w:rFonts w:ascii="黑体" w:hAnsi="宋体" w:eastAsia="黑体"/>
          <w:b/>
          <w:color w:val="auto"/>
          <w:sz w:val="32"/>
          <w:highlight w:val="none"/>
        </w:rPr>
      </w:pPr>
    </w:p>
    <w:p>
      <w:pPr>
        <w:spacing w:line="500" w:lineRule="exact"/>
        <w:jc w:val="center"/>
        <w:rPr>
          <w:rFonts w:ascii="黑体" w:hAnsi="宋体" w:eastAsia="黑体"/>
          <w:b/>
          <w:color w:val="auto"/>
          <w:sz w:val="32"/>
          <w:highlight w:val="none"/>
        </w:rPr>
      </w:pPr>
      <w:r>
        <w:rPr>
          <w:rFonts w:hint="eastAsia" w:ascii="黑体" w:hAnsi="宋体" w:eastAsia="黑体"/>
          <w:b/>
          <w:color w:val="auto"/>
          <w:sz w:val="32"/>
          <w:highlight w:val="none"/>
        </w:rPr>
        <w:t>目    录</w:t>
      </w:r>
    </w:p>
    <w:p>
      <w:pPr>
        <w:spacing w:line="500" w:lineRule="exact"/>
        <w:jc w:val="center"/>
        <w:rPr>
          <w:rFonts w:ascii="黑体" w:hAnsi="宋体" w:eastAsia="黑体"/>
          <w:b/>
          <w:color w:val="auto"/>
          <w:sz w:val="32"/>
          <w:highlight w:val="none"/>
        </w:rPr>
      </w:pPr>
    </w:p>
    <w:p>
      <w:pPr>
        <w:pStyle w:val="43"/>
        <w:tabs>
          <w:tab w:val="right" w:leader="dot" w:pos="8306"/>
          <w:tab w:val="clear" w:pos="9403"/>
        </w:tabs>
        <w:rPr>
          <w:rFonts w:hint="eastAsia" w:ascii="宋体" w:hAnsi="宋体" w:eastAsia="宋体" w:cs="宋体"/>
          <w:i w:val="0"/>
          <w:iCs w:val="0"/>
          <w:sz w:val="24"/>
          <w:szCs w:val="24"/>
        </w:rPr>
      </w:pPr>
      <w:bookmarkStart w:id="0" w:name="_Hlt519045295"/>
      <w:bookmarkEnd w:id="0"/>
      <w:bookmarkStart w:id="1" w:name="_Hlt526418134"/>
      <w:bookmarkEnd w:id="1"/>
      <w:bookmarkStart w:id="2" w:name="_Hlt533241375"/>
      <w:bookmarkEnd w:id="2"/>
      <w:r>
        <w:rPr>
          <w:rFonts w:hint="eastAsia" w:ascii="宋体" w:hAnsi="宋体" w:eastAsia="宋体" w:cs="宋体"/>
          <w:i w:val="0"/>
          <w:iCs w:val="0"/>
          <w:caps/>
          <w:color w:val="auto"/>
          <w:sz w:val="24"/>
          <w:szCs w:val="24"/>
          <w:highlight w:val="none"/>
        </w:rPr>
        <w:fldChar w:fldCharType="begin"/>
      </w:r>
      <w:r>
        <w:rPr>
          <w:rFonts w:hint="eastAsia" w:ascii="宋体" w:hAnsi="宋体" w:eastAsia="宋体" w:cs="宋体"/>
          <w:i w:val="0"/>
          <w:iCs w:val="0"/>
          <w:caps/>
          <w:color w:val="auto"/>
          <w:sz w:val="24"/>
          <w:szCs w:val="24"/>
          <w:highlight w:val="none"/>
        </w:rPr>
        <w:instrText xml:space="preserve"> TOC \o "1-3" \h \z </w:instrText>
      </w:r>
      <w:r>
        <w:rPr>
          <w:rFonts w:hint="eastAsia" w:ascii="宋体" w:hAnsi="宋体" w:eastAsia="宋体" w:cs="宋体"/>
          <w:i w:val="0"/>
          <w:iCs w:val="0"/>
          <w:caps/>
          <w:color w:val="auto"/>
          <w:sz w:val="24"/>
          <w:szCs w:val="24"/>
          <w:highlight w:val="none"/>
        </w:rPr>
        <w:fldChar w:fldCharType="separate"/>
      </w:r>
      <w:r>
        <w:rPr>
          <w:rFonts w:hint="eastAsia" w:ascii="宋体" w:hAnsi="宋体" w:eastAsia="宋体" w:cs="宋体"/>
          <w:i w:val="0"/>
          <w:iCs w:val="0"/>
          <w:caps/>
          <w:color w:val="auto"/>
          <w:sz w:val="24"/>
          <w:szCs w:val="24"/>
          <w:highlight w:val="none"/>
        </w:rPr>
        <w:fldChar w:fldCharType="begin"/>
      </w:r>
      <w:r>
        <w:rPr>
          <w:rFonts w:hint="eastAsia" w:ascii="宋体" w:hAnsi="宋体" w:eastAsia="宋体" w:cs="宋体"/>
          <w:i w:val="0"/>
          <w:iCs w:val="0"/>
          <w:caps/>
          <w:sz w:val="24"/>
          <w:szCs w:val="24"/>
          <w:highlight w:val="none"/>
        </w:rPr>
        <w:instrText xml:space="preserve"> HYPERLINK \l _Toc10764 </w:instrText>
      </w:r>
      <w:r>
        <w:rPr>
          <w:rFonts w:hint="eastAsia" w:ascii="宋体" w:hAnsi="宋体" w:eastAsia="宋体" w:cs="宋体"/>
          <w:i w:val="0"/>
          <w:iCs w:val="0"/>
          <w:caps/>
          <w:sz w:val="24"/>
          <w:szCs w:val="24"/>
          <w:highlight w:val="none"/>
        </w:rPr>
        <w:fldChar w:fldCharType="separate"/>
      </w:r>
      <w:r>
        <w:rPr>
          <w:rFonts w:hint="eastAsia" w:ascii="宋体" w:hAnsi="宋体" w:eastAsia="宋体" w:cs="宋体"/>
          <w:i w:val="0"/>
          <w:iCs w:val="0"/>
          <w:sz w:val="24"/>
          <w:szCs w:val="24"/>
          <w:highlight w:val="none"/>
        </w:rPr>
        <w:t>第一章 投标邀请（招标公告）</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_Toc10764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w:t>
      </w:r>
      <w:r>
        <w:rPr>
          <w:rFonts w:hint="eastAsia" w:ascii="宋体" w:hAnsi="宋体" w:eastAsia="宋体" w:cs="宋体"/>
          <w:i w:val="0"/>
          <w:iCs w:val="0"/>
          <w:sz w:val="24"/>
          <w:szCs w:val="24"/>
        </w:rPr>
        <w:fldChar w:fldCharType="end"/>
      </w:r>
      <w:r>
        <w:rPr>
          <w:rFonts w:hint="eastAsia" w:ascii="宋体" w:hAnsi="宋体" w:eastAsia="宋体" w:cs="宋体"/>
          <w:i w:val="0"/>
          <w:iCs w:val="0"/>
          <w:caps/>
          <w:color w:val="auto"/>
          <w:sz w:val="24"/>
          <w:szCs w:val="24"/>
          <w:highlight w:val="none"/>
        </w:rPr>
        <w:fldChar w:fldCharType="end"/>
      </w:r>
    </w:p>
    <w:p>
      <w:pPr>
        <w:pStyle w:val="43"/>
        <w:tabs>
          <w:tab w:val="right" w:leader="dot" w:pos="8306"/>
          <w:tab w:val="clear" w:pos="9403"/>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_Toc4054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第二章 投标人须知前附表</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_Toc4054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5</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43"/>
        <w:tabs>
          <w:tab w:val="right" w:leader="dot" w:pos="8306"/>
          <w:tab w:val="clear" w:pos="9403"/>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_Toc12260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第三章 投标人须知</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_Toc12260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7</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6"/>
        <w:tabs>
          <w:tab w:val="right" w:leader="dot" w:pos="8306"/>
          <w:tab w:val="clear" w:pos="9403"/>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_Toc23657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一．投标文件的编制</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_Toc23657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7</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6"/>
        <w:tabs>
          <w:tab w:val="right" w:leader="dot" w:pos="8306"/>
          <w:tab w:val="clear" w:pos="9403"/>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_Toc28160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三．投标文件的递交</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_Toc28160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8</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6"/>
        <w:tabs>
          <w:tab w:val="right" w:leader="dot" w:pos="8306"/>
          <w:tab w:val="clear" w:pos="9403"/>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_Toc31798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四．开标、评标及定标</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_Toc31798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9</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6"/>
        <w:tabs>
          <w:tab w:val="right" w:leader="dot" w:pos="8306"/>
          <w:tab w:val="clear" w:pos="9403"/>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_Toc12119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五. 投标信息发布</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_Toc12119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11</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6"/>
        <w:tabs>
          <w:tab w:val="right" w:leader="dot" w:pos="8306"/>
          <w:tab w:val="clear" w:pos="9403"/>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_Toc18589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六．投标文件的澄清</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_Toc18589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12</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6"/>
        <w:tabs>
          <w:tab w:val="right" w:leader="dot" w:pos="8306"/>
          <w:tab w:val="clear" w:pos="9403"/>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_Toc16639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七.中标通知书</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_Toc16639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12</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6"/>
        <w:tabs>
          <w:tab w:val="right" w:leader="dot" w:pos="8306"/>
          <w:tab w:val="clear" w:pos="9403"/>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_Toc13995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八.异议处理</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_Toc13995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12</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6"/>
        <w:tabs>
          <w:tab w:val="right" w:leader="dot" w:pos="8306"/>
          <w:tab w:val="clear" w:pos="9403"/>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_Toc30427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九．签订合同</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_Toc30427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13</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43"/>
        <w:tabs>
          <w:tab w:val="right" w:leader="dot" w:pos="8306"/>
          <w:tab w:val="clear" w:pos="9403"/>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_Toc22941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第四章招标需求</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_Toc22941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14</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43"/>
        <w:tabs>
          <w:tab w:val="right" w:leader="dot" w:pos="8306"/>
          <w:tab w:val="clear" w:pos="9403"/>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_Toc29332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第五章 评标办法</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_Toc29332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17</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43"/>
        <w:tabs>
          <w:tab w:val="right" w:leader="dot" w:pos="8306"/>
          <w:tab w:val="clear" w:pos="9403"/>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_Toc8809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第六章 合同</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_Toc8809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23</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43"/>
        <w:tabs>
          <w:tab w:val="right" w:leader="dot" w:pos="8306"/>
          <w:tab w:val="clear" w:pos="9403"/>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_Toc10093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第七章 投标文件格式</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_Toc10093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29</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6"/>
        <w:tabs>
          <w:tab w:val="right" w:leader="dot" w:pos="8306"/>
          <w:tab w:val="clear" w:pos="9403"/>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_Toc3271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rPr>
        <w:t>一．投标函</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_Toc3271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32</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6"/>
        <w:tabs>
          <w:tab w:val="right" w:leader="dot" w:pos="8306"/>
          <w:tab w:val="clear" w:pos="9403"/>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_Toc10681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rPr>
        <w:t>二．投标人情况综合简介</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_Toc10681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34</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6"/>
        <w:tabs>
          <w:tab w:val="right" w:leader="dot" w:pos="8306"/>
          <w:tab w:val="clear" w:pos="9403"/>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_Toc11600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rPr>
        <w:t>三．开标一览表</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_Toc11600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34</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6"/>
        <w:tabs>
          <w:tab w:val="right" w:leader="dot" w:pos="8306"/>
          <w:tab w:val="clear" w:pos="9403"/>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_Toc3833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rPr>
        <w:t>四．报价表</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_Toc3833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35</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6"/>
        <w:tabs>
          <w:tab w:val="right" w:leader="dot" w:pos="8306"/>
          <w:tab w:val="clear" w:pos="9403"/>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_Toc29089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val="en-US" w:eastAsia="zh-CN"/>
        </w:rPr>
        <w:t>五</w:t>
      </w:r>
      <w:r>
        <w:rPr>
          <w:rFonts w:hint="eastAsia" w:ascii="宋体" w:hAnsi="宋体" w:eastAsia="宋体" w:cs="宋体"/>
          <w:i w:val="0"/>
          <w:iCs w:val="0"/>
          <w:sz w:val="24"/>
          <w:szCs w:val="24"/>
        </w:rPr>
        <w:t>．投标授权书</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_Toc29089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35</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6"/>
        <w:tabs>
          <w:tab w:val="right" w:leader="dot" w:pos="8306"/>
          <w:tab w:val="clear" w:pos="9403"/>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_Toc3053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val="en-US" w:eastAsia="zh-CN"/>
        </w:rPr>
        <w:t>六</w:t>
      </w:r>
      <w:r>
        <w:rPr>
          <w:rFonts w:hint="eastAsia" w:ascii="宋体" w:hAnsi="宋体" w:eastAsia="宋体" w:cs="宋体"/>
          <w:i w:val="0"/>
          <w:iCs w:val="0"/>
          <w:sz w:val="24"/>
          <w:szCs w:val="24"/>
        </w:rPr>
        <w:t>．投标人信用承诺</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_Toc3053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36</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6"/>
        <w:tabs>
          <w:tab w:val="right" w:leader="dot" w:pos="8306"/>
          <w:tab w:val="clear" w:pos="9403"/>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_Toc10931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val="en-US" w:eastAsia="zh-CN"/>
        </w:rPr>
        <w:t>七</w:t>
      </w:r>
      <w:r>
        <w:rPr>
          <w:rFonts w:hint="eastAsia" w:ascii="宋体" w:hAnsi="宋体" w:eastAsia="宋体" w:cs="宋体"/>
          <w:i w:val="0"/>
          <w:iCs w:val="0"/>
          <w:sz w:val="24"/>
          <w:szCs w:val="24"/>
        </w:rPr>
        <w:t>. 投标业绩</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_Toc10931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37</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6"/>
        <w:tabs>
          <w:tab w:val="right" w:leader="dot" w:pos="8306"/>
          <w:tab w:val="clear" w:pos="9403"/>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_Toc10262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val="en-US" w:eastAsia="zh-CN"/>
        </w:rPr>
        <w:t>八</w:t>
      </w:r>
      <w:r>
        <w:rPr>
          <w:rFonts w:hint="eastAsia" w:ascii="宋体" w:hAnsi="宋体" w:eastAsia="宋体" w:cs="宋体"/>
          <w:i w:val="0"/>
          <w:iCs w:val="0"/>
          <w:sz w:val="24"/>
          <w:szCs w:val="24"/>
        </w:rPr>
        <w:t>．有关证明文件</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_Toc10262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37</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6"/>
        <w:tabs>
          <w:tab w:val="right" w:leader="dot" w:pos="8306"/>
          <w:tab w:val="clear" w:pos="9403"/>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_Toc31421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val="en-US" w:eastAsia="zh-CN"/>
        </w:rPr>
        <w:t>九</w:t>
      </w:r>
      <w:r>
        <w:rPr>
          <w:rFonts w:hint="eastAsia" w:ascii="宋体" w:hAnsi="宋体" w:eastAsia="宋体" w:cs="宋体"/>
          <w:i w:val="0"/>
          <w:iCs w:val="0"/>
          <w:sz w:val="24"/>
          <w:szCs w:val="24"/>
        </w:rPr>
        <w:t>．生产厂商授权书</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_Toc31421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38</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6"/>
        <w:tabs>
          <w:tab w:val="right" w:leader="dot" w:pos="8306"/>
          <w:tab w:val="clear" w:pos="9403"/>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_Toc23174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rPr>
        <w:t>十．相关授权或承诺书</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_Toc23174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38</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6"/>
        <w:tabs>
          <w:tab w:val="right" w:leader="dot" w:pos="8306"/>
          <w:tab w:val="clear" w:pos="9403"/>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_Toc19293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rPr>
        <w:t>十</w:t>
      </w:r>
      <w:r>
        <w:rPr>
          <w:rFonts w:hint="eastAsia" w:ascii="宋体" w:hAnsi="宋体" w:eastAsia="宋体" w:cs="宋体"/>
          <w:i w:val="0"/>
          <w:iCs w:val="0"/>
          <w:sz w:val="24"/>
          <w:szCs w:val="24"/>
          <w:lang w:val="en-US" w:eastAsia="zh-CN"/>
        </w:rPr>
        <w:t>一</w:t>
      </w:r>
      <w:r>
        <w:rPr>
          <w:rFonts w:hint="eastAsia" w:ascii="宋体" w:hAnsi="宋体" w:eastAsia="宋体" w:cs="宋体"/>
          <w:i w:val="0"/>
          <w:iCs w:val="0"/>
          <w:sz w:val="24"/>
          <w:szCs w:val="24"/>
        </w:rPr>
        <w:t>．检测报告</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_Toc19293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39</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6"/>
        <w:tabs>
          <w:tab w:val="right" w:leader="dot" w:pos="8306"/>
          <w:tab w:val="clear" w:pos="9403"/>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_Toc16880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rPr>
        <w:t>十</w:t>
      </w:r>
      <w:r>
        <w:rPr>
          <w:rFonts w:hint="eastAsia" w:ascii="宋体" w:hAnsi="宋体" w:eastAsia="宋体" w:cs="宋体"/>
          <w:i w:val="0"/>
          <w:iCs w:val="0"/>
          <w:sz w:val="24"/>
          <w:szCs w:val="24"/>
          <w:lang w:val="en-US" w:eastAsia="zh-CN"/>
        </w:rPr>
        <w:t>二</w:t>
      </w:r>
      <w:r>
        <w:rPr>
          <w:rFonts w:hint="eastAsia" w:ascii="宋体" w:hAnsi="宋体" w:eastAsia="宋体" w:cs="宋体"/>
          <w:i w:val="0"/>
          <w:iCs w:val="0"/>
          <w:sz w:val="24"/>
          <w:szCs w:val="24"/>
        </w:rPr>
        <w:t>．售后服务体系与维保方案</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_Toc16880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39</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6"/>
        <w:tabs>
          <w:tab w:val="right" w:leader="dot" w:pos="8306"/>
          <w:tab w:val="clear" w:pos="9403"/>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_Toc21984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rPr>
        <w:t>十</w:t>
      </w:r>
      <w:r>
        <w:rPr>
          <w:rFonts w:hint="eastAsia" w:ascii="宋体" w:hAnsi="宋体" w:eastAsia="宋体" w:cs="宋体"/>
          <w:i w:val="0"/>
          <w:iCs w:val="0"/>
          <w:sz w:val="24"/>
          <w:szCs w:val="24"/>
          <w:lang w:val="en-US" w:eastAsia="zh-CN"/>
        </w:rPr>
        <w:t>三</w:t>
      </w:r>
      <w:r>
        <w:rPr>
          <w:rFonts w:hint="eastAsia" w:ascii="宋体" w:hAnsi="宋体" w:eastAsia="宋体" w:cs="宋体"/>
          <w:i w:val="0"/>
          <w:iCs w:val="0"/>
          <w:sz w:val="24"/>
          <w:szCs w:val="24"/>
        </w:rPr>
        <w:t>．所投货物的技术资料或样本等</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_Toc21984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39</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6"/>
        <w:tabs>
          <w:tab w:val="right" w:leader="dot" w:pos="8306"/>
          <w:tab w:val="clear" w:pos="9403"/>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_Toc31305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rPr>
        <w:t>十</w:t>
      </w:r>
      <w:r>
        <w:rPr>
          <w:rFonts w:hint="eastAsia" w:ascii="宋体" w:hAnsi="宋体" w:eastAsia="宋体" w:cs="宋体"/>
          <w:i w:val="0"/>
          <w:iCs w:val="0"/>
          <w:sz w:val="24"/>
          <w:szCs w:val="24"/>
          <w:lang w:val="en-US" w:eastAsia="zh-CN"/>
        </w:rPr>
        <w:t>四</w:t>
      </w:r>
      <w:r>
        <w:rPr>
          <w:rFonts w:hint="eastAsia" w:ascii="宋体" w:hAnsi="宋体" w:eastAsia="宋体" w:cs="宋体"/>
          <w:i w:val="0"/>
          <w:iCs w:val="0"/>
          <w:sz w:val="24"/>
          <w:szCs w:val="24"/>
        </w:rPr>
        <w:t>．投标人认为需提供的其他资料</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_Toc31305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39</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6"/>
        <w:tabs>
          <w:tab w:val="right" w:leader="dot" w:pos="8306"/>
          <w:tab w:val="clear" w:pos="9403"/>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_Toc22230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val="en-US" w:eastAsia="zh-CN"/>
        </w:rPr>
        <w:t>十五. 产品质量承诺</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_Toc22230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39</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6"/>
        <w:tabs>
          <w:tab w:val="right" w:leader="dot" w:pos="8306"/>
          <w:tab w:val="clear" w:pos="9403"/>
        </w:tabs>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sz w:val="24"/>
          <w:szCs w:val="24"/>
          <w:highlight w:val="none"/>
        </w:rPr>
        <w:instrText xml:space="preserve"> HYPERLINK \l _Toc25733 </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lang w:val="en-US" w:eastAsia="zh-CN"/>
        </w:rPr>
        <w:t>十六. 投标保证金退还声明</w:t>
      </w:r>
      <w:r>
        <w:rPr>
          <w:rFonts w:hint="eastAsia" w:ascii="宋体" w:hAnsi="宋体" w:eastAsia="宋体" w:cs="宋体"/>
          <w:i w:val="0"/>
          <w:iCs w:val="0"/>
          <w:sz w:val="24"/>
          <w:szCs w:val="24"/>
        </w:rPr>
        <w:tab/>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 PAGEREF _Toc25733 \h </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40</w:t>
      </w:r>
      <w:r>
        <w:rPr>
          <w:rFonts w:hint="eastAsia" w:ascii="宋体" w:hAnsi="宋体" w:eastAsia="宋体" w:cs="宋体"/>
          <w:i w:val="0"/>
          <w:iCs w:val="0"/>
          <w:sz w:val="24"/>
          <w:szCs w:val="24"/>
        </w:rPr>
        <w:fldChar w:fldCharType="end"/>
      </w:r>
      <w:r>
        <w:rPr>
          <w:rFonts w:hint="eastAsia" w:ascii="宋体" w:hAnsi="宋体" w:eastAsia="宋体" w:cs="宋体"/>
          <w:i w:val="0"/>
          <w:iCs w:val="0"/>
          <w:color w:val="auto"/>
          <w:sz w:val="24"/>
          <w:szCs w:val="24"/>
          <w:highlight w:val="none"/>
        </w:rPr>
        <w:fldChar w:fldCharType="end"/>
      </w:r>
    </w:p>
    <w:p>
      <w:pPr>
        <w:pStyle w:val="26"/>
        <w:rPr>
          <w:i w:val="0"/>
          <w:color w:val="auto"/>
          <w:highlight w:val="none"/>
        </w:rPr>
      </w:pPr>
      <w:r>
        <w:rPr>
          <w:rFonts w:hint="eastAsia" w:ascii="宋体" w:hAnsi="宋体" w:eastAsia="宋体" w:cs="宋体"/>
          <w:i w:val="0"/>
          <w:iCs w:val="0"/>
          <w:color w:val="auto"/>
          <w:sz w:val="24"/>
          <w:szCs w:val="24"/>
          <w:highlight w:val="none"/>
        </w:rPr>
        <w:fldChar w:fldCharType="end"/>
      </w:r>
    </w:p>
    <w:p>
      <w:pPr>
        <w:rPr>
          <w:color w:val="auto"/>
          <w:highlight w:val="none"/>
        </w:rPr>
      </w:pPr>
    </w:p>
    <w:p>
      <w:pPr>
        <w:rPr>
          <w:color w:val="auto"/>
          <w:highlight w:val="none"/>
        </w:rPr>
      </w:pPr>
      <w:bookmarkStart w:id="214" w:name="_GoBack"/>
      <w:bookmarkEnd w:id="214"/>
    </w:p>
    <w:p>
      <w:pPr>
        <w:pStyle w:val="6"/>
        <w:spacing w:before="0" w:after="0" w:line="430" w:lineRule="exact"/>
        <w:ind w:firstLine="0"/>
        <w:rPr>
          <w:rFonts w:ascii="宋体" w:hAnsi="宋体" w:eastAsia="宋体"/>
          <w:color w:val="auto"/>
          <w:highlight w:val="none"/>
        </w:rPr>
      </w:pPr>
      <w:bookmarkStart w:id="3" w:name="_Toc10764"/>
      <w:r>
        <w:rPr>
          <w:rFonts w:hint="eastAsia" w:ascii="宋体" w:hAnsi="宋体" w:eastAsia="宋体"/>
          <w:color w:val="auto"/>
          <w:highlight w:val="none"/>
        </w:rPr>
        <w:t>第一章 投标邀请（招标公告）</w:t>
      </w:r>
      <w:bookmarkEnd w:id="3"/>
    </w:p>
    <w:p>
      <w:pPr>
        <w:rPr>
          <w:color w:val="auto"/>
          <w:highlight w:val="none"/>
        </w:rPr>
      </w:pPr>
    </w:p>
    <w:p>
      <w:pPr>
        <w:tabs>
          <w:tab w:val="left" w:pos="2410"/>
        </w:tabs>
        <w:autoSpaceDE w:val="0"/>
        <w:autoSpaceDN w:val="0"/>
        <w:adjustRightInd w:val="0"/>
        <w:snapToGrid w:val="0"/>
        <w:spacing w:line="360" w:lineRule="auto"/>
        <w:ind w:firstLine="480" w:firstLineChars="200"/>
        <w:rPr>
          <w:rFonts w:ascii="宋体" w:hAnsi="宋体"/>
          <w:color w:val="auto"/>
          <w:sz w:val="24"/>
          <w:szCs w:val="24"/>
          <w:highlight w:val="none"/>
        </w:rPr>
      </w:pPr>
      <w:bookmarkStart w:id="4" w:name="_Hlt510343011"/>
      <w:bookmarkStart w:id="5" w:name="_Hlt510342998"/>
      <w:r>
        <w:rPr>
          <w:rFonts w:hint="eastAsia" w:ascii="宋体" w:hAnsi="宋体"/>
          <w:color w:val="auto"/>
          <w:sz w:val="24"/>
          <w:szCs w:val="24"/>
          <w:highlight w:val="none"/>
        </w:rPr>
        <w:t>合肥文旅博览集团有限公司（以下简称：文旅博览集团）现对</w:t>
      </w:r>
      <w:r>
        <w:rPr>
          <w:rFonts w:hint="eastAsia" w:ascii="宋体" w:hAnsi="DotumChe" w:cs="宋体"/>
          <w:b/>
          <w:color w:val="auto"/>
          <w:spacing w:val="20"/>
          <w:kern w:val="0"/>
          <w:sz w:val="24"/>
          <w:szCs w:val="24"/>
          <w:highlight w:val="none"/>
          <w:lang w:eastAsia="zh-CN"/>
        </w:rPr>
        <w:t>合肥泓瑞金陵大酒店烤鸭食材供应及现场制作服务</w:t>
      </w:r>
      <w:r>
        <w:rPr>
          <w:rFonts w:hint="eastAsia" w:ascii="宋体" w:hAnsi="宋体"/>
          <w:color w:val="auto"/>
          <w:sz w:val="24"/>
          <w:szCs w:val="24"/>
          <w:highlight w:val="none"/>
        </w:rPr>
        <w:t>项目（以下简称：本项目）进行公开招标，欢迎具备条件的投标人参加投标。</w:t>
      </w:r>
    </w:p>
    <w:p>
      <w:pPr>
        <w:autoSpaceDE w:val="0"/>
        <w:autoSpaceDN w:val="0"/>
        <w:adjustRightInd w:val="0"/>
        <w:spacing w:line="360" w:lineRule="auto"/>
        <w:ind w:firstLine="436" w:firstLineChars="181"/>
        <w:jc w:val="left"/>
        <w:rPr>
          <w:rFonts w:ascii="宋体" w:hAnsi="宋体"/>
          <w:b/>
          <w:bCs/>
          <w:color w:val="auto"/>
          <w:sz w:val="24"/>
          <w:szCs w:val="24"/>
          <w:highlight w:val="none"/>
        </w:rPr>
      </w:pPr>
      <w:r>
        <w:rPr>
          <w:rFonts w:hint="eastAsia" w:ascii="宋体" w:hAnsi="宋体"/>
          <w:b/>
          <w:bCs/>
          <w:color w:val="auto"/>
          <w:sz w:val="24"/>
          <w:szCs w:val="24"/>
          <w:highlight w:val="none"/>
        </w:rPr>
        <w:t>一、项目名称及内容</w:t>
      </w:r>
    </w:p>
    <w:p>
      <w:pPr>
        <w:autoSpaceDE w:val="0"/>
        <w:autoSpaceDN w:val="0"/>
        <w:adjustRightIn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1.项目编号：</w:t>
      </w:r>
      <w:r>
        <w:rPr>
          <w:rFonts w:ascii="宋体" w:hAnsi="宋体" w:eastAsia="宋体" w:cs="宋体"/>
          <w:sz w:val="24"/>
          <w:szCs w:val="24"/>
        </w:rPr>
        <w:t>2023WLBLZB00080号</w:t>
      </w:r>
    </w:p>
    <w:p>
      <w:pPr>
        <w:autoSpaceDE w:val="0"/>
        <w:autoSpaceDN w:val="0"/>
        <w:adjustRightIn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2.项目名称：</w:t>
      </w:r>
      <w:r>
        <w:rPr>
          <w:rFonts w:hint="eastAsia" w:ascii="宋体" w:hAnsi="宋体"/>
          <w:color w:val="auto"/>
          <w:sz w:val="24"/>
          <w:szCs w:val="24"/>
          <w:highlight w:val="none"/>
          <w:lang w:eastAsia="zh-CN"/>
        </w:rPr>
        <w:t>合肥泓瑞金陵大酒店烤鸭食材供应及现场制作服务</w:t>
      </w:r>
    </w:p>
    <w:p>
      <w:pPr>
        <w:autoSpaceDE w:val="0"/>
        <w:autoSpaceDN w:val="0"/>
        <w:adjustRightIn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3.项目地点：</w:t>
      </w:r>
      <w:r>
        <w:rPr>
          <w:rFonts w:hint="eastAsia" w:ascii="宋体" w:hAnsi="宋体" w:cs="宋体"/>
          <w:color w:val="auto"/>
          <w:kern w:val="0"/>
          <w:sz w:val="24"/>
          <w:szCs w:val="24"/>
          <w:highlight w:val="none"/>
        </w:rPr>
        <w:t>详见招标需求</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4.项目单位：合肥文旅博览集团有限公司</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5.项目内容：详见招标需求</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6.资金来源：自筹</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7.项目概算:</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28.87</w:t>
      </w:r>
      <w:r>
        <w:rPr>
          <w:rFonts w:hint="eastAsia" w:ascii="宋体" w:hAnsi="宋体" w:cs="宋体"/>
          <w:color w:val="auto"/>
          <w:kern w:val="0"/>
          <w:sz w:val="24"/>
          <w:szCs w:val="24"/>
          <w:highlight w:val="none"/>
        </w:rPr>
        <w:t>万元</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8.项目类别：</w:t>
      </w:r>
      <w:r>
        <w:rPr>
          <w:rFonts w:hint="eastAsia" w:ascii="宋体" w:hAnsi="宋体" w:cs="宋体"/>
          <w:color w:val="auto"/>
          <w:kern w:val="0"/>
          <w:sz w:val="24"/>
          <w:szCs w:val="24"/>
          <w:highlight w:val="none"/>
          <w:lang w:val="en-US" w:eastAsia="zh-CN"/>
        </w:rPr>
        <w:t>货物</w:t>
      </w:r>
      <w:r>
        <w:rPr>
          <w:rFonts w:hint="eastAsia" w:ascii="宋体" w:hAnsi="宋体" w:cs="宋体"/>
          <w:color w:val="auto"/>
          <w:kern w:val="0"/>
          <w:sz w:val="24"/>
          <w:szCs w:val="24"/>
          <w:highlight w:val="none"/>
        </w:rPr>
        <w:t>类</w:t>
      </w:r>
    </w:p>
    <w:p>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二、投标人资格</w:t>
      </w:r>
    </w:p>
    <w:p>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具有独立承担民事责任的能力；</w:t>
      </w:r>
    </w:p>
    <w:p>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2.具</w:t>
      </w:r>
      <w:r>
        <w:rPr>
          <w:rFonts w:hint="eastAsia" w:ascii="宋体" w:hAnsi="宋体" w:cs="宋体"/>
          <w:color w:val="auto"/>
          <w:kern w:val="0"/>
          <w:sz w:val="24"/>
          <w:szCs w:val="24"/>
          <w:highlight w:val="none"/>
          <w:lang w:val="en-US" w:eastAsia="zh-CN"/>
        </w:rPr>
        <w:t>有</w:t>
      </w:r>
      <w:r>
        <w:rPr>
          <w:rFonts w:hint="eastAsia" w:ascii="宋体" w:hAnsi="宋体" w:cs="宋体"/>
          <w:color w:val="auto"/>
          <w:kern w:val="0"/>
          <w:sz w:val="24"/>
          <w:szCs w:val="24"/>
          <w:highlight w:val="none"/>
        </w:rPr>
        <w:t xml:space="preserve">有效期内的食品经营许可证； </w:t>
      </w:r>
    </w:p>
    <w:p>
      <w:pPr>
        <w:autoSpaceDE w:val="0"/>
        <w:autoSpaceDN w:val="0"/>
        <w:adjustRightInd w:val="0"/>
        <w:spacing w:line="360" w:lineRule="auto"/>
        <w:ind w:firstLine="468" w:firstLineChars="195"/>
        <w:jc w:val="left"/>
        <w:rPr>
          <w:rFonts w:ascii="宋体" w:hAnsi="宋体"/>
          <w:color w:val="auto"/>
          <w:sz w:val="24"/>
          <w:szCs w:val="24"/>
          <w:highlight w:val="none"/>
        </w:rPr>
      </w:pPr>
      <w:r>
        <w:rPr>
          <w:rFonts w:hint="eastAsia" w:ascii="宋体" w:hAnsi="宋体"/>
          <w:color w:val="auto"/>
          <w:sz w:val="24"/>
          <w:szCs w:val="24"/>
          <w:highlight w:val="none"/>
        </w:rPr>
        <w:t>3.本项目不接受联合体投标；</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4.符合下列情形之一：</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1)开标日前两年内未被合肥市及其所辖县（市）公共资源交易监督管理局记不良行为记录或记不良行为记录累计未满10分的。 </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2)最近一次被合肥市及其所辖县（市）公共资源交易监督管理局记不良行为记录累计记分达10分(含10分)到15分且公布日距开标日超过6个月。 </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3)最近一次被合肥市及其所辖县（市）公共资源交易监督管理局记不良行为记录累计记分达15分(含15分)到20分且公布日距开标日超过12个月。 </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4)最近一次被合肥市及其所辖县（市）公共资源交易监督管理局记不良行为记录累计记分达20分(含20分)及以上且公布日距开标日超过24个月。</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5.投标人存在以下不良信用记录情形之一的，不得推荐为中标候选人，不得确定为中标人：</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1）投标人被人民法院列入失信被执行人的；</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2）投标人或其法定代表人或拟派项目经理（项目负责人）被人民检察院列入行贿犯罪档案的； </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3）投标人被工商行政管理部门列入企业经营异常名录的；</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4）投标人被税务部门列入重大税收违法案件当事人名单的。</w:t>
      </w:r>
    </w:p>
    <w:p>
      <w:pPr>
        <w:autoSpaceDE w:val="0"/>
        <w:autoSpaceDN w:val="0"/>
        <w:adjustRightInd w:val="0"/>
        <w:spacing w:line="460" w:lineRule="exact"/>
        <w:ind w:firstLine="241" w:firstLineChars="100"/>
        <w:jc w:val="left"/>
        <w:rPr>
          <w:rFonts w:ascii="宋体" w:hAnsi="宋体"/>
          <w:b/>
          <w:bCs/>
          <w:color w:val="auto"/>
          <w:sz w:val="24"/>
          <w:szCs w:val="24"/>
          <w:highlight w:val="none"/>
        </w:rPr>
      </w:pPr>
      <w:r>
        <w:rPr>
          <w:rFonts w:hint="eastAsia" w:ascii="宋体" w:hAnsi="宋体"/>
          <w:b/>
          <w:bCs/>
          <w:color w:val="auto"/>
          <w:sz w:val="24"/>
          <w:szCs w:val="24"/>
          <w:highlight w:val="none"/>
        </w:rPr>
        <w:t>三、投标报名</w:t>
      </w:r>
    </w:p>
    <w:p>
      <w:pPr>
        <w:autoSpaceDE w:val="0"/>
        <w:autoSpaceDN w:val="0"/>
        <w:adjustRightInd w:val="0"/>
        <w:spacing w:line="360" w:lineRule="auto"/>
        <w:ind w:firstLine="200"/>
        <w:jc w:val="left"/>
        <w:rPr>
          <w:rFonts w:ascii="宋体" w:hAnsi="宋体" w:cs="宋体"/>
          <w:color w:val="auto"/>
          <w:kern w:val="0"/>
          <w:sz w:val="24"/>
          <w:szCs w:val="24"/>
          <w:highlight w:val="none"/>
          <w:u w:val="single"/>
        </w:rPr>
      </w:pPr>
      <w:r>
        <w:rPr>
          <w:rFonts w:hint="eastAsia" w:ascii="宋体" w:hAnsi="宋体"/>
          <w:bCs/>
          <w:color w:val="auto"/>
          <w:sz w:val="24"/>
          <w:szCs w:val="24"/>
          <w:highlight w:val="none"/>
        </w:rPr>
        <w:t>1.</w:t>
      </w:r>
      <w:r>
        <w:rPr>
          <w:rFonts w:hint="eastAsia" w:ascii="宋体" w:hAnsi="宋体" w:cs="宋体"/>
          <w:color w:val="auto"/>
          <w:kern w:val="0"/>
          <w:sz w:val="24"/>
          <w:szCs w:val="24"/>
          <w:highlight w:val="none"/>
        </w:rPr>
        <w:t>报名日期：</w:t>
      </w:r>
      <w:r>
        <w:rPr>
          <w:rFonts w:hint="eastAsia" w:ascii="宋体" w:hAnsi="宋体" w:cs="宋体"/>
          <w:color w:val="auto"/>
          <w:kern w:val="0"/>
          <w:sz w:val="24"/>
          <w:szCs w:val="24"/>
          <w:highlight w:val="none"/>
          <w:u w:val="single"/>
        </w:rPr>
        <w:t>2023年</w:t>
      </w:r>
      <w:r>
        <w:rPr>
          <w:rFonts w:hint="eastAsia" w:ascii="宋体" w:hAnsi="宋体" w:cs="宋体"/>
          <w:color w:val="auto"/>
          <w:kern w:val="0"/>
          <w:sz w:val="24"/>
          <w:szCs w:val="24"/>
          <w:highlight w:val="none"/>
          <w:u w:val="single"/>
          <w:lang w:val="en-US" w:eastAsia="zh-CN"/>
        </w:rPr>
        <w:t>9</w:t>
      </w:r>
      <w:r>
        <w:rPr>
          <w:rFonts w:hint="eastAsia" w:ascii="宋体" w:hAnsi="宋体" w:cs="宋体"/>
          <w:color w:val="auto"/>
          <w:kern w:val="0"/>
          <w:sz w:val="24"/>
          <w:szCs w:val="24"/>
          <w:highlight w:val="none"/>
          <w:u w:val="single"/>
        </w:rPr>
        <w:t>月</w:t>
      </w:r>
      <w:r>
        <w:rPr>
          <w:rFonts w:hint="eastAsia" w:ascii="宋体" w:hAnsi="宋体" w:cs="宋体"/>
          <w:color w:val="auto"/>
          <w:kern w:val="0"/>
          <w:sz w:val="24"/>
          <w:szCs w:val="24"/>
          <w:highlight w:val="none"/>
          <w:u w:val="single"/>
          <w:lang w:val="en-US" w:eastAsia="zh-CN"/>
        </w:rPr>
        <w:t>20</w:t>
      </w:r>
      <w:r>
        <w:rPr>
          <w:rFonts w:hint="eastAsia" w:ascii="宋体" w:hAnsi="宋体" w:cs="宋体"/>
          <w:color w:val="auto"/>
          <w:kern w:val="0"/>
          <w:sz w:val="24"/>
          <w:szCs w:val="24"/>
          <w:highlight w:val="none"/>
          <w:u w:val="single"/>
        </w:rPr>
        <w:t>日上午09:00至2023年</w:t>
      </w:r>
      <w:r>
        <w:rPr>
          <w:rFonts w:hint="eastAsia" w:ascii="宋体" w:hAnsi="宋体" w:cs="宋体"/>
          <w:color w:val="auto"/>
          <w:kern w:val="0"/>
          <w:sz w:val="24"/>
          <w:szCs w:val="24"/>
          <w:highlight w:val="none"/>
          <w:u w:val="single"/>
          <w:lang w:val="en-US" w:eastAsia="zh-CN"/>
        </w:rPr>
        <w:t>9</w:t>
      </w:r>
      <w:r>
        <w:rPr>
          <w:rFonts w:hint="eastAsia" w:ascii="宋体" w:hAnsi="宋体" w:cs="宋体"/>
          <w:color w:val="auto"/>
          <w:kern w:val="0"/>
          <w:sz w:val="24"/>
          <w:szCs w:val="24"/>
          <w:highlight w:val="none"/>
          <w:u w:val="single"/>
        </w:rPr>
        <w:t>月</w:t>
      </w:r>
      <w:r>
        <w:rPr>
          <w:rFonts w:hint="eastAsia" w:ascii="宋体" w:hAnsi="宋体" w:cs="宋体"/>
          <w:color w:val="auto"/>
          <w:kern w:val="0"/>
          <w:sz w:val="24"/>
          <w:szCs w:val="24"/>
          <w:highlight w:val="none"/>
          <w:u w:val="single"/>
          <w:lang w:val="en-US" w:eastAsia="zh-CN"/>
        </w:rPr>
        <w:t>26</w:t>
      </w:r>
      <w:r>
        <w:rPr>
          <w:rFonts w:hint="eastAsia" w:ascii="宋体" w:hAnsi="宋体" w:cs="宋体"/>
          <w:color w:val="auto"/>
          <w:kern w:val="0"/>
          <w:sz w:val="24"/>
          <w:szCs w:val="24"/>
          <w:highlight w:val="none"/>
          <w:u w:val="single"/>
        </w:rPr>
        <w:t>日下午17:00</w:t>
      </w:r>
    </w:p>
    <w:p>
      <w:pPr>
        <w:autoSpaceDE w:val="0"/>
        <w:autoSpaceDN w:val="0"/>
        <w:adjustRightInd w:val="0"/>
        <w:spacing w:line="360" w:lineRule="auto"/>
        <w:ind w:firstLine="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2.领取方法：登录合肥文旅博览集团有限公司网站</w:t>
      </w:r>
      <w:r>
        <w:rPr>
          <w:rFonts w:ascii="宋体" w:hAnsi="宋体" w:cs="宋体"/>
          <w:color w:val="auto"/>
          <w:kern w:val="0"/>
          <w:sz w:val="24"/>
          <w:szCs w:val="24"/>
          <w:highlight w:val="none"/>
        </w:rPr>
        <w:t>http://www.zwzcgl.com</w:t>
      </w:r>
      <w:r>
        <w:rPr>
          <w:rFonts w:hint="eastAsia" w:ascii="宋体" w:hAnsi="宋体" w:cs="宋体"/>
          <w:color w:val="auto"/>
          <w:kern w:val="0"/>
          <w:sz w:val="24"/>
          <w:szCs w:val="24"/>
          <w:highlight w:val="none"/>
        </w:rPr>
        <w:t>下载标书</w:t>
      </w:r>
    </w:p>
    <w:p>
      <w:pPr>
        <w:autoSpaceDE w:val="0"/>
        <w:autoSpaceDN w:val="0"/>
        <w:adjustRightInd w:val="0"/>
        <w:spacing w:line="360" w:lineRule="auto"/>
        <w:ind w:firstLine="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3.报名方法：下载附件《××单位投××项目报名信息表》并完整填写信息后在规定的报名日期内发送至邮箱：</w:t>
      </w:r>
      <w:r>
        <w:rPr>
          <w:color w:val="auto"/>
          <w:highlight w:val="none"/>
        </w:rPr>
        <w:fldChar w:fldCharType="begin"/>
      </w:r>
      <w:r>
        <w:rPr>
          <w:color w:val="auto"/>
          <w:highlight w:val="none"/>
        </w:rPr>
        <w:instrText xml:space="preserve"> HYPERLINK "mailto:120156961@qq.com" </w:instrText>
      </w:r>
      <w:r>
        <w:rPr>
          <w:color w:val="auto"/>
          <w:highlight w:val="none"/>
        </w:rPr>
        <w:fldChar w:fldCharType="separate"/>
      </w:r>
      <w:r>
        <w:rPr>
          <w:rFonts w:hint="eastAsia" w:cs="宋体"/>
          <w:color w:val="auto"/>
          <w:kern w:val="0"/>
          <w:sz w:val="24"/>
          <w:szCs w:val="24"/>
          <w:highlight w:val="none"/>
          <w:u w:val="single"/>
        </w:rPr>
        <w:t>31833846@qq.com</w:t>
      </w:r>
      <w:r>
        <w:rPr>
          <w:rFonts w:hint="eastAsia" w:cs="宋体"/>
          <w:color w:val="auto"/>
          <w:kern w:val="0"/>
          <w:sz w:val="24"/>
          <w:szCs w:val="24"/>
          <w:highlight w:val="none"/>
          <w:u w:val="single"/>
        </w:rPr>
        <w:fldChar w:fldCharType="end"/>
      </w:r>
    </w:p>
    <w:p>
      <w:pPr>
        <w:autoSpaceDE w:val="0"/>
        <w:autoSpaceDN w:val="0"/>
        <w:adjustRightInd w:val="0"/>
        <w:spacing w:line="360" w:lineRule="auto"/>
        <w:ind w:firstLine="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四、投标保证金</w:t>
      </w:r>
    </w:p>
    <w:p>
      <w:pPr>
        <w:autoSpaceDE w:val="0"/>
        <w:autoSpaceDN w:val="0"/>
        <w:adjustRightInd w:val="0"/>
        <w:spacing w:line="360" w:lineRule="auto"/>
        <w:ind w:firstLine="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投标保证金缴纳详见第二章投标人须知前附表</w:t>
      </w:r>
    </w:p>
    <w:p>
      <w:pPr>
        <w:autoSpaceDE w:val="0"/>
        <w:autoSpaceDN w:val="0"/>
        <w:adjustRightInd w:val="0"/>
        <w:spacing w:line="360" w:lineRule="auto"/>
        <w:ind w:firstLine="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五、开标时间及地点</w:t>
      </w:r>
    </w:p>
    <w:p>
      <w:pPr>
        <w:autoSpaceDE w:val="0"/>
        <w:autoSpaceDN w:val="0"/>
        <w:adjustRightInd w:val="0"/>
        <w:spacing w:line="360" w:lineRule="auto"/>
        <w:ind w:firstLine="20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1.开标时间：</w:t>
      </w:r>
      <w:r>
        <w:rPr>
          <w:rFonts w:hint="eastAsia" w:ascii="宋体" w:hAnsi="宋体" w:cs="宋体"/>
          <w:color w:val="auto"/>
          <w:kern w:val="0"/>
          <w:sz w:val="24"/>
          <w:szCs w:val="24"/>
          <w:highlight w:val="none"/>
          <w:u w:val="single"/>
        </w:rPr>
        <w:t>2023年9月</w:t>
      </w:r>
      <w:r>
        <w:rPr>
          <w:rFonts w:hint="eastAsia" w:ascii="宋体" w:hAnsi="宋体" w:cs="宋体"/>
          <w:color w:val="auto"/>
          <w:kern w:val="0"/>
          <w:sz w:val="24"/>
          <w:szCs w:val="24"/>
          <w:highlight w:val="none"/>
          <w:u w:val="single"/>
          <w:lang w:val="en-US" w:eastAsia="zh-CN"/>
        </w:rPr>
        <w:t>28</w:t>
      </w:r>
      <w:r>
        <w:rPr>
          <w:rFonts w:hint="eastAsia" w:ascii="宋体" w:hAnsi="宋体" w:cs="宋体"/>
          <w:color w:val="auto"/>
          <w:kern w:val="0"/>
          <w:sz w:val="24"/>
          <w:szCs w:val="24"/>
          <w:highlight w:val="none"/>
          <w:u w:val="single"/>
        </w:rPr>
        <w:t>日</w:t>
      </w:r>
      <w:r>
        <w:rPr>
          <w:rFonts w:ascii="宋体" w:hAnsi="宋体" w:cs="宋体"/>
          <w:color w:val="auto"/>
          <w:kern w:val="0"/>
          <w:sz w:val="24"/>
          <w:szCs w:val="24"/>
          <w:highlight w:val="none"/>
          <w:u w:val="single"/>
        </w:rPr>
        <w:t>9</w:t>
      </w:r>
      <w:r>
        <w:rPr>
          <w:rFonts w:hint="eastAsia" w:ascii="宋体" w:hAnsi="宋体" w:cs="宋体"/>
          <w:color w:val="auto"/>
          <w:kern w:val="0"/>
          <w:sz w:val="24"/>
          <w:szCs w:val="24"/>
          <w:highlight w:val="none"/>
          <w:u w:val="single"/>
        </w:rPr>
        <w:t>：00</w:t>
      </w:r>
    </w:p>
    <w:p>
      <w:pPr>
        <w:autoSpaceDE w:val="0"/>
        <w:autoSpaceDN w:val="0"/>
        <w:adjustRightInd w:val="0"/>
        <w:spacing w:line="360" w:lineRule="auto"/>
        <w:ind w:firstLine="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2.开标地点：合肥蜀山区祁门路1799号合肥泓瑞金陵大酒店四楼蜀山厅</w:t>
      </w:r>
    </w:p>
    <w:p>
      <w:pPr>
        <w:autoSpaceDE w:val="0"/>
        <w:autoSpaceDN w:val="0"/>
        <w:adjustRightInd w:val="0"/>
        <w:spacing w:line="360" w:lineRule="auto"/>
        <w:ind w:firstLine="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六、投标截止时间</w:t>
      </w:r>
    </w:p>
    <w:p>
      <w:pPr>
        <w:autoSpaceDE w:val="0"/>
        <w:autoSpaceDN w:val="0"/>
        <w:adjustRightInd w:val="0"/>
        <w:spacing w:line="360" w:lineRule="auto"/>
        <w:ind w:firstLine="200"/>
        <w:jc w:val="left"/>
        <w:rPr>
          <w:rFonts w:ascii="宋体" w:hAnsi="宋体" w:cs="宋体"/>
          <w:color w:val="auto"/>
          <w:kern w:val="0"/>
          <w:sz w:val="24"/>
          <w:szCs w:val="24"/>
          <w:highlight w:val="none"/>
          <w:u w:val="single"/>
        </w:rPr>
      </w:pPr>
      <w:r>
        <w:rPr>
          <w:rFonts w:ascii="宋体" w:hAnsi="宋体" w:cs="宋体"/>
          <w:color w:val="auto"/>
          <w:kern w:val="0"/>
          <w:sz w:val="24"/>
          <w:szCs w:val="24"/>
          <w:highlight w:val="none"/>
          <w:u w:val="single"/>
        </w:rPr>
        <w:t>2</w:t>
      </w:r>
      <w:r>
        <w:rPr>
          <w:rFonts w:hint="eastAsia" w:ascii="宋体" w:hAnsi="宋体" w:cs="宋体"/>
          <w:color w:val="auto"/>
          <w:kern w:val="0"/>
          <w:sz w:val="24"/>
          <w:szCs w:val="24"/>
          <w:highlight w:val="none"/>
          <w:u w:val="single"/>
        </w:rPr>
        <w:t>023年9月</w:t>
      </w:r>
      <w:r>
        <w:rPr>
          <w:rFonts w:hint="eastAsia" w:ascii="宋体" w:hAnsi="宋体" w:cs="宋体"/>
          <w:color w:val="auto"/>
          <w:kern w:val="0"/>
          <w:sz w:val="24"/>
          <w:szCs w:val="24"/>
          <w:highlight w:val="none"/>
          <w:u w:val="single"/>
          <w:lang w:val="en-US" w:eastAsia="zh-CN"/>
        </w:rPr>
        <w:t>28</w:t>
      </w:r>
      <w:r>
        <w:rPr>
          <w:rFonts w:hint="eastAsia" w:ascii="宋体" w:hAnsi="宋体" w:cs="宋体"/>
          <w:color w:val="auto"/>
          <w:kern w:val="0"/>
          <w:sz w:val="24"/>
          <w:szCs w:val="24"/>
          <w:highlight w:val="none"/>
          <w:u w:val="single"/>
        </w:rPr>
        <w:t>日9：00</w:t>
      </w:r>
    </w:p>
    <w:p>
      <w:pPr>
        <w:autoSpaceDE w:val="0"/>
        <w:autoSpaceDN w:val="0"/>
        <w:adjustRightInd w:val="0"/>
        <w:spacing w:line="360" w:lineRule="auto"/>
        <w:ind w:firstLine="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七、联系方法</w:t>
      </w:r>
    </w:p>
    <w:p>
      <w:pPr>
        <w:autoSpaceDE w:val="0"/>
        <w:autoSpaceDN w:val="0"/>
        <w:adjustRightInd w:val="0"/>
        <w:spacing w:line="360" w:lineRule="auto"/>
        <w:ind w:firstLine="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招 标 人：合肥文旅博览集团有限公司</w:t>
      </w:r>
    </w:p>
    <w:p>
      <w:pPr>
        <w:autoSpaceDE w:val="0"/>
        <w:autoSpaceDN w:val="0"/>
        <w:adjustRightInd w:val="0"/>
        <w:spacing w:line="360" w:lineRule="auto"/>
        <w:ind w:firstLine="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    址：合肥市蜀山区习友路与茂荫路交口投资大厦</w:t>
      </w:r>
    </w:p>
    <w:p>
      <w:pPr>
        <w:autoSpaceDE w:val="0"/>
        <w:autoSpaceDN w:val="0"/>
        <w:adjustRightInd w:val="0"/>
        <w:spacing w:line="360" w:lineRule="auto"/>
        <w:ind w:firstLine="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 系 人：   电话：0551-63530687</w:t>
      </w:r>
    </w:p>
    <w:p>
      <w:pPr>
        <w:autoSpaceDE w:val="0"/>
        <w:autoSpaceDN w:val="0"/>
        <w:adjustRightInd w:val="0"/>
        <w:spacing w:line="360" w:lineRule="auto"/>
        <w:ind w:left="29" w:leftChars="14" w:firstLine="118" w:firstLineChars="49"/>
        <w:jc w:val="left"/>
        <w:rPr>
          <w:rFonts w:ascii="宋体" w:hAnsi="宋体" w:cs="宋体"/>
          <w:color w:val="auto"/>
          <w:kern w:val="0"/>
          <w:sz w:val="24"/>
          <w:szCs w:val="24"/>
          <w:highlight w:val="none"/>
        </w:rPr>
      </w:pPr>
      <w:r>
        <w:rPr>
          <w:rFonts w:hint="eastAsia" w:ascii="宋体" w:hAnsi="宋体"/>
          <w:b/>
          <w:bCs/>
          <w:color w:val="auto"/>
          <w:sz w:val="24"/>
          <w:szCs w:val="24"/>
          <w:highlight w:val="none"/>
        </w:rPr>
        <w:t>八、其他补充事宜</w:t>
      </w:r>
      <w:r>
        <w:rPr>
          <w:rFonts w:ascii="宋体" w:hAnsi="宋体" w:cs="宋体"/>
          <w:color w:val="auto"/>
          <w:sz w:val="24"/>
          <w:szCs w:val="24"/>
          <w:highlight w:val="none"/>
        </w:rPr>
        <w:br w:type="textWrapping"/>
      </w:r>
      <w:r>
        <w:rPr>
          <w:rFonts w:ascii="宋体" w:hAnsi="宋体" w:cs="宋体"/>
          <w:color w:val="auto"/>
          <w:sz w:val="24"/>
          <w:szCs w:val="24"/>
          <w:highlight w:val="none"/>
        </w:rPr>
        <w:t>有任何疑问或问题，请在工作时间（周一至周五，上午08:00-12:00，下午2:30-5:30，节假日休息）与项目联系人联系。</w:t>
      </w:r>
    </w:p>
    <w:p>
      <w:pPr>
        <w:autoSpaceDE w:val="0"/>
        <w:autoSpaceDN w:val="0"/>
        <w:adjustRightInd w:val="0"/>
        <w:spacing w:line="360" w:lineRule="auto"/>
        <w:ind w:firstLine="200"/>
        <w:jc w:val="left"/>
        <w:rPr>
          <w:rFonts w:ascii="宋体" w:hAnsi="宋体" w:cs="宋体"/>
          <w:color w:val="auto"/>
          <w:kern w:val="0"/>
          <w:sz w:val="24"/>
          <w:szCs w:val="24"/>
          <w:highlight w:val="none"/>
        </w:rPr>
      </w:pPr>
    </w:p>
    <w:p>
      <w:pPr>
        <w:pStyle w:val="68"/>
        <w:ind w:firstLine="480"/>
        <w:rPr>
          <w:rFonts w:ascii="宋体" w:hAnsi="宋体" w:cs="宋体"/>
          <w:color w:val="auto"/>
          <w:kern w:val="0"/>
          <w:sz w:val="24"/>
          <w:szCs w:val="24"/>
          <w:highlight w:val="none"/>
        </w:rPr>
      </w:pPr>
    </w:p>
    <w:p>
      <w:pPr>
        <w:autoSpaceDE w:val="0"/>
        <w:autoSpaceDN w:val="0"/>
        <w:adjustRightInd w:val="0"/>
        <w:spacing w:line="360" w:lineRule="auto"/>
        <w:ind w:firstLine="200"/>
        <w:jc w:val="left"/>
        <w:rPr>
          <w:rFonts w:ascii="宋体" w:hAnsi="宋体" w:cs="宋体"/>
          <w:color w:val="auto"/>
          <w:kern w:val="0"/>
          <w:sz w:val="24"/>
          <w:szCs w:val="24"/>
          <w:highlight w:val="none"/>
        </w:rPr>
      </w:pPr>
    </w:p>
    <w:p>
      <w:pPr>
        <w:autoSpaceDE w:val="0"/>
        <w:autoSpaceDN w:val="0"/>
        <w:adjustRightInd w:val="0"/>
        <w:spacing w:line="360" w:lineRule="auto"/>
        <w:ind w:firstLine="200"/>
        <w:jc w:val="left"/>
        <w:rPr>
          <w:rFonts w:ascii="宋体" w:hAnsi="宋体" w:cs="宋体"/>
          <w:color w:val="auto"/>
          <w:kern w:val="0"/>
          <w:sz w:val="24"/>
          <w:szCs w:val="24"/>
          <w:highlight w:val="none"/>
        </w:rPr>
      </w:pPr>
    </w:p>
    <w:p>
      <w:pPr>
        <w:autoSpaceDE w:val="0"/>
        <w:autoSpaceDN w:val="0"/>
        <w:adjustRightInd w:val="0"/>
        <w:spacing w:line="360" w:lineRule="auto"/>
        <w:ind w:firstLine="200"/>
        <w:jc w:val="left"/>
        <w:rPr>
          <w:rFonts w:ascii="宋体" w:hAnsi="宋体" w:cs="宋体"/>
          <w:color w:val="auto"/>
          <w:kern w:val="0"/>
          <w:sz w:val="24"/>
          <w:szCs w:val="24"/>
          <w:highlight w:val="none"/>
        </w:rPr>
      </w:pPr>
    </w:p>
    <w:p>
      <w:pPr>
        <w:pStyle w:val="6"/>
        <w:spacing w:before="0" w:after="0" w:line="430" w:lineRule="exact"/>
        <w:ind w:firstLine="0"/>
        <w:rPr>
          <w:rFonts w:ascii="宋体" w:hAnsi="宋体" w:eastAsia="宋体"/>
          <w:color w:val="auto"/>
          <w:highlight w:val="none"/>
        </w:rPr>
      </w:pPr>
      <w:bookmarkStart w:id="6" w:name="_Toc4054"/>
      <w:r>
        <w:rPr>
          <w:rFonts w:hint="eastAsia" w:ascii="宋体" w:hAnsi="宋体" w:eastAsia="宋体"/>
          <w:color w:val="auto"/>
          <w:highlight w:val="none"/>
        </w:rPr>
        <w:t>第二章 投标人须</w:t>
      </w:r>
      <w:bookmarkEnd w:id="4"/>
      <w:r>
        <w:rPr>
          <w:rFonts w:hint="eastAsia" w:ascii="宋体" w:hAnsi="宋体" w:eastAsia="宋体"/>
          <w:color w:val="auto"/>
          <w:highlight w:val="none"/>
        </w:rPr>
        <w:t>知</w:t>
      </w:r>
      <w:bookmarkEnd w:id="5"/>
      <w:r>
        <w:rPr>
          <w:rFonts w:hint="eastAsia" w:ascii="宋体" w:hAnsi="宋体" w:eastAsia="宋体"/>
          <w:color w:val="auto"/>
          <w:highlight w:val="none"/>
        </w:rPr>
        <w:t>前附表</w:t>
      </w:r>
      <w:bookmarkEnd w:id="6"/>
    </w:p>
    <w:tbl>
      <w:tblPr>
        <w:tblStyle w:val="51"/>
        <w:tblW w:w="983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569"/>
        <w:gridCol w:w="7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c>
          <w:tcPr>
            <w:tcW w:w="7552" w:type="dxa"/>
            <w:tcBorders>
              <w:top w:val="single" w:color="auto" w:sz="4" w:space="0"/>
              <w:left w:val="single" w:color="auto" w:sz="4" w:space="0"/>
              <w:bottom w:val="single" w:color="auto" w:sz="4" w:space="0"/>
              <w:right w:val="single" w:color="auto" w:sz="4" w:space="0"/>
            </w:tcBorders>
            <w:vAlign w:val="center"/>
          </w:tcPr>
          <w:p>
            <w:pPr>
              <w:pStyle w:val="114"/>
              <w:widowControl w:val="0"/>
              <w:spacing w:before="0" w:beforeAutospacing="0" w:after="0" w:afterAutospacing="0" w:line="440" w:lineRule="exact"/>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tcBorders>
              <w:top w:val="single" w:color="auto" w:sz="4" w:space="0"/>
              <w:left w:val="single" w:color="auto" w:sz="4" w:space="0"/>
              <w:bottom w:val="single" w:color="auto" w:sz="4" w:space="0"/>
              <w:right w:val="single" w:color="auto" w:sz="4" w:space="0"/>
            </w:tcBorders>
            <w:vAlign w:val="center"/>
          </w:tcPr>
          <w:p>
            <w:pPr>
              <w:pStyle w:val="121"/>
              <w:pBdr>
                <w:bottom w:val="none" w:color="auto" w:sz="0" w:space="0"/>
              </w:pBdr>
              <w:tabs>
                <w:tab w:val="left" w:pos="420"/>
              </w:tabs>
              <w:adjustRightInd/>
              <w:spacing w:line="240" w:lineRule="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招标人</w:t>
            </w:r>
          </w:p>
        </w:tc>
        <w:tc>
          <w:tcPr>
            <w:tcW w:w="7552" w:type="dxa"/>
            <w:tcBorders>
              <w:top w:val="single" w:color="auto" w:sz="4" w:space="0"/>
              <w:left w:val="single" w:color="auto" w:sz="4" w:space="0"/>
              <w:bottom w:val="single" w:color="auto" w:sz="4" w:space="0"/>
              <w:right w:val="single" w:color="auto" w:sz="4" w:space="0"/>
            </w:tcBorders>
            <w:vAlign w:val="center"/>
          </w:tcPr>
          <w:p>
            <w:pPr>
              <w:pStyle w:val="114"/>
              <w:widowControl w:val="0"/>
              <w:spacing w:before="0" w:beforeAutospacing="0" w:after="0" w:afterAutospacing="0"/>
              <w:jc w:val="both"/>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委托人</w:t>
            </w:r>
          </w:p>
        </w:tc>
        <w:tc>
          <w:tcPr>
            <w:tcW w:w="7552" w:type="dxa"/>
            <w:tcBorders>
              <w:top w:val="single" w:color="auto" w:sz="4" w:space="0"/>
              <w:left w:val="single" w:color="auto" w:sz="4" w:space="0"/>
              <w:bottom w:val="single" w:color="auto" w:sz="4" w:space="0"/>
              <w:right w:val="single" w:color="auto" w:sz="4" w:space="0"/>
            </w:tcBorders>
            <w:vAlign w:val="center"/>
          </w:tcPr>
          <w:p>
            <w:pPr>
              <w:pStyle w:val="114"/>
              <w:widowControl w:val="0"/>
              <w:spacing w:before="0" w:beforeAutospacing="0" w:after="0" w:afterAutospacing="0"/>
              <w:jc w:val="both"/>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rPr>
              <w:t>合肥泓瑞金陵大酒店有限责任公</w:t>
            </w:r>
            <w:r>
              <w:rPr>
                <w:rFonts w:hint="eastAsia" w:ascii="宋体" w:hAnsi="宋体" w:eastAsia="宋体" w:cs="宋体"/>
                <w:b w:val="0"/>
                <w:color w:val="auto"/>
                <w:kern w:val="2"/>
                <w:sz w:val="24"/>
                <w:szCs w:val="24"/>
                <w:highlight w:val="none"/>
                <w:lang w:val="en-US" w:eastAsia="zh-CN"/>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552" w:type="dxa"/>
            <w:tcBorders>
              <w:top w:val="single" w:color="auto" w:sz="4" w:space="0"/>
              <w:left w:val="single" w:color="auto" w:sz="4" w:space="0"/>
              <w:bottom w:val="single" w:color="auto" w:sz="4" w:space="0"/>
              <w:right w:val="single" w:color="auto" w:sz="4" w:space="0"/>
            </w:tcBorders>
            <w:vAlign w:val="center"/>
          </w:tcPr>
          <w:p>
            <w:pPr>
              <w:pStyle w:val="114"/>
              <w:widowControl w:val="0"/>
              <w:spacing w:before="0" w:beforeAutospacing="0" w:after="0" w:afterAutospacing="0"/>
              <w:jc w:val="both"/>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lang w:eastAsia="zh-CN"/>
              </w:rPr>
              <w:t>合肥泓瑞金陵大酒店烤鸭食材供应及现场制作服务项目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755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sz w:val="24"/>
                <w:szCs w:val="24"/>
              </w:rPr>
              <w:t>2023WLBLZB00080号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项目性质</w:t>
            </w:r>
          </w:p>
        </w:tc>
        <w:tc>
          <w:tcPr>
            <w:tcW w:w="75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val="0"/>
                <w:bCs w:val="0"/>
                <w:color w:val="000000"/>
                <w:sz w:val="24"/>
                <w:szCs w:val="24"/>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7552" w:type="dxa"/>
            <w:tcBorders>
              <w:top w:val="single" w:color="auto" w:sz="4" w:space="0"/>
              <w:left w:val="single" w:color="auto" w:sz="4" w:space="0"/>
              <w:bottom w:val="single" w:color="auto" w:sz="4" w:space="0"/>
              <w:right w:val="single" w:color="auto" w:sz="4" w:space="0"/>
            </w:tcBorders>
            <w:vAlign w:val="center"/>
          </w:tcPr>
          <w:p>
            <w:pPr>
              <w:pStyle w:val="114"/>
              <w:widowControl w:val="0"/>
              <w:spacing w:before="0" w:beforeAutospacing="0" w:after="0" w:afterAutospacing="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□财政投资    </w:t>
            </w:r>
            <w:r>
              <w:rPr>
                <w:rFonts w:hint="eastAsia" w:ascii="宋体" w:hAnsi="宋体" w:eastAsia="宋体" w:cs="宋体"/>
                <w:b w:val="0"/>
                <w:bCs w:val="0"/>
                <w:color w:val="auto"/>
                <w:sz w:val="24"/>
                <w:szCs w:val="24"/>
                <w:highlight w:val="none"/>
              </w:rPr>
              <w:sym w:font="Wingdings" w:char="F0FE"/>
            </w:r>
            <w:r>
              <w:rPr>
                <w:rFonts w:hint="eastAsia" w:ascii="宋体" w:hAnsi="宋体" w:eastAsia="宋体" w:cs="宋体"/>
                <w:b w:val="0"/>
                <w:bCs w:val="0"/>
                <w:color w:val="auto"/>
                <w:sz w:val="24"/>
                <w:szCs w:val="24"/>
                <w:highlight w:val="none"/>
              </w:rPr>
              <w:t>委托人</w:t>
            </w:r>
            <w:r>
              <w:rPr>
                <w:rFonts w:hint="eastAsia" w:ascii="宋体" w:hAnsi="宋体" w:eastAsia="宋体" w:cs="宋体"/>
                <w:b w:val="0"/>
                <w:color w:val="auto"/>
                <w:sz w:val="24"/>
                <w:szCs w:val="24"/>
                <w:highlight w:val="none"/>
              </w:rPr>
              <w:t xml:space="preserve">自筹    </w:t>
            </w:r>
            <w:r>
              <w:rPr>
                <w:rFonts w:hint="eastAsia" w:ascii="宋体" w:hAnsi="宋体" w:eastAsia="宋体" w:cs="宋体"/>
                <w:b w:val="0"/>
                <w:bCs w:val="0"/>
                <w:color w:val="auto"/>
                <w:sz w:val="24"/>
                <w:szCs w:val="24"/>
                <w:highlight w:val="none"/>
              </w:rPr>
              <w:t>□</w:t>
            </w:r>
            <w:r>
              <w:rPr>
                <w:rFonts w:hint="eastAsia" w:ascii="宋体" w:hAnsi="宋体" w:eastAsia="宋体" w:cs="宋体"/>
                <w:b w:val="0"/>
                <w:color w:val="auto"/>
                <w:sz w:val="24"/>
                <w:szCs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p>
        </w:tc>
        <w:tc>
          <w:tcPr>
            <w:tcW w:w="1569"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标段划分</w:t>
            </w:r>
          </w:p>
        </w:tc>
        <w:tc>
          <w:tcPr>
            <w:tcW w:w="7552" w:type="dxa"/>
            <w:tcBorders>
              <w:top w:val="single" w:color="auto" w:sz="4" w:space="0"/>
              <w:left w:val="single" w:color="auto" w:sz="4" w:space="0"/>
              <w:bottom w:val="single" w:color="auto" w:sz="4" w:space="0"/>
              <w:right w:val="single" w:color="auto" w:sz="4" w:space="0"/>
            </w:tcBorders>
            <w:vAlign w:val="center"/>
          </w:tcPr>
          <w:p>
            <w:pPr>
              <w:spacing w:line="500" w:lineRule="exact"/>
              <w:ind w:left="841" w:hanging="84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sym w:font="Wingdings" w:char="F0FE"/>
            </w:r>
            <w:r>
              <w:rPr>
                <w:rFonts w:hint="eastAsia" w:ascii="宋体" w:hAnsi="宋体" w:eastAsia="宋体" w:cs="宋体"/>
                <w:color w:val="auto"/>
                <w:sz w:val="24"/>
                <w:szCs w:val="24"/>
                <w:highlight w:val="none"/>
              </w:rPr>
              <w:t>不分标段   □分为  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500" w:lineRule="exact"/>
              <w:ind w:right="102"/>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w:t>
            </w:r>
          </w:p>
        </w:tc>
        <w:tc>
          <w:tcPr>
            <w:tcW w:w="15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付款方式</w:t>
            </w:r>
          </w:p>
        </w:tc>
        <w:tc>
          <w:tcPr>
            <w:tcW w:w="75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3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月15日之前，甲乙方双方必须对上个月（T月）的供货清单进行核对。经甲方在T月的供货清单对帐表上签字确认且乙方提供等额增值税发票，甲方在以下时间内完成付款：甲方应在（T+2）月的最后一日之前向乙方支付T月的货款月末支付完毕。</w:t>
            </w:r>
          </w:p>
          <w:p>
            <w:pPr>
              <w:autoSpaceDE w:val="0"/>
              <w:autoSpaceDN w:val="0"/>
              <w:adjustRightInd w:val="0"/>
              <w:spacing w:line="43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在委托人付款前，中标人需向委托人交付等额的增值税专用发票，否则委托人有权拒绝或者延迟付款，且不承担违约责任。</w:t>
            </w:r>
          </w:p>
          <w:p>
            <w:pPr>
              <w:autoSpaceDE w:val="0"/>
              <w:autoSpaceDN w:val="0"/>
              <w:adjustRightInd w:val="0"/>
              <w:spacing w:line="460" w:lineRule="exact"/>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投标人提交的投标文件中如有关于付款条件的表述与招标文件规定不符，投标无效。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5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w:t>
            </w:r>
          </w:p>
        </w:tc>
        <w:tc>
          <w:tcPr>
            <w:tcW w:w="7552"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 xml:space="preserve">接受  </w:t>
            </w:r>
            <w:r>
              <w:rPr>
                <w:rFonts w:hint="eastAsia" w:ascii="宋体" w:hAnsi="宋体" w:eastAsia="宋体" w:cs="宋体"/>
                <w:b/>
                <w:bCs/>
                <w:color w:val="auto"/>
                <w:sz w:val="24"/>
                <w:szCs w:val="24"/>
                <w:highlight w:val="none"/>
              </w:rPr>
              <w:sym w:font="Wingdings" w:char="F0FE"/>
            </w:r>
            <w:r>
              <w:rPr>
                <w:rFonts w:hint="eastAsia" w:ascii="宋体" w:hAnsi="宋体" w:eastAsia="宋体" w:cs="宋体"/>
                <w:color w:val="auto"/>
                <w:sz w:val="24"/>
                <w:szCs w:val="24"/>
                <w:highlight w:val="none"/>
              </w:rPr>
              <w:t>不</w:t>
            </w:r>
            <w:r>
              <w:rPr>
                <w:rFonts w:hint="eastAsia" w:ascii="宋体" w:hAnsi="宋体" w:eastAsia="宋体" w:cs="宋体"/>
                <w:color w:val="auto"/>
                <w:sz w:val="24"/>
                <w:szCs w:val="24"/>
                <w:highlight w:val="none"/>
                <w:lang w:val="zh-CN"/>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5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7552"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5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供货</w:t>
            </w:r>
            <w:r>
              <w:rPr>
                <w:rFonts w:hint="eastAsia" w:ascii="宋体" w:hAnsi="宋体" w:eastAsia="宋体" w:cs="宋体"/>
                <w:color w:val="auto"/>
                <w:sz w:val="24"/>
                <w:szCs w:val="24"/>
                <w:highlight w:val="none"/>
              </w:rPr>
              <w:t>地点</w:t>
            </w:r>
          </w:p>
        </w:tc>
        <w:tc>
          <w:tcPr>
            <w:tcW w:w="7552"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color w:val="auto"/>
                <w:kern w:val="0"/>
                <w:sz w:val="24"/>
                <w:szCs w:val="24"/>
                <w:highlight w:val="none"/>
              </w:rPr>
            </w:pPr>
            <w:r>
              <w:rPr>
                <w:rFonts w:hint="eastAsia" w:ascii="宋体" w:hAnsi="宋体" w:eastAsia="宋体" w:cs="宋体"/>
                <w:b w:val="0"/>
                <w:color w:val="auto"/>
                <w:sz w:val="24"/>
                <w:szCs w:val="24"/>
                <w:highlight w:val="none"/>
                <w:lang w:eastAsia="zh-CN"/>
              </w:rPr>
              <w:t>合肥泓瑞金陵大酒店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5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供货</w:t>
            </w:r>
            <w:r>
              <w:rPr>
                <w:rFonts w:hint="eastAsia" w:ascii="宋体" w:hAnsi="宋体" w:eastAsia="宋体" w:cs="宋体"/>
                <w:color w:val="auto"/>
                <w:sz w:val="24"/>
                <w:szCs w:val="24"/>
                <w:highlight w:val="none"/>
              </w:rPr>
              <w:t>期限</w:t>
            </w:r>
          </w:p>
        </w:tc>
        <w:tc>
          <w:tcPr>
            <w:tcW w:w="75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3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采用</w:t>
            </w:r>
            <w:r>
              <w:rPr>
                <w:rFonts w:hint="eastAsia" w:ascii="宋体" w:hAnsi="宋体" w:eastAsia="宋体" w:cs="宋体"/>
                <w:color w:val="auto"/>
                <w:sz w:val="24"/>
                <w:szCs w:val="24"/>
                <w:highlight w:val="none"/>
                <w:lang w:val="en-US" w:eastAsia="zh-CN"/>
              </w:rPr>
              <w:t>1+1模式，具体执行时间以</w:t>
            </w:r>
            <w:r>
              <w:rPr>
                <w:rFonts w:hint="eastAsia" w:ascii="宋体" w:hAnsi="宋体" w:eastAsia="宋体" w:cs="宋体"/>
                <w:color w:val="auto"/>
                <w:sz w:val="24"/>
                <w:szCs w:val="24"/>
                <w:highlight w:val="none"/>
              </w:rPr>
              <w:t>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5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踏勘现场</w:t>
            </w:r>
          </w:p>
        </w:tc>
        <w:tc>
          <w:tcPr>
            <w:tcW w:w="7552"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rPr>
              <w:sym w:font="Wingdings" w:char="F0FE"/>
            </w:r>
            <w:r>
              <w:rPr>
                <w:rFonts w:hint="eastAsia" w:ascii="宋体" w:hAnsi="宋体" w:eastAsia="宋体" w:cs="宋体"/>
                <w:bCs/>
                <w:color w:val="auto"/>
                <w:sz w:val="24"/>
                <w:szCs w:val="24"/>
                <w:highlight w:val="none"/>
              </w:rPr>
              <w:t xml:space="preserve">自行踏勘  </w:t>
            </w:r>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5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投标文件</w:t>
            </w:r>
            <w:r>
              <w:rPr>
                <w:rFonts w:hint="eastAsia" w:ascii="宋体" w:hAnsi="宋体" w:cs="宋体"/>
                <w:bCs/>
                <w:color w:val="auto"/>
                <w:sz w:val="24"/>
                <w:szCs w:val="24"/>
                <w:highlight w:val="none"/>
                <w:lang w:eastAsia="zh-CN"/>
              </w:rPr>
              <w:t>、样品</w:t>
            </w:r>
          </w:p>
        </w:tc>
        <w:tc>
          <w:tcPr>
            <w:tcW w:w="75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b/>
                <w:bCs/>
                <w:color w:val="auto"/>
                <w:sz w:val="24"/>
                <w:szCs w:val="24"/>
                <w:highlight w:val="none"/>
                <w:lang w:eastAsia="zh-CN"/>
              </w:rPr>
            </w:pP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正、副本各一，装订成册并封装于一个文件袋内</w:t>
            </w:r>
            <w:r>
              <w:rPr>
                <w:rFonts w:hint="eastAsia" w:ascii="宋体" w:hAnsi="宋体" w:cs="宋体"/>
                <w:color w:val="auto"/>
                <w:kern w:val="0"/>
                <w:sz w:val="24"/>
                <w:szCs w:val="24"/>
                <w:highlight w:val="none"/>
                <w:lang w:eastAsia="zh-CN"/>
              </w:rPr>
              <w:t>，样品</w:t>
            </w:r>
            <w:r>
              <w:rPr>
                <w:rStyle w:val="153"/>
                <w:rFonts w:hint="eastAsia" w:ascii="宋体" w:hAnsi="宋体" w:cs="宋体"/>
                <w:color w:val="auto"/>
                <w:sz w:val="24"/>
                <w:szCs w:val="24"/>
                <w:highlight w:val="none"/>
                <w:lang w:eastAsia="zh-CN"/>
              </w:rPr>
              <w:t>统一在早上八</w:t>
            </w:r>
            <w:r>
              <w:rPr>
                <w:rStyle w:val="153"/>
                <w:rFonts w:hint="eastAsia" w:ascii="宋体" w:hAnsi="宋体" w:cs="宋体"/>
                <w:color w:val="auto"/>
                <w:sz w:val="24"/>
                <w:szCs w:val="24"/>
                <w:highlight w:val="none"/>
                <w:lang w:val="en-US" w:eastAsia="zh-CN"/>
              </w:rPr>
              <w:t>点送到酒店提前自行烤制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5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p>
          <w:p>
            <w:pPr>
              <w:spacing w:line="500" w:lineRule="exact"/>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及地点</w:t>
            </w:r>
          </w:p>
        </w:tc>
        <w:tc>
          <w:tcPr>
            <w:tcW w:w="75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val="zh-CN"/>
              </w:rPr>
              <w:t>详见招标公告</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val="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5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w:t>
            </w:r>
          </w:p>
        </w:tc>
        <w:tc>
          <w:tcPr>
            <w:tcW w:w="75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p>
        </w:tc>
        <w:tc>
          <w:tcPr>
            <w:tcW w:w="15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履约保证金</w:t>
            </w:r>
          </w:p>
        </w:tc>
        <w:tc>
          <w:tcPr>
            <w:tcW w:w="75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1.履约保证金数额：中标价的</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pacing w:line="440" w:lineRule="exact"/>
              <w:ind w:left="841" w:hanging="84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2.收受方式为：□现金保证□现金支票□银行汇票</w:t>
            </w:r>
          </w:p>
          <w:p>
            <w:pPr>
              <w:spacing w:line="440" w:lineRule="exact"/>
              <w:ind w:left="839" w:leftChars="114" w:hanging="600" w:hanging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□银行保函☑银行转账□工程担保□保证保险</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3.收受人为:□招标人、</w:t>
            </w:r>
            <w:r>
              <w:rPr>
                <w:rFonts w:hint="eastAsia" w:ascii="宋体" w:hAnsi="宋体" w:eastAsia="宋体" w:cs="宋体"/>
                <w:color w:val="auto"/>
                <w:sz w:val="24"/>
                <w:szCs w:val="24"/>
                <w:highlight w:val="none"/>
              </w:rPr>
              <w:sym w:font="Wingdings" w:char="F0FE"/>
            </w:r>
            <w:r>
              <w:rPr>
                <w:rFonts w:hint="eastAsia" w:ascii="宋体" w:hAnsi="宋体" w:eastAsia="宋体" w:cs="宋体"/>
                <w:color w:val="auto"/>
                <w:sz w:val="24"/>
                <w:szCs w:val="24"/>
                <w:highlight w:val="none"/>
              </w:rPr>
              <w:t>委托人</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4.提交时限：合同签订前按规定提交履约保证金，若中标人在规定时限内未提交保证金的，招标人将书面通知中标人，5日内不能办理的，招标人将有权取消其中标资格。</w:t>
            </w:r>
          </w:p>
          <w:p>
            <w:pPr>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5.退还：</w:t>
            </w:r>
            <w:r>
              <w:rPr>
                <w:rFonts w:hint="eastAsia" w:ascii="宋体" w:hAnsi="宋体" w:eastAsia="宋体" w:cs="宋体"/>
                <w:color w:val="auto"/>
                <w:sz w:val="24"/>
                <w:szCs w:val="24"/>
                <w:highlight w:val="none"/>
                <w:u w:val="single"/>
              </w:rPr>
              <w:t>合同签订后若双方无任何争议的情况下满三个月招标人一次性退还（无息）。</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6.如采用银行保函，银行保函由合肥本地银行或在合肥具有分支机构的银行出具的见索即付无条件保函。</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7.如采用工程担保，工程担保由注册地在合肥市或在合肥具有分支机构的国有担保公司出具的无条件担保。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p>
        </w:tc>
        <w:tc>
          <w:tcPr>
            <w:tcW w:w="15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投标保证金金额</w:t>
            </w:r>
          </w:p>
        </w:tc>
        <w:tc>
          <w:tcPr>
            <w:tcW w:w="75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lang w:val="en-US" w:eastAsia="zh-CN"/>
              </w:rPr>
              <w:t>伍</w:t>
            </w:r>
            <w:r>
              <w:rPr>
                <w:rFonts w:hint="eastAsia" w:ascii="宋体" w:hAnsi="宋体" w:eastAsia="宋体" w:cs="宋体"/>
                <w:color w:val="auto"/>
                <w:sz w:val="24"/>
                <w:szCs w:val="24"/>
                <w:highlight w:val="none"/>
                <w:u w:val="single"/>
              </w:rPr>
              <w:t>仟元整（小写：</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000.00）</w:t>
            </w:r>
            <w:r>
              <w:rPr>
                <w:rFonts w:hint="eastAsia" w:ascii="宋体" w:hAnsi="宋体" w:eastAsia="宋体" w:cs="宋体"/>
                <w:color w:val="auto"/>
                <w:sz w:val="24"/>
                <w:szCs w:val="24"/>
                <w:highlight w:val="none"/>
              </w:rPr>
              <w:t>，投标保证金应当在报名截止时间前足额到达本次招标公告指定账号（项目多标的，应向所投标的对应账号交纳），且应当从投标人本单位账号转出。</w:t>
            </w:r>
          </w:p>
          <w:p>
            <w:pPr>
              <w:widowControl/>
              <w:spacing w:line="440" w:lineRule="exact"/>
              <w:jc w:val="left"/>
              <w:rPr>
                <w:rFonts w:hint="eastAsia" w:ascii="宋体" w:hAnsi="宋体" w:eastAsia="宋体" w:cs="宋体"/>
                <w:color w:val="auto"/>
                <w:spacing w:val="-5"/>
                <w:sz w:val="24"/>
                <w:szCs w:val="24"/>
                <w:highlight w:val="none"/>
              </w:rPr>
            </w:pPr>
            <w:r>
              <w:rPr>
                <w:rFonts w:hint="eastAsia" w:ascii="宋体" w:hAnsi="宋体" w:eastAsia="宋体" w:cs="宋体"/>
                <w:color w:val="auto"/>
                <w:sz w:val="24"/>
                <w:szCs w:val="24"/>
                <w:highlight w:val="none"/>
              </w:rPr>
              <w:t>详见招标文件第三章投标人须知第2条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15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投标保证金交纳账号</w:t>
            </w:r>
          </w:p>
        </w:tc>
        <w:tc>
          <w:tcPr>
            <w:tcW w:w="75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单位名称：合肥文旅博览集团有限公司</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开户银行账号：1302010509200182305</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开户银行：中国工商银行合肥望江路支行</w:t>
            </w:r>
          </w:p>
          <w:p>
            <w:pPr>
              <w:widowControl/>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pPr>
              <w:widowControl/>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（1）转帐时请备注“××项目投标保证金，并将转账凭证扫描件发送至31833846@qq.com邮箱；</w:t>
            </w:r>
          </w:p>
          <w:p>
            <w:pPr>
              <w:widowControl/>
              <w:spacing w:line="440" w:lineRule="exact"/>
              <w:jc w:val="left"/>
              <w:rPr>
                <w:rFonts w:hint="eastAsia" w:ascii="宋体" w:hAnsi="宋体" w:eastAsia="宋体" w:cs="宋体"/>
                <w:color w:val="auto"/>
                <w:spacing w:val="-5"/>
                <w:sz w:val="24"/>
                <w:szCs w:val="24"/>
                <w:highlight w:val="none"/>
              </w:rPr>
            </w:pPr>
            <w:r>
              <w:rPr>
                <w:rFonts w:hint="eastAsia" w:ascii="宋体" w:hAnsi="宋体" w:eastAsia="宋体" w:cs="宋体"/>
                <w:color w:val="auto"/>
                <w:sz w:val="24"/>
                <w:szCs w:val="24"/>
                <w:highlight w:val="none"/>
              </w:rPr>
              <w:t>（2）投标保证金缴纳截止日为报名截止日。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5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投标人信用记录</w:t>
            </w:r>
          </w:p>
        </w:tc>
        <w:tc>
          <w:tcPr>
            <w:tcW w:w="75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投标文件中须提供投标人信用承诺（格式见第七章“投标人信用承诺”）“投标人信用承诺”须盖投标人公章。</w:t>
            </w:r>
            <w:r>
              <w:rPr>
                <w:rFonts w:hint="eastAsia" w:ascii="宋体" w:hAnsi="宋体" w:eastAsia="宋体" w:cs="宋体"/>
                <w:b/>
                <w:color w:val="auto"/>
                <w:sz w:val="24"/>
                <w:szCs w:val="24"/>
                <w:highlight w:val="none"/>
              </w:rPr>
              <w:t>（未提供或提供不符合的，投标无效）</w:t>
            </w:r>
          </w:p>
        </w:tc>
      </w:tr>
    </w:tbl>
    <w:p>
      <w:pPr>
        <w:pStyle w:val="6"/>
        <w:spacing w:before="0" w:line="500" w:lineRule="exact"/>
        <w:ind w:firstLine="0"/>
        <w:rPr>
          <w:rFonts w:hint="eastAsia" w:ascii="宋体" w:hAnsi="宋体" w:eastAsia="宋体"/>
          <w:color w:val="auto"/>
          <w:highlight w:val="none"/>
        </w:rPr>
      </w:pPr>
      <w:bookmarkStart w:id="7" w:name="_Hlt509650932"/>
      <w:bookmarkEnd w:id="7"/>
      <w:bookmarkStart w:id="8" w:name="_Hlt509649678"/>
      <w:bookmarkEnd w:id="8"/>
      <w:bookmarkStart w:id="9" w:name="_Hlt519045778"/>
      <w:bookmarkEnd w:id="9"/>
      <w:bookmarkStart w:id="10" w:name="_Hlt509649795"/>
      <w:bookmarkEnd w:id="10"/>
      <w:bookmarkStart w:id="11" w:name="_Hlt509649669"/>
      <w:bookmarkEnd w:id="11"/>
      <w:bookmarkStart w:id="12" w:name="_Hlt509650936"/>
      <w:bookmarkEnd w:id="12"/>
      <w:bookmarkStart w:id="13" w:name="_Hlt509650116"/>
      <w:bookmarkEnd w:id="13"/>
      <w:bookmarkStart w:id="14" w:name="_Hlt509650690"/>
      <w:bookmarkEnd w:id="14"/>
      <w:bookmarkStart w:id="15" w:name="_Hlt509650027"/>
      <w:bookmarkEnd w:id="15"/>
      <w:bookmarkStart w:id="16" w:name="_Hlt526418153"/>
      <w:bookmarkEnd w:id="16"/>
      <w:bookmarkStart w:id="17" w:name="_Hlt509650929"/>
      <w:bookmarkEnd w:id="17"/>
      <w:bookmarkStart w:id="18" w:name="_Hlt509650333"/>
      <w:bookmarkEnd w:id="18"/>
      <w:bookmarkStart w:id="19" w:name="_Hlt509650961"/>
      <w:bookmarkEnd w:id="19"/>
      <w:bookmarkStart w:id="20" w:name="_Hlt509649645"/>
      <w:bookmarkEnd w:id="20"/>
      <w:bookmarkStart w:id="21" w:name="_Hlt509649330"/>
      <w:bookmarkEnd w:id="21"/>
      <w:bookmarkStart w:id="22" w:name="_Hlt509650103"/>
      <w:bookmarkEnd w:id="22"/>
      <w:bookmarkStart w:id="23" w:name="_Toc459990137"/>
      <w:bookmarkStart w:id="24" w:name="_Toc508363589"/>
    </w:p>
    <w:p>
      <w:pPr>
        <w:rPr>
          <w:rFonts w:hint="eastAsia"/>
        </w:rPr>
      </w:pPr>
    </w:p>
    <w:p>
      <w:pPr>
        <w:pStyle w:val="6"/>
        <w:spacing w:before="0" w:line="500" w:lineRule="exact"/>
        <w:ind w:firstLine="0"/>
        <w:rPr>
          <w:rFonts w:ascii="宋体" w:hAnsi="宋体" w:eastAsia="宋体"/>
          <w:color w:val="auto"/>
          <w:highlight w:val="none"/>
        </w:rPr>
      </w:pPr>
      <w:bookmarkStart w:id="25" w:name="_Toc12260"/>
      <w:r>
        <w:rPr>
          <w:rFonts w:hint="eastAsia" w:ascii="宋体" w:hAnsi="宋体" w:eastAsia="宋体"/>
          <w:color w:val="auto"/>
          <w:highlight w:val="none"/>
        </w:rPr>
        <w:t>第三章 投标人须知</w:t>
      </w:r>
      <w:bookmarkEnd w:id="25"/>
      <w:bookmarkStart w:id="26" w:name="_Toc459990138"/>
    </w:p>
    <w:p>
      <w:pPr>
        <w:pStyle w:val="7"/>
        <w:spacing w:line="360" w:lineRule="auto"/>
        <w:ind w:firstLine="628"/>
        <w:rPr>
          <w:rFonts w:hAnsi="宋体"/>
          <w:color w:val="auto"/>
          <w:sz w:val="28"/>
          <w:highlight w:val="none"/>
        </w:rPr>
      </w:pPr>
      <w:bookmarkStart w:id="27" w:name="_Toc23657"/>
      <w:r>
        <w:rPr>
          <w:rFonts w:hint="eastAsia" w:hAnsi="宋体"/>
          <w:color w:val="auto"/>
          <w:sz w:val="28"/>
          <w:highlight w:val="none"/>
        </w:rPr>
        <w:t>一．投标文件的编制</w:t>
      </w:r>
      <w:bookmarkEnd w:id="26"/>
      <w:bookmarkEnd w:id="27"/>
    </w:p>
    <w:p>
      <w:pPr>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1.投标文件的编写要求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1.1投标人须以招标人正式发布的《招标文件》为制作《投标文件》的依据；</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1.2投标人应仔细阅读招标文件的所有内容，按招标文件的要求提供投标文件，并保证所提供的全部资料真实有效；</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1.3投标文件的书面内容不得涂抹或改写；</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1.4满足本招标文件规定的其它要求。</w:t>
      </w:r>
    </w:p>
    <w:p>
      <w:pPr>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2.投标文件由以下部分构成</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2.1投标承诺书、开标一览表、分项报价表、投标事项承诺原件等；</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2.2投标人资质证明文件复印件、法人和授权代表人身份证复印件；</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2.3投标人同类项目合同及投标人其它说明文件等；</w:t>
      </w:r>
    </w:p>
    <w:p>
      <w:pPr>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3.投标报价说明及依据</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3.1招标内容、采购清单及有关文件等；</w:t>
      </w:r>
    </w:p>
    <w:p>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3.2国家、行业、地方有关技术标准规范；</w:t>
      </w:r>
    </w:p>
    <w:p>
      <w:pPr>
        <w:pageBreakBefore w:val="0"/>
        <w:widowControl/>
        <w:kinsoku/>
        <w:wordWrap/>
        <w:overflowPunct/>
        <w:topLinePunct w:val="0"/>
        <w:autoSpaceDE/>
        <w:autoSpaceDN/>
        <w:bidi w:val="0"/>
        <w:spacing w:line="360" w:lineRule="auto"/>
        <w:ind w:firstLine="46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3.3投标方需按照《投标分项报价表》格式做报价清单，所有价格均为到达项目所在工地含税（增值税专用发票）报价。</w:t>
      </w:r>
    </w:p>
    <w:p>
      <w:pPr>
        <w:pageBreakBefore w:val="0"/>
        <w:widowControl/>
        <w:kinsoku/>
        <w:wordWrap/>
        <w:overflowPunct/>
        <w:topLinePunct w:val="0"/>
        <w:autoSpaceDE/>
        <w:autoSpaceDN/>
        <w:bidi w:val="0"/>
        <w:spacing w:line="360" w:lineRule="auto"/>
        <w:ind w:firstLine="46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4.投标人接到招标文件后,认真审阅和全面理解招标文件中所有的须知、条件、格式、条款和图纸，如果投标人的投标文件不符合招标文件要求，该投标文件将被拒绝，责任自负。</w:t>
      </w:r>
    </w:p>
    <w:p>
      <w:pPr>
        <w:keepNext/>
        <w:keepLines/>
        <w:pageBreakBefore w:val="0"/>
        <w:kinsoku/>
        <w:wordWrap/>
        <w:overflowPunct/>
        <w:topLinePunct w:val="0"/>
        <w:autoSpaceDE/>
        <w:autoSpaceDN/>
        <w:bidi w:val="0"/>
        <w:spacing w:before="260" w:after="260" w:line="360" w:lineRule="auto"/>
        <w:ind w:firstLine="628"/>
        <w:jc w:val="center"/>
        <w:textAlignment w:val="auto"/>
        <w:outlineLvl w:val="2"/>
        <w:rPr>
          <w:rFonts w:hint="eastAsia" w:ascii="宋体" w:hAnsi="宋体" w:eastAsia="宋体" w:cs="宋体"/>
          <w:b/>
          <w:bCs/>
          <w:color w:val="auto"/>
          <w:sz w:val="24"/>
          <w:szCs w:val="24"/>
          <w:highlight w:val="none"/>
        </w:rPr>
      </w:pPr>
      <w:bookmarkStart w:id="28" w:name="_Toc19773335"/>
      <w:bookmarkStart w:id="29" w:name="_Toc22888331"/>
      <w:r>
        <w:rPr>
          <w:rFonts w:hint="eastAsia" w:ascii="宋体" w:hAnsi="宋体" w:eastAsia="宋体" w:cs="宋体"/>
          <w:b/>
          <w:bCs/>
          <w:color w:val="auto"/>
          <w:sz w:val="24"/>
          <w:szCs w:val="24"/>
          <w:highlight w:val="none"/>
        </w:rPr>
        <w:t>二．投标保证金的缴纳</w:t>
      </w:r>
      <w:bookmarkEnd w:id="28"/>
      <w:bookmarkEnd w:id="29"/>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1投标前，投标人应向文旅博览集团提交投标人须知前附表规定金额的投标保证金，作为投标的一部分，投标保证金应当从投标人账户转出，并在报名截止时间前足额到达招标公告指定账号。</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开标后，文旅博览集团将从投标保证金查询系统中查询投标保证金信息，并提交评标委员会评审。</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投标保证金可采取下列任何一种形式：</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2.1异地电汇；</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2.2本地转帐。</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文旅博览集团不接收以现金或汇票形式递交的投标保证金；投标保证金交纳人名称与投标人名称应当一致。分公司或子公司代缴投标保证金，视同名称不一致。投标保证金交纳人名称与投标人名称不一致的，投标无效。</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4未按要求提交投标保证金的投标，将被视为非响应性投标而导致投标无效。</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招标人最迟应当在书面合同签订后5日内向中标人和未中标的投标人退还投标保证金（不计息）。投标保证金只退还至投标人账户。</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6有下列情形之一的，招标人不予退还投标保证金：</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6.1投标人在规定的投标有效期内撤回或修改其投标；</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中标候选人无正当理由放弃中标项目资格的；或中标人无正当理由不与招标人签订合同的；或中标人在签订合同时向招标人提出附加条件或者更改合同实质性内容的；或中标人不提交招标文件所要求的履约保证金的。</w:t>
      </w:r>
    </w:p>
    <w:p>
      <w:pPr>
        <w:pageBreakBefore w:val="0"/>
        <w:widowControl/>
        <w:kinsoku/>
        <w:wordWrap/>
        <w:overflowPunct/>
        <w:topLinePunct w:val="0"/>
        <w:autoSpaceDE/>
        <w:autoSpaceDN/>
        <w:bidi w:val="0"/>
        <w:spacing w:line="360" w:lineRule="auto"/>
        <w:ind w:firstLine="46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7由于投标人行为导致招标人或文旅博览集团损失的，相应损失由投标人承担，从投标保证金中扣除。投标保证金扣除后仍不足以弥补损失的，投标人应当对超过部分予以赔偿。</w:t>
      </w:r>
    </w:p>
    <w:p>
      <w:pPr>
        <w:pStyle w:val="7"/>
        <w:pageBreakBefore w:val="0"/>
        <w:kinsoku/>
        <w:wordWrap/>
        <w:overflowPunct/>
        <w:topLinePunct w:val="0"/>
        <w:autoSpaceDE/>
        <w:autoSpaceDN/>
        <w:bidi w:val="0"/>
        <w:spacing w:line="360" w:lineRule="auto"/>
        <w:ind w:firstLine="628"/>
        <w:textAlignment w:val="auto"/>
        <w:rPr>
          <w:rFonts w:hint="eastAsia" w:ascii="宋体" w:hAnsi="宋体" w:eastAsia="宋体" w:cs="宋体"/>
          <w:color w:val="auto"/>
          <w:sz w:val="24"/>
          <w:szCs w:val="24"/>
          <w:highlight w:val="none"/>
        </w:rPr>
      </w:pPr>
      <w:bookmarkStart w:id="30" w:name="_Toc459990139"/>
      <w:bookmarkStart w:id="31" w:name="_Toc28160"/>
      <w:r>
        <w:rPr>
          <w:rFonts w:hint="eastAsia" w:ascii="宋体" w:hAnsi="宋体" w:eastAsia="宋体" w:cs="宋体"/>
          <w:color w:val="auto"/>
          <w:sz w:val="24"/>
          <w:szCs w:val="24"/>
          <w:highlight w:val="none"/>
        </w:rPr>
        <w:t>三．投标文件的递交</w:t>
      </w:r>
      <w:bookmarkEnd w:id="30"/>
      <w:bookmarkEnd w:id="31"/>
      <w:bookmarkStart w:id="32" w:name="_Hlt509649414"/>
      <w:bookmarkEnd w:id="32"/>
    </w:p>
    <w:bookmarkEnd w:id="23"/>
    <w:bookmarkEnd w:id="24"/>
    <w:p>
      <w:pPr>
        <w:pageBreakBefore w:val="0"/>
        <w:widowControl/>
        <w:kinsoku/>
        <w:wordWrap/>
        <w:overflowPunct/>
        <w:topLinePunct w:val="0"/>
        <w:autoSpaceDE/>
        <w:autoSpaceDN/>
        <w:bidi w:val="0"/>
        <w:spacing w:line="360" w:lineRule="auto"/>
        <w:textAlignment w:val="auto"/>
        <w:rPr>
          <w:rFonts w:hint="eastAsia" w:ascii="宋体" w:hAnsi="宋体" w:eastAsia="宋体" w:cs="宋体"/>
          <w:b/>
          <w:color w:val="000000"/>
          <w:kern w:val="0"/>
          <w:sz w:val="24"/>
          <w:szCs w:val="24"/>
        </w:rPr>
      </w:pPr>
      <w:bookmarkStart w:id="33" w:name="_Toc459990140"/>
      <w:bookmarkStart w:id="34" w:name="_Toc516969091"/>
      <w:bookmarkStart w:id="35" w:name="_Toc459990141"/>
      <w:r>
        <w:rPr>
          <w:rFonts w:hint="eastAsia" w:ascii="宋体" w:hAnsi="宋体" w:eastAsia="宋体" w:cs="宋体"/>
          <w:b/>
          <w:color w:val="auto"/>
          <w:kern w:val="0"/>
          <w:sz w:val="24"/>
          <w:szCs w:val="24"/>
          <w:highlight w:val="none"/>
        </w:rPr>
        <w:t xml:space="preserve"> </w:t>
      </w:r>
      <w:r>
        <w:rPr>
          <w:rFonts w:hint="eastAsia" w:ascii="宋体" w:hAnsi="宋体" w:eastAsia="宋体" w:cs="宋体"/>
          <w:b/>
          <w:color w:val="000000"/>
          <w:kern w:val="0"/>
          <w:sz w:val="24"/>
          <w:szCs w:val="24"/>
        </w:rPr>
        <w:t xml:space="preserve">  1、投标文件的密封和标记</w:t>
      </w:r>
    </w:p>
    <w:p>
      <w:pPr>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1.1投标文件应装订成册、密封，并在封面注明招标编号、投标项目等，同时在密封处加盖骑缝章；</w:t>
      </w:r>
    </w:p>
    <w:p>
      <w:pPr>
        <w:pageBreakBefore w:val="0"/>
        <w:widowControl/>
        <w:kinsoku/>
        <w:wordWrap/>
        <w:overflowPunct/>
        <w:topLinePunct w:val="0"/>
        <w:autoSpaceDE/>
        <w:autoSpaceDN/>
        <w:bidi w:val="0"/>
        <w:spacing w:line="360" w:lineRule="auto"/>
        <w:jc w:val="left"/>
        <w:textAlignment w:val="auto"/>
        <w:rPr>
          <w:rFonts w:hint="eastAsia" w:ascii="宋体" w:hAnsi="宋体" w:eastAsia="宋体" w:cs="宋体"/>
          <w:bCs/>
          <w:color w:val="000000"/>
          <w:kern w:val="0"/>
          <w:sz w:val="24"/>
          <w:szCs w:val="24"/>
        </w:rPr>
      </w:pPr>
      <w:r>
        <w:rPr>
          <w:rFonts w:hint="eastAsia" w:ascii="宋体" w:hAnsi="宋体" w:eastAsia="宋体" w:cs="宋体"/>
          <w:color w:val="000000"/>
          <w:kern w:val="0"/>
          <w:sz w:val="24"/>
          <w:szCs w:val="24"/>
        </w:rPr>
        <w:t xml:space="preserve">    1.2投标文件要求：</w:t>
      </w:r>
      <w:r>
        <w:rPr>
          <w:rFonts w:hint="eastAsia" w:ascii="宋体" w:hAnsi="宋体" w:eastAsia="宋体" w:cs="宋体"/>
          <w:bCs/>
          <w:color w:val="000000"/>
          <w:kern w:val="0"/>
          <w:sz w:val="24"/>
          <w:szCs w:val="24"/>
        </w:rPr>
        <w:t>正、副本各一份。</w:t>
      </w:r>
    </w:p>
    <w:p>
      <w:pPr>
        <w:pageBreakBefore w:val="0"/>
        <w:kinsoku/>
        <w:wordWrap/>
        <w:overflowPunct/>
        <w:topLinePunct w:val="0"/>
        <w:autoSpaceDE/>
        <w:autoSpaceDN/>
        <w:bidi w:val="0"/>
        <w:spacing w:line="360" w:lineRule="auto"/>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    2、投标文件的递交、修改和撤回</w:t>
      </w:r>
    </w:p>
    <w:p>
      <w:pPr>
        <w:pageBreakBefore w:val="0"/>
        <w:kinsoku/>
        <w:wordWrap/>
        <w:overflowPunct/>
        <w:topLinePunct w:val="0"/>
        <w:autoSpaceDE/>
        <w:autoSpaceDN/>
        <w:bidi w:val="0"/>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2.1投标人应在投标截止时间前将密封合格的投标文件送达开标现场；</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2.2投标人递交投标文件后，可修改或撤回投标文件，但必须在投标截止时间前书面通知招标人；投标截止后不得修改或撤回投标文件。</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2.3投标人的修改书或撤回通知书，应按规定进行编制、密封、标记和递交，且在内层信封上标明“修改”或“撤回”字样。</w:t>
      </w:r>
    </w:p>
    <w:p>
      <w:pPr>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rPr>
      </w:pPr>
    </w:p>
    <w:p>
      <w:pPr>
        <w:pStyle w:val="7"/>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bookmarkStart w:id="36" w:name="_Toc31798"/>
      <w:r>
        <w:rPr>
          <w:rFonts w:hint="eastAsia" w:ascii="宋体" w:hAnsi="宋体" w:eastAsia="宋体" w:cs="宋体"/>
          <w:color w:val="auto"/>
          <w:sz w:val="24"/>
          <w:szCs w:val="24"/>
          <w:highlight w:val="none"/>
        </w:rPr>
        <w:t>四．</w:t>
      </w:r>
      <w:bookmarkEnd w:id="33"/>
      <w:r>
        <w:rPr>
          <w:rFonts w:hint="eastAsia" w:ascii="宋体" w:hAnsi="宋体" w:eastAsia="宋体" w:cs="宋体"/>
          <w:color w:val="auto"/>
          <w:sz w:val="24"/>
          <w:szCs w:val="24"/>
          <w:highlight w:val="none"/>
        </w:rPr>
        <w:t>开标、评标及定标</w:t>
      </w:r>
      <w:bookmarkEnd w:id="36"/>
    </w:p>
    <w:p>
      <w:pPr>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 xml:space="preserve"> 1.开标</w:t>
      </w:r>
    </w:p>
    <w:p>
      <w:pPr>
        <w:pageBreakBefore w:val="0"/>
        <w:kinsoku/>
        <w:wordWrap/>
        <w:overflowPunct/>
        <w:topLinePunct w:val="0"/>
        <w:autoSpaceDE/>
        <w:autoSpaceDN/>
        <w:bidi w:val="0"/>
        <w:spacing w:line="360" w:lineRule="auto"/>
        <w:ind w:firstLine="55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1.1</w:t>
      </w:r>
      <w:r>
        <w:rPr>
          <w:rFonts w:hint="eastAsia" w:ascii="宋体" w:hAnsi="宋体" w:eastAsia="宋体" w:cs="宋体"/>
          <w:color w:val="000000"/>
          <w:sz w:val="24"/>
          <w:szCs w:val="24"/>
        </w:rPr>
        <w:t>文旅博览集团将在招标公告（如有变更，以变更公告为准）规定的时间和地点组织公开开标。</w:t>
      </w:r>
    </w:p>
    <w:p>
      <w:pPr>
        <w:pageBreakBefore w:val="0"/>
        <w:widowControl/>
        <w:kinsoku/>
        <w:wordWrap/>
        <w:overflowPunct/>
        <w:topLinePunct w:val="0"/>
        <w:autoSpaceDE/>
        <w:autoSpaceDN/>
        <w:bidi w:val="0"/>
        <w:spacing w:line="360" w:lineRule="auto"/>
        <w:ind w:firstLine="600" w:firstLineChars="25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1.</w:t>
      </w:r>
      <w:r>
        <w:rPr>
          <w:rFonts w:hint="eastAsia" w:ascii="宋体" w:hAnsi="宋体" w:eastAsia="宋体" w:cs="宋体"/>
          <w:color w:val="000000"/>
          <w:kern w:val="0"/>
          <w:sz w:val="24"/>
          <w:szCs w:val="24"/>
        </w:rPr>
        <w:t>2投标人一名授权代表参加商务标的开标。（授权代表须出示身份证原件）</w:t>
      </w:r>
    </w:p>
    <w:p>
      <w:pPr>
        <w:pageBreakBefore w:val="0"/>
        <w:widowControl/>
        <w:kinsoku/>
        <w:wordWrap/>
        <w:overflowPunct/>
        <w:topLinePunct w:val="0"/>
        <w:autoSpaceDE/>
        <w:autoSpaceDN/>
        <w:bidi w:val="0"/>
        <w:spacing w:line="360" w:lineRule="auto"/>
        <w:ind w:firstLine="600" w:firstLineChars="25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w:t>
      </w:r>
      <w:r>
        <w:rPr>
          <w:rFonts w:hint="eastAsia" w:ascii="宋体" w:hAnsi="宋体" w:eastAsia="宋体" w:cs="宋体"/>
          <w:bCs/>
          <w:color w:val="000000"/>
          <w:sz w:val="24"/>
          <w:szCs w:val="24"/>
        </w:rPr>
        <w:t>开标时</w:t>
      </w:r>
      <w:r>
        <w:rPr>
          <w:rFonts w:hint="eastAsia" w:ascii="宋体" w:hAnsi="宋体" w:eastAsia="宋体" w:cs="宋体"/>
          <w:color w:val="000000"/>
          <w:sz w:val="24"/>
          <w:szCs w:val="24"/>
        </w:rPr>
        <w:t>，</w:t>
      </w:r>
      <w:r>
        <w:rPr>
          <w:rFonts w:hint="eastAsia" w:ascii="宋体" w:hAnsi="宋体" w:eastAsia="宋体" w:cs="宋体"/>
          <w:bCs/>
          <w:color w:val="000000"/>
          <w:sz w:val="24"/>
          <w:szCs w:val="24"/>
        </w:rPr>
        <w:t>文旅博览集团</w:t>
      </w:r>
      <w:r>
        <w:rPr>
          <w:rFonts w:hint="eastAsia" w:ascii="宋体" w:hAnsi="宋体" w:eastAsia="宋体" w:cs="宋体"/>
          <w:color w:val="000000"/>
          <w:sz w:val="24"/>
          <w:szCs w:val="24"/>
        </w:rPr>
        <w:t>查验投标文件的密封状况，确认无误后拆封唱标。</w:t>
      </w:r>
      <w:r>
        <w:rPr>
          <w:rFonts w:hint="eastAsia" w:ascii="宋体" w:hAnsi="宋体" w:eastAsia="宋体" w:cs="宋体"/>
          <w:bCs/>
          <w:color w:val="000000"/>
          <w:sz w:val="24"/>
          <w:szCs w:val="24"/>
        </w:rPr>
        <w:t>文旅博览集团将当众宣读</w:t>
      </w:r>
      <w:r>
        <w:rPr>
          <w:rFonts w:hint="eastAsia" w:ascii="宋体" w:hAnsi="宋体" w:eastAsia="宋体" w:cs="宋体"/>
          <w:color w:val="000000"/>
          <w:sz w:val="24"/>
          <w:szCs w:val="24"/>
        </w:rPr>
        <w:t>投标人名称、投标价格以及文旅博览集团认为合适的其它详细内容。</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2.投标文件的澄清、说明或补正</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2</w:t>
      </w:r>
      <w:r>
        <w:rPr>
          <w:rFonts w:hint="eastAsia" w:ascii="宋体" w:hAnsi="宋体" w:eastAsia="宋体" w:cs="宋体"/>
          <w:color w:val="000000"/>
          <w:sz w:val="24"/>
          <w:szCs w:val="24"/>
        </w:rPr>
        <w:t>.2投标文件中大写金额和小写金额不一致的，以大写金额为准；总价金额与按单价汇总金额不一致的，以单价金额计算结果为准；单价金额小数点有明显错位的，应以总价为准，并修改单价。</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2</w:t>
      </w:r>
      <w:r>
        <w:rPr>
          <w:rFonts w:hint="eastAsia" w:ascii="宋体" w:hAnsi="宋体" w:eastAsia="宋体" w:cs="宋体"/>
          <w:color w:val="000000"/>
          <w:sz w:val="24"/>
          <w:szCs w:val="24"/>
        </w:rPr>
        <w:t>.3开标一览表内容与投标文件中明细表内容不一致的，以开标一览表为准。</w:t>
      </w:r>
      <w:r>
        <w:rPr>
          <w:rFonts w:hint="eastAsia" w:ascii="宋体" w:hAnsi="宋体" w:eastAsia="宋体" w:cs="宋体"/>
          <w:bCs/>
          <w:color w:val="000000"/>
          <w:sz w:val="24"/>
          <w:szCs w:val="24"/>
        </w:rPr>
        <w:t>开标一览表内容与唱标信息内容不一致的，以开标一览表为准。</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2</w:t>
      </w:r>
      <w:r>
        <w:rPr>
          <w:rFonts w:hint="eastAsia" w:ascii="宋体" w:hAnsi="宋体" w:eastAsia="宋体" w:cs="宋体"/>
          <w:color w:val="000000"/>
          <w:sz w:val="24"/>
          <w:szCs w:val="24"/>
        </w:rPr>
        <w:t>.4 开标一览表中投标总价与投标文件中各分项报价汇总金额不一致的，按以下方式处理：</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2</w:t>
      </w:r>
      <w:r>
        <w:rPr>
          <w:rFonts w:hint="eastAsia" w:ascii="宋体" w:hAnsi="宋体" w:eastAsia="宋体" w:cs="宋体"/>
          <w:color w:val="000000"/>
          <w:sz w:val="24"/>
          <w:szCs w:val="24"/>
        </w:rPr>
        <w:t>.4.1 项目以投标总价结算的，以开标一览表中投标总价为准；</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2</w:t>
      </w:r>
      <w:r>
        <w:rPr>
          <w:rFonts w:hint="eastAsia" w:ascii="宋体" w:hAnsi="宋体" w:eastAsia="宋体" w:cs="宋体"/>
          <w:color w:val="000000"/>
          <w:sz w:val="24"/>
          <w:szCs w:val="24"/>
        </w:rPr>
        <w:t>.4.2项目以分项报价为准据实结算的，投标无效。</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
          <w:color w:val="auto"/>
          <w:sz w:val="24"/>
          <w:szCs w:val="24"/>
          <w:highlight w:val="none"/>
        </w:rPr>
        <w:t>评标</w:t>
      </w:r>
    </w:p>
    <w:p>
      <w:pPr>
        <w:pageBreakBefore w:val="0"/>
        <w:widowControl/>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3.1评标原则：</w:t>
      </w:r>
      <w:r>
        <w:rPr>
          <w:rFonts w:hint="eastAsia" w:ascii="宋体" w:hAnsi="宋体" w:eastAsia="宋体" w:cs="宋体"/>
          <w:color w:val="auto"/>
          <w:kern w:val="0"/>
          <w:sz w:val="24"/>
          <w:szCs w:val="24"/>
          <w:highlight w:val="none"/>
        </w:rPr>
        <w:t>遵循国家有关法律、法规，客观、公正地对待所有投标人，以招标文件作为评标的基本依据；凡涉及审查、评估和比较投标文件以及定标等意见，均不得向投标人及与评标无关的人员透露；</w:t>
      </w:r>
    </w:p>
    <w:p>
      <w:pPr>
        <w:pageBreakBefore w:val="0"/>
        <w:kinsoku/>
        <w:wordWrap/>
        <w:overflowPunct/>
        <w:topLinePunct w:val="0"/>
        <w:autoSpaceDE/>
        <w:autoSpaceDN/>
        <w:bidi w:val="0"/>
        <w:adjustRightInd w:val="0"/>
        <w:snapToGrid w:val="0"/>
        <w:spacing w:line="360" w:lineRule="auto"/>
        <w:ind w:right="-10" w:firstLine="540" w:firstLineChars="224"/>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3.2评标方法：</w:t>
      </w:r>
      <w:r>
        <w:rPr>
          <w:rFonts w:hint="eastAsia" w:ascii="宋体" w:hAnsi="宋体" w:eastAsia="宋体" w:cs="宋体"/>
          <w:bCs/>
          <w:color w:val="auto"/>
          <w:sz w:val="24"/>
          <w:szCs w:val="24"/>
          <w:highlight w:val="none"/>
        </w:rPr>
        <w:t>本次项目评标采用综合评分法作为对投标人标书的比较方法</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spacing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如符合专业条件的投标人或对招标文件作实质响应的投标人只有两家，评委会将视情况现场决定是否改为竞争性谈判。谈判并不限定只进行二轮报价，如果谈判小组认为有必要，可以要求投标人进行多轮报价。在谈判内容不做实质性变更及重大调整的前提下，投标人下轮报价不得高于上一轮报价。</w:t>
      </w:r>
    </w:p>
    <w:p>
      <w:pPr>
        <w:pageBreakBefore w:val="0"/>
        <w:kinsoku/>
        <w:wordWrap/>
        <w:overflowPunct/>
        <w:topLinePunct w:val="0"/>
        <w:autoSpaceDE/>
        <w:autoSpaceDN/>
        <w:bidi w:val="0"/>
        <w:spacing w:line="360" w:lineRule="auto"/>
        <w:ind w:firstLine="640" w:firstLineChars="2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评标委员会将按照招标文件规定的评标办法对投标人独立进行评审。</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有下列情形之一的，评标委员会应当否决其投标：</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3.6.1投标文件未经投标单位盖章和单位负责人签字；</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3.6.2投标联合体没有提交共同投标协议；</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3.6.3投标人不符合国家或者招标文件规定的资格条件；</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3.6.4同一投标人提交两个以上不同的投标文件或者投标报价，但招标文件要求提交备选投标的除外；</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3.6.5投标报价低于成本或者高于招标文件设定的最高投标限价；</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3.6.6投标文件没有对招标文件的实质性要求和条件作出响应；</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3.6.7投标人有串通投标、弄虚作假、行贿等违法行为；</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3.6.8评委委员会评议认为构成废标的其他情况；</w:t>
      </w:r>
    </w:p>
    <w:p>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3.6.9其他未实质性响应招标文件要求的。</w:t>
      </w:r>
    </w:p>
    <w:p>
      <w:pPr>
        <w:pageBreakBefore w:val="0"/>
        <w:kinsoku/>
        <w:wordWrap/>
        <w:overflowPunct/>
        <w:topLinePunct w:val="0"/>
        <w:autoSpaceDE/>
        <w:autoSpaceDN/>
        <w:bidi w:val="0"/>
        <w:spacing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3.7评审时，评标委员会将审查投标文件是否符合招标文件的评审指标要求。</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3.8如果投标文件未通过投标有效性评审，投标无效。</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3.9评标委员会决定投标文件的响应性及符合性只根据投标文件本身的内容，而不寻求其他外部证据。</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4.定标</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4.1评标委员会应当按招标文件规定的标准和方法提出独立评审意见，推荐中标候选人。</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4.3原则上把合同授予实质上响应招标文件要求的排名最前的中标候选人或通过上条资格审查的中标候选人。</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kern w:val="0"/>
          <w:sz w:val="24"/>
          <w:szCs w:val="24"/>
          <w:highlight w:val="none"/>
        </w:rPr>
        <w:t>招标人不承诺报价最低者能够中标。</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5.招标人一律不予退还投标人的投标文件。</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本招标文件所要求的证书、认证、资质，均应当是有权机构颁发，且在有效期内的。</w:t>
      </w:r>
    </w:p>
    <w:p>
      <w:pPr>
        <w:pStyle w:val="7"/>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bookmarkStart w:id="37" w:name="_Toc12119"/>
      <w:r>
        <w:rPr>
          <w:rFonts w:hint="eastAsia" w:ascii="宋体" w:hAnsi="宋体" w:eastAsia="宋体" w:cs="宋体"/>
          <w:color w:val="auto"/>
          <w:sz w:val="24"/>
          <w:szCs w:val="24"/>
          <w:highlight w:val="none"/>
        </w:rPr>
        <w:t>五. 投标信息发布</w:t>
      </w:r>
      <w:bookmarkEnd w:id="37"/>
    </w:p>
    <w:p>
      <w:pPr>
        <w:pageBreakBefore w:val="0"/>
        <w:kinsoku/>
        <w:wordWrap/>
        <w:overflowPunct/>
        <w:topLinePunct w:val="0"/>
        <w:autoSpaceDE/>
        <w:autoSpaceDN/>
        <w:bidi w:val="0"/>
        <w:spacing w:line="360" w:lineRule="auto"/>
        <w:ind w:firstLine="5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1.与本次招标活动相关的信息，将在合肥文旅博览集团有限公司网(</w:t>
      </w:r>
      <w:r>
        <w:rPr>
          <w:rFonts w:hint="eastAsia" w:ascii="宋体" w:hAnsi="宋体" w:eastAsia="宋体" w:cs="宋体"/>
          <w:color w:val="auto"/>
          <w:sz w:val="24"/>
          <w:szCs w:val="24"/>
          <w:highlight w:val="none"/>
          <w:u w:val="single"/>
        </w:rPr>
        <w:t>http://www.zwzcgl.com</w:t>
      </w:r>
      <w:r>
        <w:rPr>
          <w:rFonts w:hint="eastAsia" w:ascii="宋体" w:hAnsi="宋体" w:eastAsia="宋体" w:cs="宋体"/>
          <w:color w:val="auto"/>
          <w:sz w:val="24"/>
          <w:szCs w:val="24"/>
          <w:highlight w:val="none"/>
        </w:rPr>
        <w:t>)发布。</w:t>
      </w:r>
    </w:p>
    <w:p>
      <w:pPr>
        <w:pageBreakBefore w:val="0"/>
        <w:kinsoku/>
        <w:wordWrap/>
        <w:overflowPunct/>
        <w:topLinePunct w:val="0"/>
        <w:autoSpaceDE/>
        <w:autoSpaceDN/>
        <w:bidi w:val="0"/>
        <w:spacing w:line="360" w:lineRule="auto"/>
        <w:ind w:firstLine="5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文旅博览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文旅博览集团不承担投标人未及时关注相关信息引发的相关责任。</w:t>
      </w:r>
    </w:p>
    <w:p>
      <w:pPr>
        <w:pStyle w:val="7"/>
        <w:pageBreakBefore w:val="0"/>
        <w:kinsoku/>
        <w:wordWrap/>
        <w:overflowPunct/>
        <w:topLinePunct w:val="0"/>
        <w:autoSpaceDE/>
        <w:autoSpaceDN/>
        <w:bidi w:val="0"/>
        <w:spacing w:line="360" w:lineRule="auto"/>
        <w:ind w:firstLine="628"/>
        <w:textAlignment w:val="auto"/>
        <w:rPr>
          <w:rFonts w:hint="eastAsia" w:ascii="宋体" w:hAnsi="宋体" w:eastAsia="宋体" w:cs="宋体"/>
          <w:color w:val="auto"/>
          <w:sz w:val="24"/>
          <w:szCs w:val="24"/>
          <w:highlight w:val="none"/>
        </w:rPr>
      </w:pPr>
      <w:bookmarkStart w:id="38" w:name="_Toc18589"/>
      <w:r>
        <w:rPr>
          <w:rFonts w:hint="eastAsia" w:ascii="宋体" w:hAnsi="宋体" w:eastAsia="宋体" w:cs="宋体"/>
          <w:color w:val="auto"/>
          <w:sz w:val="24"/>
          <w:szCs w:val="24"/>
          <w:highlight w:val="none"/>
        </w:rPr>
        <w:t>六．投标文件的澄清</w:t>
      </w:r>
      <w:bookmarkEnd w:id="38"/>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1.为有助于投标文件的审查、评估和比较，招标人有权向投标人质疑并请投标人澄清其投标内容。投标人应当按照招标人通知的时间、地点，指派专人进行答疑和澄清。</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2.重要的澄清应是书面的，但不得对投标内容进行实质性修改。</w:t>
      </w:r>
    </w:p>
    <w:p>
      <w:pPr>
        <w:pStyle w:val="7"/>
        <w:pageBreakBefore w:val="0"/>
        <w:kinsoku/>
        <w:wordWrap/>
        <w:overflowPunct/>
        <w:topLinePunct w:val="0"/>
        <w:autoSpaceDE/>
        <w:autoSpaceDN/>
        <w:bidi w:val="0"/>
        <w:spacing w:line="360" w:lineRule="auto"/>
        <w:ind w:firstLine="628"/>
        <w:textAlignment w:val="auto"/>
        <w:rPr>
          <w:rFonts w:hint="eastAsia" w:ascii="宋体" w:hAnsi="宋体" w:eastAsia="宋体" w:cs="宋体"/>
          <w:color w:val="auto"/>
          <w:sz w:val="24"/>
          <w:szCs w:val="24"/>
          <w:highlight w:val="none"/>
        </w:rPr>
      </w:pPr>
      <w:bookmarkStart w:id="39" w:name="_Toc16639"/>
      <w:r>
        <w:rPr>
          <w:rFonts w:hint="eastAsia" w:ascii="宋体" w:hAnsi="宋体" w:eastAsia="宋体" w:cs="宋体"/>
          <w:color w:val="auto"/>
          <w:sz w:val="24"/>
          <w:szCs w:val="24"/>
          <w:highlight w:val="none"/>
        </w:rPr>
        <w:t>七.中标通知书</w:t>
      </w:r>
      <w:bookmarkEnd w:id="39"/>
    </w:p>
    <w:p>
      <w:pPr>
        <w:pStyle w:val="96"/>
        <w:pageBreakBefore w:val="0"/>
        <w:numPr>
          <w:ilvl w:val="0"/>
          <w:numId w:val="0"/>
        </w:numPr>
        <w:kinsoku/>
        <w:wordWrap/>
        <w:overflowPunct/>
        <w:topLinePunct w:val="0"/>
        <w:autoSpaceDE/>
        <w:autoSpaceDN/>
        <w:bidi w:val="0"/>
        <w:adjustRightInd/>
        <w:snapToGrid w:val="0"/>
        <w:spacing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文旅博览集团将以中标通知书形式通知中标人，其投标已被接受。</w:t>
      </w:r>
    </w:p>
    <w:p>
      <w:pPr>
        <w:pStyle w:val="96"/>
        <w:pageBreakBefore w:val="0"/>
        <w:numPr>
          <w:ilvl w:val="0"/>
          <w:numId w:val="0"/>
        </w:numPr>
        <w:kinsoku/>
        <w:wordWrap/>
        <w:overflowPunct/>
        <w:topLinePunct w:val="0"/>
        <w:autoSpaceDE/>
        <w:autoSpaceDN/>
        <w:bidi w:val="0"/>
        <w:adjustRightInd/>
        <w:snapToGrid w:val="0"/>
        <w:spacing w:line="360" w:lineRule="auto"/>
        <w:ind w:left="566"/>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文旅博览集团对未中标的投标人不做未中标原因的解释。</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3.中标公示期满后，中标人请在3个工作日内委派专人凭介绍信或公司授权书（须同时携带有效身份证明）领取中标通知书（联系人及联系方式：</w:t>
      </w:r>
      <w:r>
        <w:rPr>
          <w:rFonts w:hint="eastAsia" w:ascii="宋体" w:hAnsi="宋体" w:eastAsia="宋体" w:cs="宋体"/>
          <w:color w:val="auto"/>
          <w:sz w:val="24"/>
          <w:szCs w:val="24"/>
          <w:highlight w:val="none"/>
          <w:lang w:val="en-US" w:eastAsia="zh-CN"/>
        </w:rPr>
        <w:t>吴艺</w:t>
      </w:r>
      <w:r>
        <w:rPr>
          <w:rFonts w:hint="eastAsia" w:ascii="宋体" w:hAnsi="宋体" w:eastAsia="宋体" w:cs="宋体"/>
          <w:color w:val="auto"/>
          <w:sz w:val="24"/>
          <w:szCs w:val="24"/>
          <w:highlight w:val="none"/>
        </w:rPr>
        <w:t xml:space="preserve">  0551-63530687，地址：</w:t>
      </w:r>
      <w:r>
        <w:rPr>
          <w:rFonts w:hint="eastAsia" w:ascii="宋体" w:hAnsi="宋体" w:eastAsia="宋体" w:cs="宋体"/>
          <w:bCs/>
          <w:color w:val="auto"/>
          <w:sz w:val="24"/>
          <w:szCs w:val="24"/>
          <w:highlight w:val="none"/>
        </w:rPr>
        <w:t>合肥市蜀山区习友路与茂荫路交口投资大厦2楼招标采购部</w:t>
      </w:r>
      <w:r>
        <w:rPr>
          <w:rFonts w:hint="eastAsia" w:ascii="宋体" w:hAnsi="宋体" w:eastAsia="宋体" w:cs="宋体"/>
          <w:color w:val="auto"/>
          <w:sz w:val="24"/>
          <w:szCs w:val="24"/>
          <w:highlight w:val="none"/>
        </w:rPr>
        <w:t>）。</w:t>
      </w:r>
      <w:bookmarkEnd w:id="34"/>
      <w:bookmarkEnd w:id="35"/>
    </w:p>
    <w:p>
      <w:pPr>
        <w:pStyle w:val="7"/>
        <w:pageBreakBefore w:val="0"/>
        <w:kinsoku/>
        <w:wordWrap/>
        <w:overflowPunct/>
        <w:topLinePunct w:val="0"/>
        <w:autoSpaceDE/>
        <w:autoSpaceDN/>
        <w:bidi w:val="0"/>
        <w:spacing w:line="360" w:lineRule="auto"/>
        <w:ind w:firstLine="628"/>
        <w:textAlignment w:val="auto"/>
        <w:rPr>
          <w:rFonts w:hint="eastAsia" w:ascii="宋体" w:hAnsi="宋体" w:eastAsia="宋体" w:cs="宋体"/>
          <w:color w:val="auto"/>
          <w:sz w:val="24"/>
          <w:szCs w:val="24"/>
          <w:highlight w:val="none"/>
        </w:rPr>
      </w:pPr>
      <w:bookmarkStart w:id="40" w:name="_Toc13995"/>
      <w:r>
        <w:rPr>
          <w:rFonts w:hint="eastAsia" w:ascii="宋体" w:hAnsi="宋体" w:eastAsia="宋体" w:cs="宋体"/>
          <w:color w:val="auto"/>
          <w:sz w:val="24"/>
          <w:szCs w:val="24"/>
          <w:highlight w:val="none"/>
        </w:rPr>
        <w:t>八.异议处理</w:t>
      </w:r>
      <w:bookmarkEnd w:id="40"/>
    </w:p>
    <w:p>
      <w:pPr>
        <w:pageBreakBefore w:val="0"/>
        <w:kinsoku/>
        <w:wordWrap/>
        <w:overflowPunct/>
        <w:topLinePunct w:val="0"/>
        <w:autoSpaceDE/>
        <w:autoSpaceDN/>
        <w:bidi w:val="0"/>
        <w:spacing w:line="360" w:lineRule="auto"/>
        <w:ind w:firstLine="523" w:firstLineChars="218"/>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或者其他利害关系人对依法必须进行招标的项目的评标结果有异议的，应当在中标候选人公示期间，由投标人授权代表（或法定代表人）携带身份证明材料，以书面形式向文旅博览集团提出异议，逾期不予受理。</w:t>
      </w:r>
    </w:p>
    <w:p>
      <w:pPr>
        <w:pageBreakBefore w:val="0"/>
        <w:kinsoku/>
        <w:wordWrap/>
        <w:overflowPunct/>
        <w:topLinePunct w:val="0"/>
        <w:autoSpaceDE/>
        <w:autoSpaceDN/>
        <w:bidi w:val="0"/>
        <w:spacing w:line="360" w:lineRule="auto"/>
        <w:ind w:firstLine="523" w:firstLineChars="218"/>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2.异议书内容应包括异议的详细理由和依据，并提供有关证明资料。</w:t>
      </w:r>
    </w:p>
    <w:p>
      <w:pPr>
        <w:pageBreakBefore w:val="0"/>
        <w:kinsoku/>
        <w:wordWrap/>
        <w:overflowPunct/>
        <w:topLinePunct w:val="0"/>
        <w:autoSpaceDE/>
        <w:autoSpaceDN/>
        <w:bidi w:val="0"/>
        <w:spacing w:line="360" w:lineRule="auto"/>
        <w:ind w:firstLine="523" w:firstLineChars="218"/>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3.有以下情形之一的，视为无效异议：</w:t>
      </w:r>
    </w:p>
    <w:p>
      <w:pPr>
        <w:pageBreakBefore w:val="0"/>
        <w:kinsoku/>
        <w:wordWrap/>
        <w:overflowPunct/>
        <w:topLinePunct w:val="0"/>
        <w:autoSpaceDE/>
        <w:autoSpaceDN/>
        <w:bidi w:val="0"/>
        <w:spacing w:line="360" w:lineRule="auto"/>
        <w:ind w:firstLine="523" w:firstLineChars="218"/>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 未按规定时间或规定手续提交异议的；</w:t>
      </w:r>
    </w:p>
    <w:p>
      <w:pPr>
        <w:pageBreakBefore w:val="0"/>
        <w:kinsoku/>
        <w:wordWrap/>
        <w:overflowPunct/>
        <w:topLinePunct w:val="0"/>
        <w:autoSpaceDE/>
        <w:autoSpaceDN/>
        <w:bidi w:val="0"/>
        <w:spacing w:line="360" w:lineRule="auto"/>
        <w:ind w:firstLine="523" w:firstLineChars="218"/>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3.2异议内容含糊不清、没有提供详细理由和依据，无法进行核查的；</w:t>
      </w:r>
    </w:p>
    <w:p>
      <w:pPr>
        <w:pageBreakBefore w:val="0"/>
        <w:kinsoku/>
        <w:wordWrap/>
        <w:overflowPunct/>
        <w:topLinePunct w:val="0"/>
        <w:autoSpaceDE/>
        <w:autoSpaceDN/>
        <w:bidi w:val="0"/>
        <w:spacing w:line="360" w:lineRule="auto"/>
        <w:ind w:firstLine="523" w:firstLineChars="218"/>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3.3其他不符合异议程序和有关规定的。</w:t>
      </w:r>
    </w:p>
    <w:p>
      <w:pPr>
        <w:pageBreakBefore w:val="0"/>
        <w:kinsoku/>
        <w:wordWrap/>
        <w:overflowPunct/>
        <w:topLinePunct w:val="0"/>
        <w:autoSpaceDE/>
        <w:autoSpaceDN/>
        <w:bidi w:val="0"/>
        <w:spacing w:line="360" w:lineRule="auto"/>
        <w:ind w:firstLine="523" w:firstLineChars="218"/>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4.文旅博览集团将在收到书面质疑后5个工作日内审查异议事项，作出答复或相关处理决定，并以书面形式通知异议人，但答复的内容不涉及商业秘密。</w:t>
      </w:r>
    </w:p>
    <w:p>
      <w:pPr>
        <w:pStyle w:val="7"/>
        <w:pageBreakBefore w:val="0"/>
        <w:kinsoku/>
        <w:wordWrap/>
        <w:overflowPunct/>
        <w:topLinePunct w:val="0"/>
        <w:autoSpaceDE/>
        <w:autoSpaceDN/>
        <w:bidi w:val="0"/>
        <w:spacing w:line="360" w:lineRule="auto"/>
        <w:ind w:firstLine="628"/>
        <w:textAlignment w:val="auto"/>
        <w:rPr>
          <w:rFonts w:hint="eastAsia" w:ascii="宋体" w:hAnsi="宋体" w:eastAsia="宋体" w:cs="宋体"/>
          <w:color w:val="auto"/>
          <w:sz w:val="24"/>
          <w:szCs w:val="24"/>
          <w:highlight w:val="none"/>
        </w:rPr>
      </w:pPr>
      <w:bookmarkStart w:id="41" w:name="_Toc30427"/>
      <w:r>
        <w:rPr>
          <w:rFonts w:hint="eastAsia" w:ascii="宋体" w:hAnsi="宋体" w:eastAsia="宋体" w:cs="宋体"/>
          <w:color w:val="auto"/>
          <w:sz w:val="24"/>
          <w:szCs w:val="24"/>
          <w:highlight w:val="none"/>
        </w:rPr>
        <w:t>九．签订合同</w:t>
      </w:r>
      <w:bookmarkEnd w:id="41"/>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1.履约保证金</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dstrike/>
          <w:color w:val="auto"/>
          <w:sz w:val="24"/>
          <w:szCs w:val="24"/>
          <w:highlight w:val="none"/>
        </w:rPr>
      </w:pPr>
      <w:r>
        <w:rPr>
          <w:rFonts w:hint="eastAsia" w:ascii="宋体" w:hAnsi="宋体" w:eastAsia="宋体" w:cs="宋体"/>
          <w:color w:val="auto"/>
          <w:sz w:val="24"/>
          <w:szCs w:val="24"/>
          <w:highlight w:val="none"/>
        </w:rPr>
        <w:t>2.1签订合同前，投标人应提交履约保证金。履约保证金金额、收受方式及收受人见投标人须知前附表规定。</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2.2投标人须知前附表约定收取履约保证金或免收履约保证金的，从其规定。</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2.3如果中标人未按规定交纳履约保证金，招标人有权取消该授标，在此情况下招标人可将该标授予其下一个中标候选人，或重新招标。</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2.</w:t>
      </w:r>
      <w:r>
        <w:rPr>
          <w:rFonts w:hint="eastAsia" w:ascii="宋体" w:hAnsi="宋体" w:eastAsia="宋体" w:cs="宋体"/>
          <w:b/>
          <w:color w:val="auto"/>
          <w:sz w:val="24"/>
          <w:szCs w:val="24"/>
          <w:highlight w:val="none"/>
        </w:rPr>
        <w:t>签订合同</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2.1中标人应在中标通知书发出之日起7日内（具体时间、地点见中标通知书）与委托人签订合同。招标文件、中标人的投标文件及澄清文件等，均作为合同的附件。</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pPr>
        <w:pageBreakBefore w:val="0"/>
        <w:kinsoku/>
        <w:wordWrap/>
        <w:overflowPunct/>
        <w:topLinePunct w:val="0"/>
        <w:autoSpaceDE/>
        <w:autoSpaceDN/>
        <w:bidi w:val="0"/>
        <w:spacing w:line="360" w:lineRule="auto"/>
        <w:ind w:firstLine="523" w:firstLineChars="2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2.3招标人保留以书面形式要求合同的卖方对其所投货物的装运方式、交货地点及服务细则等作适当调整的权利。</w:t>
      </w:r>
    </w:p>
    <w:p>
      <w:pPr>
        <w:pageBreakBefore w:val="0"/>
        <w:kinsoku/>
        <w:wordWrap/>
        <w:overflowPunct/>
        <w:topLinePunct w:val="0"/>
        <w:autoSpaceDE/>
        <w:autoSpaceDN/>
        <w:bidi w:val="0"/>
        <w:spacing w:line="360" w:lineRule="auto"/>
        <w:ind w:firstLine="523" w:firstLineChars="21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kern w:val="0"/>
          <w:sz w:val="24"/>
          <w:szCs w:val="24"/>
          <w:highlight w:val="none"/>
        </w:rPr>
        <w:t>招标人在授予合同时有权对标的物的数量予以适当的增加或减少；</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2.5中标人不与委托人签订合同的，招标人可单方面取消其中标资格，并追究其责任。</w:t>
      </w:r>
    </w:p>
    <w:p>
      <w:pPr>
        <w:pageBreakBefore w:val="0"/>
        <w:kinsoku/>
        <w:wordWrap/>
        <w:overflowPunct/>
        <w:topLinePunct w:val="0"/>
        <w:autoSpaceDE/>
        <w:autoSpaceDN/>
        <w:bidi w:val="0"/>
        <w:spacing w:line="360" w:lineRule="auto"/>
        <w:ind w:firstLine="54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合同履行完毕后，经委托人考核合格，双方可续签合同。</w:t>
      </w:r>
    </w:p>
    <w:p>
      <w:pPr>
        <w:spacing w:line="360" w:lineRule="auto"/>
        <w:rPr>
          <w:color w:val="auto"/>
          <w:highlight w:val="none"/>
        </w:rPr>
      </w:pPr>
      <w:bookmarkStart w:id="42" w:name="_Hlt516969057"/>
      <w:bookmarkEnd w:id="42"/>
      <w:bookmarkStart w:id="43" w:name="_Hlt204508754"/>
      <w:bookmarkEnd w:id="43"/>
      <w:bookmarkStart w:id="44" w:name="_Hlt509650351"/>
      <w:bookmarkEnd w:id="44"/>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6"/>
        <w:spacing w:line="360" w:lineRule="auto"/>
        <w:rPr>
          <w:rFonts w:ascii="宋体" w:hAnsi="宋体" w:eastAsia="宋体"/>
          <w:color w:val="auto"/>
          <w:szCs w:val="36"/>
          <w:highlight w:val="none"/>
        </w:rPr>
      </w:pPr>
      <w:bookmarkStart w:id="45" w:name="_Toc22941"/>
      <w:r>
        <w:rPr>
          <w:rFonts w:hint="eastAsia" w:ascii="宋体" w:hAnsi="宋体" w:eastAsia="宋体"/>
          <w:color w:val="auto"/>
          <w:highlight w:val="none"/>
        </w:rPr>
        <w:t>第</w:t>
      </w:r>
      <w:bookmarkStart w:id="46" w:name="_Hlt240110027"/>
      <w:bookmarkEnd w:id="46"/>
      <w:r>
        <w:rPr>
          <w:rFonts w:hint="eastAsia" w:ascii="宋体" w:hAnsi="宋体" w:eastAsia="宋体"/>
          <w:color w:val="auto"/>
          <w:highlight w:val="none"/>
        </w:rPr>
        <w:t>四章</w:t>
      </w:r>
      <w:bookmarkStart w:id="47" w:name="_Hlt509716920"/>
      <w:bookmarkEnd w:id="47"/>
      <w:r>
        <w:rPr>
          <w:rFonts w:hint="eastAsia" w:ascii="宋体" w:hAnsi="宋体" w:eastAsia="宋体"/>
          <w:color w:val="auto"/>
          <w:szCs w:val="36"/>
          <w:highlight w:val="none"/>
        </w:rPr>
        <w:t>招标需求</w:t>
      </w:r>
      <w:bookmarkEnd w:id="45"/>
    </w:p>
    <w:p>
      <w:pPr>
        <w:keepNext w:val="0"/>
        <w:keepLines w:val="0"/>
        <w:pageBreakBefore w:val="0"/>
        <w:kinsoku/>
        <w:wordWrap/>
        <w:overflowPunct/>
        <w:topLinePunct w:val="0"/>
        <w:autoSpaceDE/>
        <w:autoSpaceDN/>
        <w:bidi w:val="0"/>
        <w:adjustRightInd/>
        <w:spacing w:line="360" w:lineRule="auto"/>
        <w:ind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前注：</w:t>
      </w:r>
    </w:p>
    <w:p>
      <w:pPr>
        <w:keepNext w:val="0"/>
        <w:keepLines w:val="0"/>
        <w:pageBreakBefore w:val="0"/>
        <w:kinsoku/>
        <w:wordWrap/>
        <w:overflowPunct/>
        <w:topLinePunct w:val="0"/>
        <w:autoSpaceDE/>
        <w:autoSpaceDN/>
        <w:bidi w:val="0"/>
        <w:adjustRightInd/>
        <w:spacing w:line="360" w:lineRule="auto"/>
        <w:ind w:right="0" w:firstLine="480" w:firstLineChars="200"/>
        <w:rPr>
          <w:rFonts w:hint="eastAsia" w:ascii="宋体" w:hAnsi="宋体" w:eastAsia="宋体" w:cs="宋体"/>
          <w:color w:val="auto"/>
          <w:sz w:val="24"/>
          <w:szCs w:val="24"/>
          <w:highlight w:val="none"/>
        </w:rPr>
      </w:pPr>
      <w:bookmarkStart w:id="48" w:name="_Toc508363595"/>
      <w:r>
        <w:rPr>
          <w:rFonts w:hint="eastAsia" w:ascii="宋体" w:hAnsi="宋体" w:eastAsia="宋体" w:cs="宋体"/>
          <w:color w:val="auto"/>
          <w:sz w:val="24"/>
          <w:szCs w:val="24"/>
          <w:highlight w:val="none"/>
        </w:rPr>
        <w:t>1.投标人自行考虑增值税收费用及风险，中标后须按国家相关规定缴纳税金并按委托人要求提供发票，费用含在本次投标总价中，中标后不作调整。</w:t>
      </w:r>
    </w:p>
    <w:p>
      <w:pPr>
        <w:keepNext w:val="0"/>
        <w:keepLines w:val="0"/>
        <w:pageBreakBefore w:val="0"/>
        <w:kinsoku/>
        <w:wordWrap/>
        <w:overflowPunct/>
        <w:topLinePunct w:val="0"/>
        <w:autoSpaceDE/>
        <w:autoSpaceDN/>
        <w:bidi w:val="0"/>
        <w:adjustRightInd/>
        <w:spacing w:line="360" w:lineRule="auto"/>
        <w:ind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2.如对本招标文件有任何疑问或澄清要求，请按本招标文件“投标人须知前附表”中的约定方式联系文旅博览集团，或接受答疑截止时间前联系招标人。否则视同理解和接受。</w:t>
      </w:r>
    </w:p>
    <w:p>
      <w:pPr>
        <w:keepNext w:val="0"/>
        <w:keepLines w:val="0"/>
        <w:pageBreakBefore w:val="0"/>
        <w:kinsoku/>
        <w:wordWrap/>
        <w:overflowPunct/>
        <w:topLinePunct w:val="0"/>
        <w:autoSpaceDE/>
        <w:autoSpaceDN/>
        <w:bidi w:val="0"/>
        <w:adjustRightInd/>
        <w:spacing w:line="360" w:lineRule="auto"/>
        <w:ind w:right="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一、招标需求</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autoSpaceDE/>
        <w:autoSpaceDN/>
        <w:bidi w:val="0"/>
        <w:adjustRightInd/>
        <w:spacing w:line="360" w:lineRule="auto"/>
        <w:ind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泓瑞金陵大酒店中餐包厢数量20个，金海湾自助餐厅可以容纳172人，多功能</w:t>
      </w:r>
      <w:r>
        <w:rPr>
          <w:rFonts w:hint="eastAsia" w:ascii="宋体" w:hAnsi="宋体" w:eastAsia="宋体" w:cs="宋体"/>
          <w:color w:val="auto"/>
          <w:sz w:val="24"/>
          <w:szCs w:val="24"/>
          <w:highlight w:val="none"/>
        </w:rPr>
        <w:t>宴会厅</w:t>
      </w:r>
      <w:r>
        <w:rPr>
          <w:rFonts w:hint="eastAsia" w:ascii="宋体" w:hAnsi="宋体" w:eastAsia="宋体" w:cs="宋体"/>
          <w:color w:val="auto"/>
          <w:sz w:val="24"/>
          <w:szCs w:val="24"/>
          <w:highlight w:val="none"/>
          <w:lang w:eastAsia="zh-CN"/>
        </w:rPr>
        <w:t>共</w:t>
      </w:r>
      <w:r>
        <w:rPr>
          <w:rFonts w:hint="eastAsia" w:ascii="宋体" w:hAnsi="宋体" w:eastAsia="宋体" w:cs="宋体"/>
          <w:color w:val="auto"/>
          <w:sz w:val="24"/>
          <w:szCs w:val="24"/>
          <w:highlight w:val="none"/>
          <w:lang w:val="en-US" w:eastAsia="zh-CN"/>
        </w:rPr>
        <w:t>5个厅（</w:t>
      </w:r>
      <w:r>
        <w:rPr>
          <w:rFonts w:hint="eastAsia" w:ascii="宋体" w:hAnsi="宋体" w:eastAsia="宋体" w:cs="宋体"/>
          <w:color w:val="auto"/>
          <w:sz w:val="24"/>
          <w:szCs w:val="24"/>
          <w:highlight w:val="none"/>
        </w:rPr>
        <w:t>可以容纳25桌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30桌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20桌，12桌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2个</w:t>
      </w:r>
      <w:r>
        <w:rPr>
          <w:rFonts w:hint="eastAsia" w:ascii="宋体" w:hAnsi="宋体" w:eastAsia="宋体" w:cs="宋体"/>
          <w:color w:val="auto"/>
          <w:sz w:val="24"/>
          <w:szCs w:val="24"/>
          <w:highlight w:val="none"/>
          <w:lang w:eastAsia="zh-CN"/>
        </w:rPr>
        <w:t>厅））</w:t>
      </w:r>
    </w:p>
    <w:p>
      <w:pPr>
        <w:keepNext w:val="0"/>
        <w:keepLines w:val="0"/>
        <w:pageBreakBefore w:val="0"/>
        <w:numPr>
          <w:ilvl w:val="0"/>
          <w:numId w:val="4"/>
        </w:numPr>
        <w:kinsoku/>
        <w:wordWrap/>
        <w:overflowPunct/>
        <w:topLinePunct w:val="0"/>
        <w:autoSpaceDE/>
        <w:autoSpaceDN/>
        <w:bidi w:val="0"/>
        <w:adjustRightInd/>
        <w:spacing w:line="360" w:lineRule="auto"/>
        <w:ind w:right="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招标内容：</w:t>
      </w:r>
    </w:p>
    <w:p>
      <w:pPr>
        <w:keepNext w:val="0"/>
        <w:keepLines w:val="0"/>
        <w:pageBreakBefore w:val="0"/>
        <w:numPr>
          <w:ilvl w:val="0"/>
          <w:numId w:val="0"/>
        </w:numPr>
        <w:kinsoku/>
        <w:wordWrap/>
        <w:overflowPunct/>
        <w:topLinePunct w:val="0"/>
        <w:autoSpaceDE/>
        <w:autoSpaceDN/>
        <w:bidi w:val="0"/>
        <w:adjustRightInd/>
        <w:spacing w:line="360" w:lineRule="auto"/>
        <w:ind w:right="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供应商安排</w:t>
      </w:r>
      <w:r>
        <w:rPr>
          <w:rFonts w:hint="eastAsia" w:ascii="宋体" w:hAnsi="宋体" w:eastAsia="宋体" w:cs="宋体"/>
          <w:color w:val="auto"/>
          <w:sz w:val="24"/>
          <w:szCs w:val="24"/>
          <w:highlight w:val="none"/>
        </w:rPr>
        <w:t>烤鸭制作工作人员在</w:t>
      </w:r>
      <w:r>
        <w:rPr>
          <w:rFonts w:hint="eastAsia" w:ascii="宋体" w:hAnsi="宋体" w:eastAsia="宋体" w:cs="宋体"/>
          <w:color w:val="auto"/>
          <w:sz w:val="24"/>
          <w:szCs w:val="24"/>
          <w:highlight w:val="none"/>
          <w:lang w:eastAsia="zh-CN"/>
        </w:rPr>
        <w:t>酒店</w:t>
      </w:r>
      <w:r>
        <w:rPr>
          <w:rFonts w:hint="eastAsia" w:ascii="宋体" w:hAnsi="宋体" w:eastAsia="宋体" w:cs="宋体"/>
          <w:color w:val="auto"/>
          <w:sz w:val="24"/>
          <w:szCs w:val="24"/>
          <w:highlight w:val="none"/>
        </w:rPr>
        <w:t>负责烤鸭制作及在宾客面前现场片制烤鸭，工作人员</w:t>
      </w:r>
      <w:r>
        <w:rPr>
          <w:rFonts w:hint="eastAsia" w:ascii="宋体" w:hAnsi="宋体" w:eastAsia="宋体" w:cs="宋体"/>
          <w:color w:val="auto"/>
          <w:sz w:val="24"/>
          <w:szCs w:val="24"/>
          <w:highlight w:val="none"/>
          <w:lang w:eastAsia="zh-CN"/>
        </w:rPr>
        <w:t>数量根据酒店</w:t>
      </w:r>
      <w:r>
        <w:rPr>
          <w:rFonts w:hint="eastAsia" w:ascii="宋体" w:hAnsi="宋体" w:eastAsia="宋体" w:cs="宋体"/>
          <w:color w:val="auto"/>
          <w:sz w:val="24"/>
          <w:szCs w:val="24"/>
          <w:highlight w:val="none"/>
        </w:rPr>
        <w:t>客情需求提供，不得出现供应不及时现象，工作人员</w:t>
      </w:r>
      <w:r>
        <w:rPr>
          <w:rFonts w:hint="eastAsia" w:ascii="宋体" w:hAnsi="宋体" w:eastAsia="宋体" w:cs="宋体"/>
          <w:color w:val="auto"/>
          <w:sz w:val="24"/>
          <w:szCs w:val="24"/>
          <w:highlight w:val="none"/>
          <w:lang w:eastAsia="zh-CN"/>
        </w:rPr>
        <w:t>在酒店</w:t>
      </w:r>
      <w:r>
        <w:rPr>
          <w:rFonts w:hint="eastAsia" w:ascii="宋体" w:hAnsi="宋体" w:eastAsia="宋体" w:cs="宋体"/>
          <w:color w:val="auto"/>
          <w:sz w:val="24"/>
          <w:szCs w:val="24"/>
          <w:highlight w:val="none"/>
        </w:rPr>
        <w:t>场所期间工作的所有服装，服饰需要按照</w:t>
      </w:r>
      <w:r>
        <w:rPr>
          <w:rFonts w:hint="eastAsia" w:ascii="宋体" w:hAnsi="宋体" w:eastAsia="宋体" w:cs="宋体"/>
          <w:color w:val="auto"/>
          <w:sz w:val="24"/>
          <w:szCs w:val="24"/>
          <w:highlight w:val="none"/>
          <w:lang w:eastAsia="zh-CN"/>
        </w:rPr>
        <w:t>酒店</w:t>
      </w:r>
      <w:r>
        <w:rPr>
          <w:rFonts w:hint="eastAsia" w:ascii="宋体" w:hAnsi="宋体" w:eastAsia="宋体" w:cs="宋体"/>
          <w:color w:val="auto"/>
          <w:sz w:val="24"/>
          <w:szCs w:val="24"/>
          <w:highlight w:val="none"/>
        </w:rPr>
        <w:t>要求的标准执行</w:t>
      </w:r>
      <w:r>
        <w:rPr>
          <w:rFonts w:hint="eastAsia" w:ascii="宋体" w:hAnsi="宋体" w:eastAsia="宋体" w:cs="宋体"/>
          <w:color w:val="auto"/>
          <w:sz w:val="24"/>
          <w:szCs w:val="24"/>
          <w:highlight w:val="none"/>
          <w:lang w:eastAsia="zh-CN"/>
        </w:rPr>
        <w:t>；</w:t>
      </w:r>
    </w:p>
    <w:p>
      <w:pPr>
        <w:pStyle w:val="151"/>
        <w:keepNext w:val="0"/>
        <w:keepLines w:val="0"/>
        <w:pageBreakBefore w:val="0"/>
        <w:kinsoku/>
        <w:wordWrap/>
        <w:overflowPunct/>
        <w:topLinePunct w:val="0"/>
        <w:autoSpaceDE/>
        <w:autoSpaceDN/>
        <w:bidi w:val="0"/>
        <w:adjustRightInd/>
        <w:spacing w:line="360" w:lineRule="auto"/>
        <w:ind w:left="0" w:leftChars="0" w:right="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2）自备</w:t>
      </w:r>
      <w:r>
        <w:rPr>
          <w:rFonts w:hint="eastAsia" w:ascii="宋体" w:hAnsi="宋体" w:eastAsia="宋体" w:cs="宋体"/>
          <w:color w:val="auto"/>
          <w:sz w:val="24"/>
          <w:szCs w:val="24"/>
          <w:highlight w:val="none"/>
        </w:rPr>
        <w:t>的烤鸭辅助器具需要定期更新（如餐具、餐车），呈现在宾客面前的餐具不得有破损，掉漆，掉釉等现象</w:t>
      </w:r>
      <w:r>
        <w:rPr>
          <w:rFonts w:hint="eastAsia" w:ascii="宋体" w:hAnsi="宋体" w:eastAsia="宋体" w:cs="宋体"/>
          <w:color w:val="auto"/>
          <w:sz w:val="24"/>
          <w:szCs w:val="24"/>
          <w:highlight w:val="none"/>
          <w:lang w:eastAsia="zh-CN"/>
        </w:rPr>
        <w:t>；</w:t>
      </w:r>
    </w:p>
    <w:p>
      <w:pPr>
        <w:pStyle w:val="151"/>
        <w:keepNext w:val="0"/>
        <w:keepLines w:val="0"/>
        <w:pageBreakBefore w:val="0"/>
        <w:kinsoku/>
        <w:wordWrap/>
        <w:overflowPunct/>
        <w:topLinePunct w:val="0"/>
        <w:autoSpaceDE/>
        <w:autoSpaceDN/>
        <w:bidi w:val="0"/>
        <w:adjustRightInd/>
        <w:spacing w:line="360" w:lineRule="auto"/>
        <w:ind w:left="0" w:leftChars="0" w:right="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提供的场所内自营自管，自备餐用具，</w:t>
      </w:r>
      <w:r>
        <w:rPr>
          <w:rFonts w:hint="eastAsia" w:ascii="宋体" w:hAnsi="宋体" w:eastAsia="宋体" w:cs="宋体"/>
          <w:color w:val="auto"/>
          <w:sz w:val="24"/>
          <w:szCs w:val="24"/>
          <w:highlight w:val="none"/>
          <w:lang w:eastAsia="zh-CN"/>
        </w:rPr>
        <w:t>根据客人下单和泓瑞金陵大酒店采购</w:t>
      </w:r>
      <w:r>
        <w:rPr>
          <w:rFonts w:hint="eastAsia" w:ascii="宋体" w:hAnsi="宋体" w:eastAsia="宋体" w:cs="宋体"/>
          <w:color w:val="auto"/>
          <w:sz w:val="24"/>
          <w:szCs w:val="24"/>
          <w:highlight w:val="none"/>
        </w:rPr>
        <w:t>单</w:t>
      </w:r>
      <w:r>
        <w:rPr>
          <w:rFonts w:hint="eastAsia" w:ascii="宋体" w:hAnsi="宋体" w:eastAsia="宋体" w:cs="宋体"/>
          <w:color w:val="auto"/>
          <w:sz w:val="24"/>
          <w:szCs w:val="24"/>
          <w:highlight w:val="none"/>
          <w:lang w:eastAsia="zh-CN"/>
        </w:rPr>
        <w:t>制作</w:t>
      </w:r>
      <w:r>
        <w:rPr>
          <w:rFonts w:hint="eastAsia" w:ascii="宋体" w:hAnsi="宋体" w:eastAsia="宋体" w:cs="宋体"/>
          <w:color w:val="auto"/>
          <w:sz w:val="24"/>
          <w:szCs w:val="24"/>
          <w:highlight w:val="none"/>
        </w:rPr>
        <w:t>北京烤鸭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双方约定质量、规格的食品，包括但不限于烤鸭、配料（甜面酱，4种口味鸭饼）、配菜</w:t>
      </w:r>
      <w:r>
        <w:rPr>
          <w:rFonts w:hint="eastAsia" w:ascii="宋体" w:hAnsi="宋体" w:eastAsia="宋体" w:cs="宋体"/>
          <w:color w:val="auto"/>
          <w:sz w:val="24"/>
          <w:szCs w:val="24"/>
          <w:highlight w:val="none"/>
          <w:lang w:eastAsia="zh-CN"/>
        </w:rPr>
        <w:t>；</w:t>
      </w:r>
    </w:p>
    <w:p>
      <w:pPr>
        <w:pStyle w:val="151"/>
        <w:keepNext w:val="0"/>
        <w:keepLines w:val="0"/>
        <w:pageBreakBefore w:val="0"/>
        <w:kinsoku/>
        <w:wordWrap/>
        <w:overflowPunct/>
        <w:topLinePunct w:val="0"/>
        <w:autoSpaceDE/>
        <w:autoSpaceDN/>
        <w:bidi w:val="0"/>
        <w:adjustRightInd/>
        <w:spacing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每月支付</w:t>
      </w:r>
      <w:r>
        <w:rPr>
          <w:rFonts w:hint="eastAsia" w:ascii="宋体" w:hAnsi="宋体" w:eastAsia="宋体" w:cs="宋体"/>
          <w:color w:val="auto"/>
          <w:sz w:val="24"/>
          <w:szCs w:val="24"/>
          <w:highlight w:val="none"/>
          <w:lang w:eastAsia="zh-CN"/>
        </w:rPr>
        <w:t>酒店</w:t>
      </w:r>
      <w:r>
        <w:rPr>
          <w:rFonts w:hint="eastAsia" w:ascii="宋体" w:hAnsi="宋体" w:eastAsia="宋体" w:cs="宋体"/>
          <w:color w:val="auto"/>
          <w:sz w:val="24"/>
          <w:szCs w:val="24"/>
          <w:highlight w:val="none"/>
        </w:rPr>
        <w:t>能耗费500元（伍佰圆整）每月能耗费直接从收益结算款中扣除。</w:t>
      </w:r>
    </w:p>
    <w:p>
      <w:pPr>
        <w:pStyle w:val="151"/>
        <w:keepNext w:val="0"/>
        <w:keepLines w:val="0"/>
        <w:pageBreakBefore w:val="0"/>
        <w:kinsoku/>
        <w:wordWrap/>
        <w:overflowPunct/>
        <w:topLinePunct w:val="0"/>
        <w:autoSpaceDE/>
        <w:autoSpaceDN/>
        <w:bidi w:val="0"/>
        <w:adjustRightInd/>
        <w:spacing w:line="360" w:lineRule="auto"/>
        <w:ind w:left="0" w:leftChars="0" w:right="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提供的烤鸭</w:t>
      </w:r>
      <w:r>
        <w:rPr>
          <w:rFonts w:hint="eastAsia" w:ascii="宋体" w:hAnsi="宋体" w:eastAsia="宋体" w:cs="宋体"/>
          <w:color w:val="auto"/>
          <w:sz w:val="24"/>
          <w:szCs w:val="24"/>
          <w:highlight w:val="none"/>
          <w:lang w:eastAsia="zh-CN"/>
        </w:rPr>
        <w:t>食材</w:t>
      </w:r>
      <w:r>
        <w:rPr>
          <w:rFonts w:hint="eastAsia" w:ascii="宋体" w:hAnsi="宋体" w:eastAsia="宋体" w:cs="宋体"/>
          <w:color w:val="auto"/>
          <w:sz w:val="24"/>
          <w:szCs w:val="24"/>
          <w:highlight w:val="none"/>
        </w:rPr>
        <w:t>可以追溯到来源地，提供合格的鸭胚、烤鸭的面饼，自行聘请专业烤鸭师傅、工作人员，指派到酒店现场的工作人员暂定为2人，后期可根据销售情况进行人员的增减。安排的人员需经过</w:t>
      </w:r>
      <w:r>
        <w:rPr>
          <w:rFonts w:hint="eastAsia" w:ascii="宋体" w:hAnsi="宋体" w:eastAsia="宋体" w:cs="宋体"/>
          <w:color w:val="auto"/>
          <w:sz w:val="24"/>
          <w:szCs w:val="24"/>
          <w:highlight w:val="none"/>
          <w:lang w:eastAsia="zh-CN"/>
        </w:rPr>
        <w:t>酒店</w:t>
      </w:r>
      <w:r>
        <w:rPr>
          <w:rFonts w:hint="eastAsia" w:ascii="宋体" w:hAnsi="宋体" w:eastAsia="宋体" w:cs="宋体"/>
          <w:color w:val="auto"/>
          <w:sz w:val="24"/>
          <w:szCs w:val="24"/>
          <w:highlight w:val="none"/>
        </w:rPr>
        <w:t>考核同意方可上岗，如安排的人员经过考核未得到</w:t>
      </w:r>
      <w:r>
        <w:rPr>
          <w:rFonts w:hint="eastAsia" w:ascii="宋体" w:hAnsi="宋体" w:eastAsia="宋体" w:cs="宋体"/>
          <w:color w:val="auto"/>
          <w:sz w:val="24"/>
          <w:szCs w:val="24"/>
          <w:highlight w:val="none"/>
          <w:lang w:eastAsia="zh-CN"/>
        </w:rPr>
        <w:t>酒店</w:t>
      </w:r>
      <w:r>
        <w:rPr>
          <w:rFonts w:hint="eastAsia" w:ascii="宋体" w:hAnsi="宋体" w:eastAsia="宋体" w:cs="宋体"/>
          <w:color w:val="auto"/>
          <w:sz w:val="24"/>
          <w:szCs w:val="24"/>
          <w:highlight w:val="none"/>
        </w:rPr>
        <w:t>的认可，</w:t>
      </w:r>
      <w:r>
        <w:rPr>
          <w:rFonts w:hint="eastAsia" w:ascii="宋体" w:hAnsi="宋体" w:eastAsia="宋体" w:cs="宋体"/>
          <w:color w:val="auto"/>
          <w:sz w:val="24"/>
          <w:szCs w:val="24"/>
          <w:highlight w:val="none"/>
          <w:lang w:eastAsia="zh-CN"/>
        </w:rPr>
        <w:t>酒店</w:t>
      </w:r>
      <w:r>
        <w:rPr>
          <w:rFonts w:hint="eastAsia" w:ascii="宋体" w:hAnsi="宋体" w:eastAsia="宋体" w:cs="宋体"/>
          <w:color w:val="auto"/>
          <w:sz w:val="24"/>
          <w:szCs w:val="24"/>
          <w:highlight w:val="none"/>
        </w:rPr>
        <w:t>有权要求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重新调配人员</w:t>
      </w:r>
      <w:r>
        <w:rPr>
          <w:rFonts w:hint="eastAsia" w:ascii="宋体" w:hAnsi="宋体" w:eastAsia="宋体" w:cs="宋体"/>
          <w:color w:val="auto"/>
          <w:sz w:val="24"/>
          <w:szCs w:val="24"/>
          <w:highlight w:val="none"/>
          <w:lang w:eastAsia="zh-CN"/>
        </w:rPr>
        <w:t>。</w:t>
      </w:r>
    </w:p>
    <w:p>
      <w:pPr>
        <w:pStyle w:val="47"/>
        <w:keepNext w:val="0"/>
        <w:keepLines w:val="0"/>
        <w:pageBreakBefore w:val="0"/>
        <w:kinsoku/>
        <w:wordWrap/>
        <w:overflowPunct/>
        <w:topLinePunct w:val="0"/>
        <w:autoSpaceDE/>
        <w:autoSpaceDN/>
        <w:bidi w:val="0"/>
        <w:adjustRightInd/>
        <w:spacing w:before="0" w:beforeAutospacing="0" w:after="0" w:afterAutospacing="0" w:line="360" w:lineRule="auto"/>
        <w:ind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sz w:val="24"/>
          <w:szCs w:val="24"/>
          <w:highlight w:val="none"/>
        </w:rPr>
        <w:t>投标人须承诺每年供货款总额的2%用于购买酒店产品（端午礼包、新年礼包、中秋月饼等）。</w:t>
      </w:r>
    </w:p>
    <w:p>
      <w:pPr>
        <w:keepNext w:val="0"/>
        <w:keepLines w:val="0"/>
        <w:pageBreakBefore w:val="0"/>
        <w:kinsoku/>
        <w:wordWrap/>
        <w:overflowPunct/>
        <w:topLinePunct w:val="0"/>
        <w:autoSpaceDE/>
        <w:autoSpaceDN/>
        <w:bidi w:val="0"/>
        <w:adjustRightInd/>
        <w:spacing w:line="360" w:lineRule="auto"/>
        <w:ind w:right="0"/>
        <w:rPr>
          <w:rFonts w:hint="eastAsia" w:ascii="宋体" w:hAnsi="宋体" w:eastAsia="宋体" w:cs="宋体"/>
          <w:b/>
          <w:bCs/>
          <w:color w:val="auto"/>
          <w:kern w:val="0"/>
          <w:sz w:val="24"/>
          <w:szCs w:val="24"/>
          <w:highlight w:val="none"/>
          <w:lang w:val="en-US" w:eastAsia="zh-CN"/>
        </w:rPr>
      </w:pPr>
    </w:p>
    <w:p>
      <w:pPr>
        <w:keepNext w:val="0"/>
        <w:keepLines w:val="0"/>
        <w:pageBreakBefore w:val="0"/>
        <w:kinsoku/>
        <w:wordWrap/>
        <w:overflowPunct/>
        <w:topLinePunct w:val="0"/>
        <w:autoSpaceDE/>
        <w:autoSpaceDN/>
        <w:bidi w:val="0"/>
        <w:adjustRightInd/>
        <w:spacing w:line="360" w:lineRule="auto"/>
        <w:ind w:right="0"/>
        <w:rPr>
          <w:rFonts w:hint="eastAsia" w:ascii="宋体" w:hAnsi="宋体" w:eastAsia="宋体" w:cs="宋体"/>
          <w:b/>
          <w:bCs/>
          <w:color w:val="auto"/>
          <w:kern w:val="0"/>
          <w:sz w:val="24"/>
          <w:szCs w:val="24"/>
          <w:highlight w:val="none"/>
          <w:lang w:val="en-US" w:eastAsia="zh-CN"/>
        </w:rPr>
      </w:pPr>
    </w:p>
    <w:p>
      <w:pPr>
        <w:keepNext w:val="0"/>
        <w:keepLines w:val="0"/>
        <w:pageBreakBefore w:val="0"/>
        <w:kinsoku/>
        <w:wordWrap/>
        <w:overflowPunct/>
        <w:topLinePunct w:val="0"/>
        <w:autoSpaceDE/>
        <w:autoSpaceDN/>
        <w:bidi w:val="0"/>
        <w:adjustRightInd/>
        <w:spacing w:line="360" w:lineRule="auto"/>
        <w:ind w:right="0"/>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rPr>
        <w:t>.报价清单</w:t>
      </w:r>
      <w:r>
        <w:rPr>
          <w:rFonts w:hint="eastAsia" w:ascii="宋体" w:hAnsi="宋体" w:eastAsia="宋体" w:cs="宋体"/>
          <w:b/>
          <w:bCs/>
          <w:color w:val="auto"/>
          <w:kern w:val="0"/>
          <w:sz w:val="24"/>
          <w:szCs w:val="24"/>
          <w:highlight w:val="none"/>
          <w:lang w:eastAsia="zh-CN"/>
        </w:rPr>
        <w:t>：</w:t>
      </w:r>
    </w:p>
    <w:tbl>
      <w:tblPr>
        <w:tblStyle w:val="51"/>
        <w:tblW w:w="9099" w:type="dxa"/>
        <w:tblInd w:w="0" w:type="dxa"/>
        <w:tblLayout w:type="fixed"/>
        <w:tblCellMar>
          <w:top w:w="0" w:type="dxa"/>
          <w:left w:w="0" w:type="dxa"/>
          <w:bottom w:w="0" w:type="dxa"/>
          <w:right w:w="0" w:type="dxa"/>
        </w:tblCellMar>
      </w:tblPr>
      <w:tblGrid>
        <w:gridCol w:w="1663"/>
        <w:gridCol w:w="720"/>
        <w:gridCol w:w="855"/>
        <w:gridCol w:w="1305"/>
        <w:gridCol w:w="1485"/>
        <w:gridCol w:w="3071"/>
      </w:tblGrid>
      <w:tr>
        <w:tblPrEx>
          <w:tblCellMar>
            <w:top w:w="0" w:type="dxa"/>
            <w:left w:w="0" w:type="dxa"/>
            <w:bottom w:w="0" w:type="dxa"/>
            <w:right w:w="0" w:type="dxa"/>
          </w:tblCellMar>
        </w:tblPrEx>
        <w:trPr>
          <w:trHeight w:val="709" w:hRule="atLeast"/>
        </w:trPr>
        <w:tc>
          <w:tcPr>
            <w:tcW w:w="9099"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auto"/>
              <w:ind w:right="0"/>
              <w:jc w:val="center"/>
              <w:textAlignment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北京烤鸭报价清单</w:t>
            </w:r>
          </w:p>
        </w:tc>
      </w:tr>
      <w:tr>
        <w:tblPrEx>
          <w:tblCellMar>
            <w:top w:w="0" w:type="dxa"/>
            <w:left w:w="0" w:type="dxa"/>
            <w:bottom w:w="0" w:type="dxa"/>
            <w:right w:w="0" w:type="dxa"/>
          </w:tblCellMar>
        </w:tblPrEx>
        <w:trPr>
          <w:trHeight w:val="408"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auto"/>
              <w:ind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品名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auto"/>
              <w:ind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auto"/>
              <w:ind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auto"/>
              <w:ind w:right="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综合</w:t>
            </w:r>
            <w:r>
              <w:rPr>
                <w:rFonts w:hint="eastAsia" w:ascii="宋体" w:hAnsi="宋体" w:eastAsia="宋体" w:cs="宋体"/>
                <w:color w:val="auto"/>
                <w:kern w:val="0"/>
                <w:sz w:val="24"/>
                <w:szCs w:val="24"/>
                <w:highlight w:val="none"/>
              </w:rPr>
              <w:t>单价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kern w:val="0"/>
                <w:sz w:val="24"/>
                <w:szCs w:val="24"/>
                <w:highlight w:val="none"/>
                <w:lang w:eastAsia="zh-CN"/>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auto"/>
              <w:ind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总价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元</w:t>
            </w:r>
            <w:r>
              <w:rPr>
                <w:rFonts w:hint="eastAsia" w:ascii="宋体" w:hAnsi="宋体" w:eastAsia="宋体" w:cs="宋体"/>
                <w:color w:val="auto"/>
                <w:kern w:val="0"/>
                <w:sz w:val="24"/>
                <w:szCs w:val="24"/>
                <w:highlight w:val="none"/>
                <w:lang w:eastAsia="zh-CN"/>
              </w:rPr>
              <w:t>）</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auto"/>
              <w:ind w:right="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备注</w:t>
            </w:r>
          </w:p>
        </w:tc>
      </w:tr>
      <w:tr>
        <w:tblPrEx>
          <w:tblCellMar>
            <w:top w:w="0" w:type="dxa"/>
            <w:left w:w="0" w:type="dxa"/>
            <w:bottom w:w="0" w:type="dxa"/>
            <w:right w:w="0" w:type="dxa"/>
          </w:tblCellMar>
        </w:tblPrEx>
        <w:trPr>
          <w:trHeight w:val="408" w:hRule="atLeast"/>
        </w:trPr>
        <w:tc>
          <w:tcPr>
            <w:tcW w:w="16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auto"/>
              <w:ind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包厢烤鸭</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auto"/>
              <w:ind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只</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auto"/>
              <w:ind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ind w:right="0"/>
              <w:jc w:val="center"/>
              <w:rPr>
                <w:rFonts w:hint="eastAsia" w:ascii="宋体" w:hAnsi="宋体" w:eastAsia="宋体" w:cs="宋体"/>
                <w:color w:val="auto"/>
                <w:sz w:val="24"/>
                <w:szCs w:val="24"/>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ind w:right="0"/>
              <w:jc w:val="center"/>
              <w:rPr>
                <w:rFonts w:hint="eastAsia" w:ascii="宋体" w:hAnsi="宋体" w:eastAsia="宋体" w:cs="宋体"/>
                <w:color w:val="auto"/>
                <w:sz w:val="24"/>
                <w:szCs w:val="24"/>
                <w:highlight w:val="none"/>
              </w:rPr>
            </w:pPr>
          </w:p>
        </w:tc>
        <w:tc>
          <w:tcPr>
            <w:tcW w:w="3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ind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鸭胚不低于2.1kg/只</w:t>
            </w:r>
          </w:p>
        </w:tc>
      </w:tr>
      <w:tr>
        <w:tblPrEx>
          <w:tblCellMar>
            <w:top w:w="0" w:type="dxa"/>
            <w:left w:w="0" w:type="dxa"/>
            <w:bottom w:w="0" w:type="dxa"/>
            <w:right w:w="0" w:type="dxa"/>
          </w:tblCellMar>
        </w:tblPrEx>
        <w:trPr>
          <w:trHeight w:val="408" w:hRule="atLeast"/>
        </w:trPr>
        <w:tc>
          <w:tcPr>
            <w:tcW w:w="16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auto"/>
              <w:ind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宴会/西餐烤鸭</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auto"/>
              <w:ind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只</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auto"/>
              <w:ind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ind w:right="0"/>
              <w:jc w:val="center"/>
              <w:rPr>
                <w:rFonts w:hint="eastAsia" w:ascii="宋体" w:hAnsi="宋体" w:eastAsia="宋体" w:cs="宋体"/>
                <w:color w:val="auto"/>
                <w:sz w:val="24"/>
                <w:szCs w:val="24"/>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ind w:right="0"/>
              <w:jc w:val="center"/>
              <w:rPr>
                <w:rFonts w:hint="eastAsia" w:ascii="宋体" w:hAnsi="宋体" w:eastAsia="宋体" w:cs="宋体"/>
                <w:color w:val="auto"/>
                <w:sz w:val="24"/>
                <w:szCs w:val="24"/>
                <w:highlight w:val="none"/>
              </w:rPr>
            </w:pPr>
          </w:p>
        </w:tc>
        <w:tc>
          <w:tcPr>
            <w:tcW w:w="3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鸭胚不低于1.6kg/只</w:t>
            </w:r>
          </w:p>
        </w:tc>
      </w:tr>
      <w:tr>
        <w:tblPrEx>
          <w:tblCellMar>
            <w:top w:w="0" w:type="dxa"/>
            <w:left w:w="0" w:type="dxa"/>
            <w:bottom w:w="0" w:type="dxa"/>
            <w:right w:w="0" w:type="dxa"/>
          </w:tblCellMar>
        </w:tblPrEx>
        <w:trPr>
          <w:trHeight w:val="408" w:hRule="atLeast"/>
        </w:trPr>
        <w:tc>
          <w:tcPr>
            <w:tcW w:w="16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auto"/>
              <w:ind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ind w:right="0"/>
              <w:jc w:val="center"/>
              <w:rPr>
                <w:rFonts w:hint="eastAsia" w:ascii="宋体" w:hAnsi="宋体" w:eastAsia="宋体" w:cs="宋体"/>
                <w:color w:val="auto"/>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ind w:right="0"/>
              <w:jc w:val="center"/>
              <w:rPr>
                <w:rFonts w:hint="eastAsia" w:ascii="宋体" w:hAnsi="宋体" w:eastAsia="宋体" w:cs="宋体"/>
                <w:color w:val="auto"/>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ind w:right="0"/>
              <w:rPr>
                <w:rFonts w:hint="eastAsia" w:ascii="宋体" w:hAnsi="宋体" w:eastAsia="宋体" w:cs="宋体"/>
                <w:color w:val="auto"/>
                <w:sz w:val="24"/>
                <w:szCs w:val="24"/>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ind w:right="0"/>
              <w:rPr>
                <w:rFonts w:hint="eastAsia" w:ascii="宋体" w:hAnsi="宋体" w:eastAsia="宋体" w:cs="宋体"/>
                <w:color w:val="auto"/>
                <w:sz w:val="24"/>
                <w:szCs w:val="24"/>
                <w:highlight w:val="none"/>
              </w:rPr>
            </w:pP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ind w:right="0"/>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333" w:hRule="atLeast"/>
        </w:trPr>
        <w:tc>
          <w:tcPr>
            <w:tcW w:w="1663"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ind w:right="0"/>
              <w:rPr>
                <w:rFonts w:hint="eastAsia" w:ascii="宋体" w:hAnsi="宋体" w:eastAsia="宋体" w:cs="宋体"/>
                <w:color w:val="auto"/>
                <w:sz w:val="24"/>
                <w:szCs w:val="24"/>
                <w:highlight w:val="none"/>
              </w:rPr>
            </w:pPr>
          </w:p>
        </w:tc>
        <w:tc>
          <w:tcPr>
            <w:tcW w:w="72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ind w:right="0"/>
              <w:rPr>
                <w:rFonts w:hint="eastAsia" w:ascii="宋体" w:hAnsi="宋体" w:eastAsia="宋体" w:cs="宋体"/>
                <w:color w:val="auto"/>
                <w:sz w:val="24"/>
                <w:szCs w:val="24"/>
                <w:highlight w:val="none"/>
              </w:rPr>
            </w:pPr>
          </w:p>
        </w:tc>
        <w:tc>
          <w:tcPr>
            <w:tcW w:w="85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ind w:right="0"/>
              <w:rPr>
                <w:rFonts w:hint="eastAsia" w:ascii="宋体" w:hAnsi="宋体" w:eastAsia="宋体" w:cs="宋体"/>
                <w:color w:val="auto"/>
                <w:sz w:val="24"/>
                <w:szCs w:val="24"/>
                <w:highlight w:val="none"/>
              </w:rPr>
            </w:pPr>
          </w:p>
        </w:tc>
        <w:tc>
          <w:tcPr>
            <w:tcW w:w="130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ind w:right="0"/>
              <w:rPr>
                <w:rFonts w:hint="eastAsia" w:ascii="宋体" w:hAnsi="宋体" w:eastAsia="宋体" w:cs="宋体"/>
                <w:color w:val="auto"/>
                <w:sz w:val="24"/>
                <w:szCs w:val="24"/>
                <w:highlight w:val="none"/>
              </w:rPr>
            </w:pPr>
          </w:p>
        </w:tc>
        <w:tc>
          <w:tcPr>
            <w:tcW w:w="148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ind w:right="0"/>
              <w:rPr>
                <w:rFonts w:hint="eastAsia" w:ascii="宋体" w:hAnsi="宋体" w:eastAsia="宋体" w:cs="宋体"/>
                <w:color w:val="auto"/>
                <w:sz w:val="24"/>
                <w:szCs w:val="24"/>
                <w:highlight w:val="none"/>
              </w:rPr>
            </w:pPr>
          </w:p>
        </w:tc>
        <w:tc>
          <w:tcPr>
            <w:tcW w:w="3071"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ind w:right="0"/>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333" w:hRule="atLeast"/>
        </w:trPr>
        <w:tc>
          <w:tcPr>
            <w:tcW w:w="1663"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auto"/>
              <w:ind w:right="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其中</w:t>
            </w:r>
            <w:r>
              <w:rPr>
                <w:rFonts w:hint="eastAsia" w:ascii="宋体" w:hAnsi="宋体" w:eastAsia="宋体" w:cs="宋体"/>
                <w:color w:val="auto"/>
                <w:kern w:val="0"/>
                <w:sz w:val="24"/>
                <w:szCs w:val="24"/>
                <w:highlight w:val="none"/>
              </w:rPr>
              <w:t>税率：</w:t>
            </w:r>
          </w:p>
        </w:tc>
        <w:tc>
          <w:tcPr>
            <w:tcW w:w="72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ind w:right="0"/>
              <w:rPr>
                <w:rFonts w:hint="eastAsia" w:ascii="宋体" w:hAnsi="宋体" w:eastAsia="宋体" w:cs="宋体"/>
                <w:color w:val="auto"/>
                <w:sz w:val="24"/>
                <w:szCs w:val="24"/>
                <w:highlight w:val="none"/>
              </w:rPr>
            </w:pPr>
          </w:p>
        </w:tc>
        <w:tc>
          <w:tcPr>
            <w:tcW w:w="85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auto"/>
              <w:ind w:right="0"/>
              <w:jc w:val="left"/>
              <w:textAlignment w:val="center"/>
              <w:rPr>
                <w:rFonts w:hint="eastAsia" w:ascii="宋体" w:hAnsi="宋体" w:eastAsia="宋体" w:cs="宋体"/>
                <w:color w:val="auto"/>
                <w:sz w:val="24"/>
                <w:szCs w:val="24"/>
                <w:highlight w:val="none"/>
              </w:rPr>
            </w:pPr>
          </w:p>
        </w:tc>
        <w:tc>
          <w:tcPr>
            <w:tcW w:w="130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ind w:right="0"/>
              <w:rPr>
                <w:rFonts w:hint="eastAsia" w:ascii="宋体" w:hAnsi="宋体" w:eastAsia="宋体" w:cs="宋体"/>
                <w:color w:val="auto"/>
                <w:sz w:val="24"/>
                <w:szCs w:val="24"/>
                <w:highlight w:val="none"/>
              </w:rPr>
            </w:pPr>
          </w:p>
        </w:tc>
        <w:tc>
          <w:tcPr>
            <w:tcW w:w="148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auto"/>
              <w:ind w:right="0"/>
              <w:jc w:val="left"/>
              <w:textAlignment w:val="center"/>
              <w:rPr>
                <w:rFonts w:hint="eastAsia" w:ascii="宋体" w:hAnsi="宋体" w:eastAsia="宋体" w:cs="宋体"/>
                <w:color w:val="auto"/>
                <w:sz w:val="24"/>
                <w:szCs w:val="24"/>
                <w:highlight w:val="none"/>
              </w:rPr>
            </w:pPr>
          </w:p>
        </w:tc>
        <w:tc>
          <w:tcPr>
            <w:tcW w:w="3071"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60" w:lineRule="auto"/>
              <w:ind w:right="0"/>
              <w:jc w:val="left"/>
              <w:textAlignment w:val="center"/>
              <w:rPr>
                <w:rFonts w:hint="eastAsia" w:ascii="宋体" w:hAnsi="宋体" w:eastAsia="宋体" w:cs="宋体"/>
                <w:color w:val="auto"/>
                <w:kern w:val="0"/>
                <w:sz w:val="24"/>
                <w:szCs w:val="24"/>
                <w:highlight w:val="none"/>
              </w:rPr>
            </w:pPr>
          </w:p>
        </w:tc>
      </w:tr>
    </w:tbl>
    <w:p>
      <w:pPr>
        <w:keepNext w:val="0"/>
        <w:keepLines w:val="0"/>
        <w:pageBreakBefore w:val="0"/>
        <w:kinsoku/>
        <w:wordWrap/>
        <w:overflowPunct/>
        <w:topLinePunct w:val="0"/>
        <w:autoSpaceDE/>
        <w:autoSpaceDN/>
        <w:bidi w:val="0"/>
        <w:adjustRightInd/>
        <w:spacing w:line="360" w:lineRule="auto"/>
        <w:ind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二、报价要求</w:t>
      </w:r>
    </w:p>
    <w:p>
      <w:pPr>
        <w:keepNext w:val="0"/>
        <w:keepLines w:val="0"/>
        <w:pageBreakBefore w:val="0"/>
        <w:kinsoku/>
        <w:wordWrap/>
        <w:overflowPunct/>
        <w:topLinePunct w:val="0"/>
        <w:autoSpaceDE/>
        <w:autoSpaceDN/>
        <w:bidi w:val="0"/>
        <w:adjustRightInd/>
        <w:spacing w:line="360" w:lineRule="auto"/>
        <w:ind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投标人须按此数量报投标总价并在投标分项报价表中列明每种货物的综合单价，投标总价作为定标的依据。投标报价总价不得高于预算总价。成交后，最终数量按实结算，综合单价不变。</w:t>
      </w:r>
    </w:p>
    <w:p>
      <w:pPr>
        <w:keepNext w:val="0"/>
        <w:keepLines w:val="0"/>
        <w:pageBreakBefore w:val="0"/>
        <w:kinsoku/>
        <w:wordWrap/>
        <w:overflowPunct/>
        <w:topLinePunct w:val="0"/>
        <w:autoSpaceDE/>
        <w:autoSpaceDN/>
        <w:bidi w:val="0"/>
        <w:adjustRightInd/>
        <w:spacing w:line="360" w:lineRule="auto"/>
        <w:ind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.综合单价是指完成招标需求全部内容的单位综合价格。包括生产、包装、运输、装卸、加工（含加工过程中的主要及辅助材料损耗）、验收、培训、利润、税金等全部费用，并作为项目结算依据。</w:t>
      </w:r>
    </w:p>
    <w:p>
      <w:pPr>
        <w:keepNext w:val="0"/>
        <w:keepLines w:val="0"/>
        <w:pageBreakBefore w:val="0"/>
        <w:kinsoku/>
        <w:wordWrap/>
        <w:overflowPunct/>
        <w:topLinePunct w:val="0"/>
        <w:autoSpaceDE/>
        <w:autoSpaceDN/>
        <w:bidi w:val="0"/>
        <w:adjustRightInd/>
        <w:spacing w:line="360" w:lineRule="auto"/>
        <w:ind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.供货范围中必须全部在投标文件中报价，不得有漏项，否则为无效投标。</w:t>
      </w:r>
    </w:p>
    <w:p>
      <w:pPr>
        <w:keepNext w:val="0"/>
        <w:keepLines w:val="0"/>
        <w:pageBreakBefore w:val="0"/>
        <w:kinsoku/>
        <w:wordWrap/>
        <w:overflowPunct/>
        <w:topLinePunct w:val="0"/>
        <w:autoSpaceDE/>
        <w:autoSpaceDN/>
        <w:bidi w:val="0"/>
        <w:adjustRightInd/>
        <w:spacing w:line="360" w:lineRule="auto"/>
        <w:ind w:right="0"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pPr>
        <w:keepNext w:val="0"/>
        <w:keepLines w:val="0"/>
        <w:pageBreakBefore w:val="0"/>
        <w:kinsoku/>
        <w:wordWrap/>
        <w:overflowPunct/>
        <w:topLinePunct w:val="0"/>
        <w:autoSpaceDE/>
        <w:autoSpaceDN/>
        <w:bidi w:val="0"/>
        <w:adjustRightInd/>
        <w:spacing w:line="360" w:lineRule="auto"/>
        <w:ind w:right="0"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（1）若各项报价累计之和小于最终投标报价，则以综合单价为准；</w:t>
      </w:r>
    </w:p>
    <w:p>
      <w:pPr>
        <w:keepNext w:val="0"/>
        <w:keepLines w:val="0"/>
        <w:pageBreakBefore w:val="0"/>
        <w:kinsoku/>
        <w:wordWrap/>
        <w:overflowPunct/>
        <w:topLinePunct w:val="0"/>
        <w:autoSpaceDE/>
        <w:autoSpaceDN/>
        <w:bidi w:val="0"/>
        <w:adjustRightInd/>
        <w:spacing w:line="360" w:lineRule="auto"/>
        <w:ind w:right="0" w:firstLine="470" w:firstLineChars="19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（2）若各项报价累计之和大于最终投标报价，则以投标总价为准调整单价（各单价同比例调整）</w:t>
      </w:r>
      <w:r>
        <w:rPr>
          <w:rFonts w:hint="eastAsia" w:ascii="宋体" w:hAnsi="宋体" w:eastAsia="宋体" w:cs="宋体"/>
          <w:color w:val="auto"/>
          <w:sz w:val="24"/>
          <w:szCs w:val="24"/>
          <w:highlight w:val="none"/>
          <w:lang w:eastAsia="zh-CN"/>
        </w:rPr>
        <w:t>。</w:t>
      </w:r>
    </w:p>
    <w:p>
      <w:pPr>
        <w:pStyle w:val="152"/>
        <w:keepNext w:val="0"/>
        <w:keepLines w:val="0"/>
        <w:pageBreakBefore w:val="0"/>
        <w:pBdr>
          <w:bottom w:val="none" w:color="auto" w:sz="0" w:space="0"/>
        </w:pBdr>
        <w:kinsoku/>
        <w:wordWrap/>
        <w:overflowPunct/>
        <w:topLinePunct w:val="0"/>
        <w:autoSpaceDE/>
        <w:autoSpaceDN/>
        <w:bidi w:val="0"/>
        <w:adjustRightInd/>
        <w:spacing w:line="360" w:lineRule="auto"/>
        <w:ind w:right="0" w:firstLine="542"/>
        <w:jc w:val="left"/>
        <w:outlineLvl w:val="0"/>
        <w:rPr>
          <w:rStyle w:val="153"/>
          <w:rFonts w:hint="eastAsia" w:ascii="宋体" w:hAnsi="宋体" w:eastAsia="宋体" w:cs="宋体"/>
          <w:b/>
          <w:color w:val="auto"/>
          <w:kern w:val="2"/>
          <w:sz w:val="24"/>
          <w:szCs w:val="24"/>
          <w:highlight w:val="none"/>
        </w:rPr>
      </w:pPr>
      <w:r>
        <w:rPr>
          <w:rStyle w:val="153"/>
          <w:rFonts w:hint="eastAsia" w:ascii="宋体" w:hAnsi="宋体" w:eastAsia="宋体" w:cs="宋体"/>
          <w:b/>
          <w:color w:val="auto"/>
          <w:kern w:val="2"/>
          <w:sz w:val="24"/>
          <w:szCs w:val="24"/>
          <w:highlight w:val="none"/>
        </w:rPr>
        <w:t>三、样品要求：</w:t>
      </w:r>
    </w:p>
    <w:p>
      <w:pPr>
        <w:keepNext w:val="0"/>
        <w:keepLines w:val="0"/>
        <w:pageBreakBefore w:val="0"/>
        <w:kinsoku/>
        <w:wordWrap/>
        <w:overflowPunct/>
        <w:topLinePunct w:val="0"/>
        <w:autoSpaceDE/>
        <w:autoSpaceDN/>
        <w:bidi w:val="0"/>
        <w:adjustRightInd/>
        <w:snapToGrid w:val="0"/>
        <w:spacing w:line="360" w:lineRule="auto"/>
        <w:ind w:right="0" w:firstLine="550"/>
        <w:rPr>
          <w:rStyle w:val="153"/>
          <w:rFonts w:hint="eastAsia" w:ascii="宋体" w:hAnsi="宋体" w:eastAsia="宋体" w:cs="宋体"/>
          <w:color w:val="auto"/>
          <w:sz w:val="24"/>
          <w:szCs w:val="24"/>
          <w:highlight w:val="none"/>
        </w:rPr>
      </w:pPr>
      <w:r>
        <w:rPr>
          <w:rStyle w:val="153"/>
          <w:rFonts w:hint="eastAsia" w:ascii="宋体" w:hAnsi="宋体" w:eastAsia="宋体" w:cs="宋体"/>
          <w:color w:val="auto"/>
          <w:sz w:val="24"/>
          <w:szCs w:val="24"/>
          <w:highlight w:val="none"/>
        </w:rPr>
        <w:t>1、投标样品应符合招标需求中对样品的要求，样品上应做好标记，标明投标项目名称及投标单位全称，并在标记处加盖投标人公章或投标授权代表签字。标记应牢固不易脱落，因标记不牢固造成标记脱落使样品无法识别的，投标人自行承担一切责任。</w:t>
      </w:r>
    </w:p>
    <w:p>
      <w:pPr>
        <w:keepNext w:val="0"/>
        <w:keepLines w:val="0"/>
        <w:pageBreakBefore w:val="0"/>
        <w:kinsoku/>
        <w:wordWrap/>
        <w:overflowPunct/>
        <w:topLinePunct w:val="0"/>
        <w:autoSpaceDE/>
        <w:autoSpaceDN/>
        <w:bidi w:val="0"/>
        <w:adjustRightInd/>
        <w:snapToGrid w:val="0"/>
        <w:spacing w:line="360" w:lineRule="auto"/>
        <w:ind w:right="0" w:firstLine="600" w:firstLineChars="250"/>
        <w:rPr>
          <w:rStyle w:val="153"/>
          <w:rFonts w:hint="eastAsia" w:ascii="宋体" w:hAnsi="宋体" w:eastAsia="宋体" w:cs="宋体"/>
          <w:color w:val="auto"/>
          <w:sz w:val="24"/>
          <w:szCs w:val="24"/>
          <w:highlight w:val="none"/>
        </w:rPr>
      </w:pPr>
      <w:r>
        <w:rPr>
          <w:rStyle w:val="153"/>
          <w:rFonts w:hint="eastAsia" w:ascii="宋体" w:hAnsi="宋体" w:eastAsia="宋体" w:cs="宋体"/>
          <w:color w:val="auto"/>
          <w:sz w:val="24"/>
          <w:szCs w:val="24"/>
          <w:highlight w:val="none"/>
        </w:rPr>
        <w:t>2、投标样品(每</w:t>
      </w:r>
      <w:r>
        <w:rPr>
          <w:rStyle w:val="153"/>
          <w:rFonts w:hint="eastAsia" w:ascii="宋体" w:hAnsi="宋体" w:eastAsia="宋体" w:cs="宋体"/>
          <w:color w:val="auto"/>
          <w:sz w:val="24"/>
          <w:szCs w:val="24"/>
          <w:highlight w:val="none"/>
          <w:lang w:eastAsia="zh-CN"/>
        </w:rPr>
        <w:t>只鸭胚</w:t>
      </w:r>
      <w:r>
        <w:rPr>
          <w:rStyle w:val="153"/>
          <w:rFonts w:hint="eastAsia" w:ascii="宋体" w:hAnsi="宋体" w:eastAsia="宋体" w:cs="宋体"/>
          <w:color w:val="auto"/>
          <w:sz w:val="24"/>
          <w:szCs w:val="24"/>
          <w:highlight w:val="none"/>
        </w:rPr>
        <w:t>各一个</w:t>
      </w:r>
      <w:r>
        <w:rPr>
          <w:rStyle w:val="153"/>
          <w:rFonts w:hint="eastAsia" w:ascii="宋体" w:hAnsi="宋体" w:eastAsia="宋体" w:cs="宋体"/>
          <w:color w:val="auto"/>
          <w:sz w:val="24"/>
          <w:szCs w:val="24"/>
          <w:highlight w:val="none"/>
          <w:lang w:eastAsia="zh-CN"/>
        </w:rPr>
        <w:t>，提前腌制好，现场进行烤制，自带餐盘和装饰，样品</w:t>
      </w:r>
      <w:r>
        <w:rPr>
          <w:rStyle w:val="153"/>
          <w:rFonts w:hint="eastAsia" w:ascii="宋体" w:hAnsi="宋体" w:cs="宋体"/>
          <w:color w:val="auto"/>
          <w:sz w:val="24"/>
          <w:szCs w:val="24"/>
          <w:highlight w:val="none"/>
          <w:lang w:eastAsia="zh-CN"/>
        </w:rPr>
        <w:t>采用</w:t>
      </w:r>
      <w:r>
        <w:rPr>
          <w:rStyle w:val="153"/>
          <w:rFonts w:hint="eastAsia" w:ascii="宋体" w:hAnsi="宋体" w:eastAsia="宋体" w:cs="宋体"/>
          <w:color w:val="auto"/>
          <w:sz w:val="24"/>
          <w:szCs w:val="24"/>
          <w:highlight w:val="none"/>
          <w:lang w:eastAsia="zh-CN"/>
        </w:rPr>
        <w:t>现场烤制</w:t>
      </w:r>
      <w:r>
        <w:rPr>
          <w:rStyle w:val="153"/>
          <w:rFonts w:hint="eastAsia" w:ascii="宋体" w:hAnsi="宋体" w:cs="宋体"/>
          <w:color w:val="auto"/>
          <w:sz w:val="24"/>
          <w:szCs w:val="24"/>
          <w:highlight w:val="none"/>
          <w:lang w:eastAsia="zh-CN"/>
        </w:rPr>
        <w:t>，</w:t>
      </w:r>
      <w:r>
        <w:rPr>
          <w:rStyle w:val="153"/>
          <w:rFonts w:hint="eastAsia" w:ascii="宋体" w:hAnsi="宋体" w:cs="宋体"/>
          <w:color w:val="auto"/>
          <w:sz w:val="24"/>
          <w:szCs w:val="24"/>
          <w:highlight w:val="yellow"/>
          <w:lang w:eastAsia="zh-CN"/>
        </w:rPr>
        <w:t>统一在早上</w:t>
      </w:r>
      <w:r>
        <w:rPr>
          <w:rStyle w:val="153"/>
          <w:rFonts w:hint="eastAsia" w:ascii="宋体" w:hAnsi="宋体" w:cs="宋体"/>
          <w:color w:val="auto"/>
          <w:sz w:val="24"/>
          <w:szCs w:val="24"/>
          <w:highlight w:val="yellow"/>
          <w:lang w:val="en-US" w:eastAsia="zh-CN"/>
        </w:rPr>
        <w:t>八点送到酒店自行烤制</w:t>
      </w:r>
      <w:r>
        <w:rPr>
          <w:rStyle w:val="153"/>
          <w:rFonts w:hint="eastAsia" w:ascii="宋体" w:hAnsi="宋体" w:cs="宋体"/>
          <w:color w:val="auto"/>
          <w:sz w:val="24"/>
          <w:szCs w:val="24"/>
          <w:highlight w:val="none"/>
          <w:lang w:val="en-US" w:eastAsia="zh-CN"/>
        </w:rPr>
        <w:t>）,</w:t>
      </w:r>
      <w:r>
        <w:rPr>
          <w:rStyle w:val="153"/>
          <w:rFonts w:hint="eastAsia" w:ascii="宋体" w:hAnsi="宋体" w:eastAsia="宋体" w:cs="宋体"/>
          <w:color w:val="auto"/>
          <w:sz w:val="24"/>
          <w:szCs w:val="24"/>
          <w:highlight w:val="none"/>
        </w:rPr>
        <w:t>应当在招标文件要求提交投标文件的截止时间前送达投标人须知前附表指定开标地点。</w:t>
      </w:r>
    </w:p>
    <w:p>
      <w:pPr>
        <w:keepNext w:val="0"/>
        <w:keepLines w:val="0"/>
        <w:pageBreakBefore w:val="0"/>
        <w:kinsoku/>
        <w:wordWrap/>
        <w:overflowPunct/>
        <w:topLinePunct w:val="0"/>
        <w:autoSpaceDE/>
        <w:autoSpaceDN/>
        <w:bidi w:val="0"/>
        <w:adjustRightInd/>
        <w:snapToGrid w:val="0"/>
        <w:spacing w:line="360" w:lineRule="auto"/>
        <w:ind w:right="0" w:firstLine="480" w:firstLineChars="200"/>
        <w:rPr>
          <w:rStyle w:val="153"/>
          <w:rFonts w:hint="eastAsia" w:ascii="宋体" w:hAnsi="宋体" w:eastAsia="宋体" w:cs="宋体"/>
          <w:color w:val="auto"/>
          <w:sz w:val="24"/>
          <w:szCs w:val="24"/>
          <w:highlight w:val="none"/>
        </w:rPr>
      </w:pPr>
      <w:r>
        <w:rPr>
          <w:rStyle w:val="153"/>
          <w:rFonts w:hint="eastAsia" w:ascii="宋体" w:hAnsi="宋体" w:eastAsia="宋体" w:cs="宋体"/>
          <w:color w:val="auto"/>
          <w:sz w:val="24"/>
          <w:szCs w:val="24"/>
          <w:highlight w:val="none"/>
        </w:rPr>
        <w:t>3、招标文件要求提交投标文件的截止时间之后送达或者不按照招标文件要求标记的，招标人将拒绝接收。</w:t>
      </w:r>
    </w:p>
    <w:p>
      <w:pPr>
        <w:pStyle w:val="151"/>
        <w:rPr>
          <w:color w:val="auto"/>
          <w:highlight w:val="none"/>
        </w:rPr>
      </w:pPr>
    </w:p>
    <w:p>
      <w:pPr>
        <w:pStyle w:val="151"/>
        <w:rPr>
          <w:color w:val="auto"/>
          <w:highlight w:val="none"/>
        </w:rPr>
      </w:pPr>
    </w:p>
    <w:p>
      <w:pPr>
        <w:pStyle w:val="151"/>
        <w:rPr>
          <w:color w:val="auto"/>
          <w:highlight w:val="none"/>
        </w:rPr>
      </w:pPr>
    </w:p>
    <w:p>
      <w:pPr>
        <w:pStyle w:val="151"/>
        <w:rPr>
          <w:color w:val="auto"/>
          <w:highlight w:val="none"/>
        </w:rPr>
      </w:pPr>
    </w:p>
    <w:p>
      <w:pPr>
        <w:pStyle w:val="151"/>
        <w:rPr>
          <w:color w:val="auto"/>
          <w:highlight w:val="none"/>
        </w:rPr>
      </w:pPr>
    </w:p>
    <w:p>
      <w:pPr>
        <w:pStyle w:val="151"/>
        <w:rPr>
          <w:color w:val="auto"/>
          <w:highlight w:val="none"/>
        </w:rPr>
      </w:pPr>
    </w:p>
    <w:p>
      <w:pPr>
        <w:pStyle w:val="151"/>
        <w:rPr>
          <w:color w:val="auto"/>
          <w:highlight w:val="none"/>
        </w:rPr>
      </w:pPr>
    </w:p>
    <w:p>
      <w:pPr>
        <w:pStyle w:val="151"/>
        <w:rPr>
          <w:color w:val="auto"/>
          <w:highlight w:val="none"/>
        </w:rPr>
      </w:pPr>
    </w:p>
    <w:p>
      <w:pPr>
        <w:pStyle w:val="151"/>
        <w:rPr>
          <w:color w:val="auto"/>
          <w:highlight w:val="none"/>
        </w:rPr>
      </w:pPr>
    </w:p>
    <w:p>
      <w:pPr>
        <w:pStyle w:val="151"/>
        <w:rPr>
          <w:color w:val="auto"/>
          <w:highlight w:val="none"/>
        </w:rPr>
      </w:pPr>
    </w:p>
    <w:p>
      <w:pPr>
        <w:pStyle w:val="151"/>
        <w:rPr>
          <w:color w:val="auto"/>
          <w:highlight w:val="none"/>
        </w:rPr>
      </w:pPr>
    </w:p>
    <w:p>
      <w:pPr>
        <w:pStyle w:val="151"/>
        <w:rPr>
          <w:color w:val="auto"/>
          <w:highlight w:val="none"/>
        </w:rPr>
      </w:pPr>
    </w:p>
    <w:p>
      <w:pPr>
        <w:pStyle w:val="151"/>
        <w:rPr>
          <w:color w:val="auto"/>
          <w:highlight w:val="none"/>
        </w:rPr>
      </w:pPr>
    </w:p>
    <w:p>
      <w:pPr>
        <w:pStyle w:val="151"/>
        <w:rPr>
          <w:color w:val="auto"/>
          <w:highlight w:val="none"/>
        </w:rPr>
      </w:pPr>
    </w:p>
    <w:p>
      <w:pPr>
        <w:pStyle w:val="151"/>
        <w:rPr>
          <w:color w:val="auto"/>
          <w:highlight w:val="none"/>
        </w:rPr>
      </w:pPr>
    </w:p>
    <w:p>
      <w:pPr>
        <w:pStyle w:val="151"/>
        <w:rPr>
          <w:color w:val="auto"/>
          <w:highlight w:val="none"/>
        </w:rPr>
      </w:pPr>
    </w:p>
    <w:p>
      <w:pPr>
        <w:pStyle w:val="151"/>
        <w:rPr>
          <w:color w:val="auto"/>
          <w:highlight w:val="none"/>
        </w:rPr>
      </w:pPr>
    </w:p>
    <w:p>
      <w:pPr>
        <w:pStyle w:val="151"/>
        <w:rPr>
          <w:color w:val="auto"/>
          <w:highlight w:val="none"/>
        </w:rPr>
      </w:pPr>
    </w:p>
    <w:p>
      <w:pPr>
        <w:pStyle w:val="151"/>
        <w:rPr>
          <w:color w:val="auto"/>
          <w:highlight w:val="none"/>
        </w:rPr>
      </w:pPr>
    </w:p>
    <w:p>
      <w:pPr>
        <w:pStyle w:val="151"/>
        <w:rPr>
          <w:color w:val="auto"/>
          <w:highlight w:val="none"/>
        </w:rPr>
      </w:pPr>
    </w:p>
    <w:p>
      <w:pPr>
        <w:pStyle w:val="151"/>
        <w:rPr>
          <w:color w:val="auto"/>
          <w:highlight w:val="none"/>
        </w:rPr>
      </w:pPr>
    </w:p>
    <w:p>
      <w:pPr>
        <w:pStyle w:val="6"/>
        <w:spacing w:line="500" w:lineRule="exact"/>
        <w:ind w:firstLine="0"/>
        <w:rPr>
          <w:rFonts w:ascii="宋体" w:hAnsi="宋体" w:eastAsia="宋体"/>
          <w:color w:val="auto"/>
          <w:highlight w:val="none"/>
        </w:rPr>
      </w:pPr>
      <w:bookmarkStart w:id="49" w:name="_Toc29332"/>
      <w:r>
        <w:rPr>
          <w:rFonts w:hint="eastAsia" w:ascii="宋体" w:hAnsi="宋体" w:eastAsia="宋体"/>
          <w:color w:val="auto"/>
          <w:highlight w:val="none"/>
        </w:rPr>
        <w:t>第五章 评标办法</w:t>
      </w:r>
      <w:bookmarkEnd w:id="48"/>
      <w:bookmarkEnd w:id="49"/>
    </w:p>
    <w:p>
      <w:pPr>
        <w:autoSpaceDE w:val="0"/>
        <w:autoSpaceDN w:val="0"/>
        <w:adjustRightInd w:val="0"/>
        <w:spacing w:line="360" w:lineRule="auto"/>
        <w:ind w:firstLine="241" w:firstLineChars="100"/>
        <w:jc w:val="left"/>
        <w:rPr>
          <w:rFonts w:hint="eastAsia" w:ascii="宋体" w:hAnsi="宋体" w:eastAsia="宋体" w:cs="宋体"/>
          <w:b/>
          <w:color w:val="auto"/>
          <w:sz w:val="24"/>
          <w:szCs w:val="24"/>
          <w:highlight w:val="none"/>
          <w:u w:val="single"/>
        </w:rPr>
      </w:pPr>
      <w:r>
        <w:rPr>
          <w:rFonts w:hint="eastAsia" w:ascii="宋体" w:hAnsi="宋体" w:eastAsia="宋体" w:cs="宋体"/>
          <w:b/>
          <w:bCs/>
          <w:color w:val="auto"/>
          <w:sz w:val="24"/>
          <w:szCs w:val="24"/>
          <w:highlight w:val="none"/>
        </w:rPr>
        <w:t>1.</w:t>
      </w:r>
      <w:r>
        <w:rPr>
          <w:rFonts w:hint="eastAsia" w:ascii="宋体" w:hAnsi="宋体" w:eastAsia="宋体" w:cs="宋体"/>
          <w:color w:val="auto"/>
          <w:sz w:val="24"/>
          <w:szCs w:val="24"/>
          <w:highlight w:val="none"/>
        </w:rPr>
        <w:t>为了做好</w:t>
      </w:r>
      <w:r>
        <w:rPr>
          <w:rFonts w:hint="eastAsia" w:ascii="宋体" w:hAnsi="宋体" w:eastAsia="宋体" w:cs="宋体"/>
          <w:color w:val="auto"/>
          <w:sz w:val="24"/>
          <w:szCs w:val="24"/>
          <w:highlight w:val="none"/>
          <w:u w:val="single"/>
          <w:lang w:eastAsia="zh-CN"/>
        </w:rPr>
        <w:t>合肥泓瑞金陵大酒店烤鸭食材供应及现场制作服务</w:t>
      </w:r>
      <w:r>
        <w:rPr>
          <w:rFonts w:hint="eastAsia" w:ascii="宋体" w:hAnsi="宋体" w:eastAsia="宋体" w:cs="宋体"/>
          <w:color w:val="auto"/>
          <w:sz w:val="24"/>
          <w:szCs w:val="24"/>
          <w:highlight w:val="none"/>
          <w:u w:val="single"/>
        </w:rPr>
        <w:t>项目（项目编号：</w:t>
      </w:r>
      <w:r>
        <w:rPr>
          <w:rFonts w:hint="eastAsia" w:ascii="宋体" w:hAnsi="宋体" w:eastAsia="宋体" w:cs="宋体"/>
          <w:color w:val="auto"/>
          <w:sz w:val="24"/>
          <w:szCs w:val="24"/>
          <w:highlight w:val="none"/>
          <w:u w:val="single"/>
          <w:lang w:eastAsia="zh-CN"/>
        </w:rPr>
        <w:t>2023WLBLZB00080号）</w:t>
      </w:r>
      <w:r>
        <w:rPr>
          <w:rFonts w:hint="eastAsia" w:ascii="宋体" w:hAnsi="宋体" w:eastAsia="宋体" w:cs="宋体"/>
          <w:color w:val="auto"/>
          <w:sz w:val="24"/>
          <w:szCs w:val="24"/>
          <w:highlight w:val="none"/>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adjustRightInd w:val="0"/>
        <w:snapToGrid w:val="0"/>
        <w:spacing w:line="360" w:lineRule="auto"/>
        <w:ind w:right="-10" w:firstLine="422" w:firstLineChars="175"/>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Cs/>
          <w:color w:val="auto"/>
          <w:sz w:val="24"/>
          <w:szCs w:val="24"/>
          <w:highlight w:val="none"/>
        </w:rPr>
        <w:t xml:space="preserve"> 本次项目评标采用</w:t>
      </w:r>
      <w:r>
        <w:rPr>
          <w:rFonts w:hint="eastAsia" w:ascii="宋体" w:hAnsi="宋体" w:eastAsia="宋体" w:cs="宋体"/>
          <w:bCs/>
          <w:color w:val="auto"/>
          <w:sz w:val="24"/>
          <w:szCs w:val="24"/>
          <w:highlight w:val="none"/>
          <w:u w:val="single"/>
        </w:rPr>
        <w:t>综合评分法</w:t>
      </w:r>
      <w:r>
        <w:rPr>
          <w:rFonts w:hint="eastAsia" w:ascii="宋体" w:hAnsi="宋体" w:eastAsia="宋体" w:cs="宋体"/>
          <w:bCs/>
          <w:color w:val="auto"/>
          <w:sz w:val="24"/>
          <w:szCs w:val="24"/>
          <w:highlight w:val="none"/>
        </w:rPr>
        <w:t>作为对投标人标书的比较方法</w:t>
      </w:r>
      <w:r>
        <w:rPr>
          <w:rFonts w:hint="eastAsia" w:ascii="宋体" w:hAnsi="宋体" w:eastAsia="宋体" w:cs="宋体"/>
          <w:color w:val="auto"/>
          <w:sz w:val="24"/>
          <w:szCs w:val="24"/>
          <w:highlight w:val="none"/>
        </w:rPr>
        <w:t>。</w:t>
      </w:r>
    </w:p>
    <w:p>
      <w:pPr>
        <w:adjustRightInd w:val="0"/>
        <w:snapToGrid w:val="0"/>
        <w:spacing w:line="360" w:lineRule="auto"/>
        <w:ind w:left="-61" w:leftChars="-29"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color w:val="auto"/>
          <w:sz w:val="24"/>
          <w:szCs w:val="24"/>
          <w:highlight w:val="none"/>
        </w:rPr>
        <w:t>本项目将依法组建不少于</w:t>
      </w:r>
      <w:r>
        <w:rPr>
          <w:rFonts w:hint="eastAsia" w:ascii="宋体" w:hAnsi="宋体" w:eastAsia="宋体" w:cs="宋体"/>
          <w:b/>
          <w:color w:val="auto"/>
          <w:sz w:val="24"/>
          <w:szCs w:val="24"/>
          <w:highlight w:val="none"/>
          <w:u w:val="single"/>
        </w:rPr>
        <w:t>5</w:t>
      </w:r>
      <w:r>
        <w:rPr>
          <w:rFonts w:hint="eastAsia" w:ascii="宋体" w:hAnsi="宋体" w:eastAsia="宋体" w:cs="宋体"/>
          <w:color w:val="auto"/>
          <w:sz w:val="24"/>
          <w:szCs w:val="24"/>
          <w:highlight w:val="none"/>
        </w:rPr>
        <w:t>人的评标委员会，负责本项目的评标工作。</w:t>
      </w:r>
    </w:p>
    <w:p>
      <w:pPr>
        <w:adjustRightInd w:val="0"/>
        <w:snapToGrid w:val="0"/>
        <w:spacing w:line="360" w:lineRule="auto"/>
        <w:ind w:left="-61" w:leftChars="-29"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color w:val="auto"/>
          <w:sz w:val="24"/>
          <w:szCs w:val="24"/>
          <w:highlight w:val="none"/>
        </w:rPr>
        <w:t>评标委员会按照“客观公正，实事求是”的原则，评价参加本次招标的投标人所提供的产品或服务价格、性能、质量、服务及对招标文件的符合性及响应性。</w:t>
      </w:r>
    </w:p>
    <w:p>
      <w:pPr>
        <w:adjustRightInd w:val="0"/>
        <w:snapToGrid w:val="0"/>
        <w:spacing w:line="360" w:lineRule="auto"/>
        <w:ind w:right="-1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color w:val="auto"/>
          <w:sz w:val="24"/>
          <w:szCs w:val="24"/>
          <w:highlight w:val="none"/>
        </w:rPr>
        <w:t>有效投标应符合以下原则：</w:t>
      </w:r>
    </w:p>
    <w:p>
      <w:pPr>
        <w:spacing w:line="360" w:lineRule="auto"/>
        <w:ind w:left="480" w:right="-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5.1满足招标文件的实质性要求；</w:t>
      </w:r>
    </w:p>
    <w:p>
      <w:pPr>
        <w:spacing w:line="360" w:lineRule="auto"/>
        <w:ind w:left="480" w:right="-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5.2无重大偏离、保留或招标人不能接受的附加条件；</w:t>
      </w:r>
    </w:p>
    <w:p>
      <w:pPr>
        <w:spacing w:line="360" w:lineRule="auto"/>
        <w:ind w:left="480" w:right="-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5.3通过初审；</w:t>
      </w:r>
    </w:p>
    <w:p>
      <w:pPr>
        <w:adjustRightInd w:val="0"/>
        <w:snapToGrid w:val="0"/>
        <w:spacing w:line="360" w:lineRule="auto"/>
        <w:ind w:right="-1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5.4评标委员会依据招标文件认定的其他原则。</w:t>
      </w:r>
    </w:p>
    <w:p>
      <w:pPr>
        <w:adjustRightInd w:val="0"/>
        <w:snapToGrid w:val="0"/>
        <w:spacing w:line="360" w:lineRule="auto"/>
        <w:ind w:right="-1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color w:val="auto"/>
          <w:sz w:val="24"/>
          <w:szCs w:val="24"/>
          <w:highlight w:val="none"/>
        </w:rPr>
        <w:t>评标委员会遵循公开、公平、公正和科学诚信的原则，对所有投标文件均采用相同程序和标准，进行评定。</w:t>
      </w:r>
    </w:p>
    <w:p>
      <w:pPr>
        <w:adjustRightInd w:val="0"/>
        <w:snapToGrid w:val="0"/>
        <w:spacing w:line="360" w:lineRule="auto"/>
        <w:ind w:right="-10" w:firstLine="422" w:firstLineChars="175"/>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w:t>
      </w:r>
      <w:r>
        <w:rPr>
          <w:rFonts w:hint="eastAsia" w:ascii="宋体" w:hAnsi="宋体" w:eastAsia="宋体" w:cs="宋体"/>
          <w:color w:val="auto"/>
          <w:sz w:val="24"/>
          <w:szCs w:val="24"/>
          <w:highlight w:val="none"/>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360" w:lineRule="auto"/>
        <w:ind w:right="-1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对于询标后判定的结论（如通过或不通过），评标委员会应提出充足的理由，根据招标文件给定的评审指标进行判定，并予以书面记录。</w:t>
      </w:r>
    </w:p>
    <w:p>
      <w:pPr>
        <w:adjustRightInd w:val="0"/>
        <w:snapToGrid w:val="0"/>
        <w:spacing w:line="360" w:lineRule="auto"/>
        <w:ind w:right="-1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评标委员会独立评审后，对投标人某项评审指标如有不同意见，按照少数服从多数的原则，确定该项评审指标的最终结论。</w:t>
      </w:r>
    </w:p>
    <w:p>
      <w:pPr>
        <w:adjustRightInd w:val="0"/>
        <w:snapToGrid w:val="0"/>
        <w:spacing w:line="360" w:lineRule="auto"/>
        <w:ind w:right="-10" w:firstLine="422" w:firstLineChars="175"/>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8.</w:t>
      </w:r>
      <w:r>
        <w:rPr>
          <w:rFonts w:hint="eastAsia" w:ascii="宋体" w:hAnsi="宋体" w:eastAsia="宋体" w:cs="宋体"/>
          <w:bCs/>
          <w:color w:val="auto"/>
          <w:sz w:val="24"/>
          <w:szCs w:val="24"/>
          <w:highlight w:val="none"/>
        </w:rPr>
        <w:t>评审程序</w:t>
      </w:r>
    </w:p>
    <w:p>
      <w:pPr>
        <w:spacing w:line="360" w:lineRule="auto"/>
        <w:ind w:firstLine="54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本项目采用综合评分法进行评审，在最大限度地满足招标文件实质性要求前提下，按照招标文件中规定的各项因素进行综合评审。综合评分法的主要因素是：技术部分、商务部分以及相应的比重。</w:t>
      </w:r>
    </w:p>
    <w:p>
      <w:pPr>
        <w:spacing w:line="360" w:lineRule="auto"/>
        <w:ind w:firstLine="54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评标委员会遵循规定评标原则，对投标人进行初审、详细评审、技术部分、商务部分以及</w:t>
      </w:r>
      <w:r>
        <w:rPr>
          <w:rFonts w:hint="eastAsia" w:ascii="宋体" w:hAnsi="宋体" w:eastAsia="宋体" w:cs="宋体"/>
          <w:bCs/>
          <w:color w:val="auto"/>
          <w:sz w:val="24"/>
          <w:szCs w:val="24"/>
          <w:highlight w:val="none"/>
          <w:lang w:val="en-US" w:eastAsia="zh-CN"/>
        </w:rPr>
        <w:t>报价</w:t>
      </w:r>
      <w:r>
        <w:rPr>
          <w:rFonts w:hint="eastAsia" w:ascii="宋体" w:hAnsi="宋体" w:eastAsia="宋体" w:cs="宋体"/>
          <w:bCs/>
          <w:color w:val="auto"/>
          <w:sz w:val="24"/>
          <w:szCs w:val="24"/>
          <w:highlight w:val="none"/>
        </w:rPr>
        <w:t>得分计算确定中标候选人。</w:t>
      </w:r>
    </w:p>
    <w:p>
      <w:pPr>
        <w:spacing w:line="360" w:lineRule="auto"/>
        <w:ind w:firstLine="54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8.1初审</w:t>
      </w:r>
    </w:p>
    <w:p>
      <w:pPr>
        <w:adjustRightInd w:val="0"/>
        <w:snapToGrid w:val="0"/>
        <w:spacing w:line="360" w:lineRule="auto"/>
        <w:ind w:right="-10" w:firstLine="420" w:firstLineChars="17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评标委员会按下表内容对所有投标人进行初审：</w:t>
      </w:r>
    </w:p>
    <w:tbl>
      <w:tblPr>
        <w:tblStyle w:val="51"/>
        <w:tblW w:w="959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867"/>
        <w:gridCol w:w="2527"/>
        <w:gridCol w:w="709"/>
        <w:gridCol w:w="3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597" w:type="dxa"/>
            <w:gridSpan w:val="5"/>
            <w:noWrap w:val="0"/>
            <w:vAlign w:val="center"/>
          </w:tcPr>
          <w:p>
            <w:pPr>
              <w:pStyle w:val="121"/>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4"/>
                <w:szCs w:val="24"/>
              </w:rPr>
            </w:pPr>
            <w:r>
              <w:rPr>
                <w:rFonts w:hint="eastAsia" w:ascii="宋体" w:hAnsi="宋体" w:eastAsia="宋体" w:cs="宋体"/>
                <w:b/>
                <w:color w:val="000000"/>
                <w:sz w:val="24"/>
                <w:szCs w:val="24"/>
              </w:rPr>
              <w:t>项目评审表（废标指标一览表）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10" w:type="dxa"/>
            <w:tcBorders>
              <w:bottom w:val="single" w:color="auto" w:sz="4" w:space="0"/>
            </w:tcBorders>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867" w:type="dxa"/>
            <w:tcBorders>
              <w:bottom w:val="single" w:color="auto" w:sz="4" w:space="0"/>
            </w:tcBorders>
            <w:noWrap w:val="0"/>
            <w:vAlign w:val="center"/>
          </w:tcPr>
          <w:p>
            <w:pPr>
              <w:pStyle w:val="121"/>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指标名称</w:t>
            </w:r>
          </w:p>
        </w:tc>
        <w:tc>
          <w:tcPr>
            <w:tcW w:w="2527" w:type="dxa"/>
            <w:tcBorders>
              <w:bottom w:val="single" w:color="auto" w:sz="4" w:space="0"/>
            </w:tcBorders>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指标要求</w:t>
            </w:r>
          </w:p>
        </w:tc>
        <w:tc>
          <w:tcPr>
            <w:tcW w:w="709" w:type="dxa"/>
            <w:tcBorders>
              <w:bottom w:val="single" w:color="auto" w:sz="4" w:space="0"/>
            </w:tcBorders>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是否通过</w:t>
            </w:r>
          </w:p>
        </w:tc>
        <w:tc>
          <w:tcPr>
            <w:tcW w:w="3784" w:type="dxa"/>
            <w:tcBorders>
              <w:bottom w:val="single" w:color="auto" w:sz="4" w:space="0"/>
            </w:tcBorders>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10" w:type="dxa"/>
            <w:tcBorders>
              <w:bottom w:val="single" w:color="auto" w:sz="4" w:space="0"/>
            </w:tcBorders>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867" w:type="dxa"/>
            <w:tcBorders>
              <w:bottom w:val="single" w:color="auto" w:sz="4" w:space="0"/>
            </w:tcBorders>
            <w:noWrap w:val="0"/>
            <w:vAlign w:val="center"/>
          </w:tcPr>
          <w:p>
            <w:pPr>
              <w:pStyle w:val="113"/>
              <w:spacing w:line="360" w:lineRule="auto"/>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投标人名称</w:t>
            </w:r>
          </w:p>
        </w:tc>
        <w:tc>
          <w:tcPr>
            <w:tcW w:w="2527" w:type="dxa"/>
            <w:tcBorders>
              <w:bottom w:val="single" w:color="auto" w:sz="4" w:space="0"/>
            </w:tcBorders>
            <w:noWrap w:val="0"/>
            <w:vAlign w:val="center"/>
          </w:tcPr>
          <w:p>
            <w:pPr>
              <w:pStyle w:val="113"/>
              <w:spacing w:line="360" w:lineRule="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与营业执照一致</w:t>
            </w:r>
          </w:p>
        </w:tc>
        <w:tc>
          <w:tcPr>
            <w:tcW w:w="709" w:type="dxa"/>
            <w:tcBorders>
              <w:bottom w:val="single" w:color="auto" w:sz="4" w:space="0"/>
            </w:tcBorders>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p>
        </w:tc>
        <w:tc>
          <w:tcPr>
            <w:tcW w:w="3784" w:type="dxa"/>
            <w:tcBorders>
              <w:bottom w:val="single" w:color="auto" w:sz="4" w:space="0"/>
            </w:tcBorders>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10" w:type="dxa"/>
            <w:tcBorders>
              <w:bottom w:val="single" w:color="auto" w:sz="4" w:space="0"/>
            </w:tcBorders>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867" w:type="dxa"/>
            <w:tcBorders>
              <w:bottom w:val="single" w:color="auto" w:sz="4" w:space="0"/>
            </w:tcBorders>
            <w:noWrap w:val="0"/>
            <w:vAlign w:val="center"/>
          </w:tcPr>
          <w:p>
            <w:pPr>
              <w:spacing w:line="360" w:lineRule="auto"/>
              <w:ind w:right="-11"/>
              <w:jc w:val="center"/>
              <w:rPr>
                <w:rFonts w:hint="eastAsia" w:ascii="宋体" w:hAnsi="宋体" w:eastAsia="宋体" w:cs="宋体"/>
                <w:color w:val="000000"/>
                <w:sz w:val="24"/>
                <w:szCs w:val="24"/>
              </w:rPr>
            </w:pPr>
            <w:r>
              <w:rPr>
                <w:rFonts w:hint="eastAsia" w:ascii="宋体" w:hAnsi="宋体" w:eastAsia="宋体" w:cs="宋体"/>
                <w:color w:val="000000"/>
                <w:sz w:val="24"/>
                <w:szCs w:val="24"/>
              </w:rPr>
              <w:t>营业执照或事业单位法人证书</w:t>
            </w:r>
          </w:p>
        </w:tc>
        <w:tc>
          <w:tcPr>
            <w:tcW w:w="2527" w:type="dxa"/>
            <w:tcBorders>
              <w:bottom w:val="single" w:color="auto" w:sz="4" w:space="0"/>
            </w:tcBorders>
            <w:noWrap w:val="0"/>
            <w:vAlign w:val="center"/>
          </w:tcPr>
          <w:p>
            <w:pPr>
              <w:spacing w:line="360" w:lineRule="auto"/>
              <w:ind w:right="-11"/>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合法有效</w:t>
            </w:r>
          </w:p>
        </w:tc>
        <w:tc>
          <w:tcPr>
            <w:tcW w:w="709" w:type="dxa"/>
            <w:tcBorders>
              <w:bottom w:val="single" w:color="auto" w:sz="4" w:space="0"/>
            </w:tcBorders>
            <w:noWrap w:val="0"/>
            <w:vAlign w:val="center"/>
          </w:tcPr>
          <w:p>
            <w:pPr>
              <w:adjustRightInd w:val="0"/>
              <w:snapToGrid w:val="0"/>
              <w:spacing w:line="360" w:lineRule="auto"/>
              <w:ind w:right="-11"/>
              <w:jc w:val="center"/>
              <w:rPr>
                <w:rFonts w:hint="eastAsia" w:ascii="宋体" w:hAnsi="宋体" w:eastAsia="宋体" w:cs="宋体"/>
                <w:color w:val="000000"/>
                <w:sz w:val="24"/>
                <w:szCs w:val="24"/>
              </w:rPr>
            </w:pPr>
          </w:p>
        </w:tc>
        <w:tc>
          <w:tcPr>
            <w:tcW w:w="3784" w:type="dxa"/>
            <w:tcBorders>
              <w:bottom w:val="single" w:color="auto" w:sz="4" w:space="0"/>
            </w:tcBorders>
            <w:noWrap w:val="0"/>
            <w:vAlign w:val="center"/>
          </w:tcPr>
          <w:p>
            <w:pPr>
              <w:adjustRightInd w:val="0"/>
              <w:snapToGrid w:val="0"/>
              <w:spacing w:line="360" w:lineRule="auto"/>
              <w:ind w:right="-11"/>
              <w:jc w:val="center"/>
              <w:rPr>
                <w:rFonts w:hint="eastAsia" w:ascii="宋体" w:hAnsi="宋体" w:eastAsia="宋体" w:cs="宋体"/>
                <w:color w:val="000000"/>
                <w:sz w:val="24"/>
                <w:szCs w:val="24"/>
              </w:rPr>
            </w:pPr>
            <w:r>
              <w:rPr>
                <w:rFonts w:hint="eastAsia" w:ascii="宋体" w:hAnsi="宋体" w:eastAsia="宋体" w:cs="宋体"/>
                <w:color w:val="000000"/>
                <w:sz w:val="24"/>
                <w:szCs w:val="24"/>
              </w:rPr>
              <w:t>提供有效的营业执照（或事业单位法人证书）的扫描件</w:t>
            </w:r>
            <w:r>
              <w:rPr>
                <w:rFonts w:hint="eastAsia" w:ascii="宋体" w:hAnsi="宋体" w:eastAsia="宋体" w:cs="宋体"/>
                <w:b/>
                <w:bCs/>
                <w:color w:val="000000"/>
                <w:sz w:val="24"/>
                <w:szCs w:val="24"/>
              </w:rPr>
              <w:t>，应完整的体现出营业执照</w:t>
            </w:r>
            <w:r>
              <w:rPr>
                <w:rFonts w:hint="eastAsia" w:ascii="宋体" w:hAnsi="宋体" w:eastAsia="宋体" w:cs="宋体"/>
                <w:b/>
                <w:color w:val="000000"/>
                <w:sz w:val="24"/>
                <w:szCs w:val="24"/>
              </w:rPr>
              <w:t>（或事业单位法人证书）</w:t>
            </w:r>
            <w:r>
              <w:rPr>
                <w:rFonts w:hint="eastAsia" w:ascii="宋体" w:hAnsi="宋体" w:eastAsia="宋体" w:cs="宋体"/>
                <w:b/>
                <w:bCs/>
                <w:color w:val="000000"/>
                <w:sz w:val="24"/>
                <w:szCs w:val="24"/>
              </w:rPr>
              <w:t>的全部内容。</w:t>
            </w:r>
            <w:r>
              <w:rPr>
                <w:rFonts w:hint="eastAsia" w:ascii="宋体" w:hAnsi="宋体" w:eastAsia="宋体" w:cs="宋体"/>
                <w:bCs/>
                <w:color w:val="000000"/>
                <w:sz w:val="24"/>
                <w:szCs w:val="24"/>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10" w:type="dxa"/>
            <w:tcBorders>
              <w:bottom w:val="single" w:color="auto" w:sz="4" w:space="0"/>
            </w:tcBorders>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867" w:type="dxa"/>
            <w:tcBorders>
              <w:bottom w:val="single" w:color="auto" w:sz="4" w:space="0"/>
            </w:tcBorders>
            <w:noWrap w:val="0"/>
            <w:vAlign w:val="center"/>
          </w:tcPr>
          <w:p>
            <w:pPr>
              <w:spacing w:after="50"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投标人资格条件</w:t>
            </w:r>
          </w:p>
        </w:tc>
        <w:tc>
          <w:tcPr>
            <w:tcW w:w="2527" w:type="dxa"/>
            <w:tcBorders>
              <w:bottom w:val="single" w:color="auto" w:sz="4" w:space="0"/>
            </w:tcBorders>
            <w:noWrap w:val="0"/>
            <w:vAlign w:val="center"/>
          </w:tcPr>
          <w:p>
            <w:pPr>
              <w:spacing w:after="50"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符合招标公告要求</w:t>
            </w:r>
          </w:p>
        </w:tc>
        <w:tc>
          <w:tcPr>
            <w:tcW w:w="709" w:type="dxa"/>
            <w:tcBorders>
              <w:bottom w:val="single" w:color="auto" w:sz="4" w:space="0"/>
            </w:tcBorders>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p>
        </w:tc>
        <w:tc>
          <w:tcPr>
            <w:tcW w:w="3784" w:type="dxa"/>
            <w:tcBorders>
              <w:bottom w:val="single" w:color="auto" w:sz="4" w:space="0"/>
            </w:tcBorders>
            <w:noWrap w:val="0"/>
            <w:vAlign w:val="center"/>
          </w:tcPr>
          <w:p>
            <w:pPr>
              <w:adjustRightInd w:val="0"/>
              <w:snapToGrid w:val="0"/>
              <w:spacing w:line="360" w:lineRule="auto"/>
              <w:ind w:right="-10"/>
              <w:jc w:val="left"/>
              <w:rPr>
                <w:rFonts w:hint="eastAsia" w:ascii="宋体" w:hAnsi="宋体" w:eastAsia="宋体" w:cs="宋体"/>
                <w:bCs/>
                <w:color w:val="000000"/>
                <w:sz w:val="24"/>
                <w:szCs w:val="24"/>
              </w:rPr>
            </w:pPr>
            <w:r>
              <w:rPr>
                <w:rFonts w:hint="eastAsia" w:ascii="宋体" w:hAnsi="宋体" w:eastAsia="宋体" w:cs="宋体"/>
                <w:color w:val="000000"/>
                <w:sz w:val="24"/>
                <w:szCs w:val="24"/>
              </w:rPr>
              <w:t>1.详见第一章投标邀请“投标人资格”</w:t>
            </w:r>
            <w:r>
              <w:rPr>
                <w:rFonts w:hint="eastAsia" w:ascii="宋体" w:hAnsi="宋体" w:eastAsia="宋体" w:cs="宋体"/>
                <w:bCs/>
                <w:color w:val="000000"/>
                <w:sz w:val="24"/>
                <w:szCs w:val="24"/>
              </w:rPr>
              <w:t>；</w:t>
            </w:r>
          </w:p>
          <w:p>
            <w:pPr>
              <w:adjustRightInd w:val="0"/>
              <w:snapToGrid w:val="0"/>
              <w:spacing w:line="360" w:lineRule="auto"/>
              <w:ind w:right="-10"/>
              <w:jc w:val="left"/>
              <w:rPr>
                <w:rFonts w:hint="eastAsia" w:ascii="宋体" w:hAnsi="宋体" w:eastAsia="宋体" w:cs="宋体"/>
                <w:color w:val="000000"/>
                <w:sz w:val="24"/>
                <w:szCs w:val="24"/>
              </w:rPr>
            </w:pPr>
            <w:r>
              <w:rPr>
                <w:rFonts w:hint="eastAsia" w:ascii="宋体" w:hAnsi="宋体" w:eastAsia="宋体" w:cs="宋体"/>
                <w:color w:val="000000"/>
                <w:sz w:val="24"/>
                <w:szCs w:val="24"/>
              </w:rPr>
              <w:t>2.提供资质证书扫描件。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867" w:type="dxa"/>
            <w:noWrap w:val="0"/>
            <w:vAlign w:val="center"/>
          </w:tcPr>
          <w:p>
            <w:pPr>
              <w:spacing w:after="50"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投标函</w:t>
            </w:r>
          </w:p>
        </w:tc>
        <w:tc>
          <w:tcPr>
            <w:tcW w:w="2527" w:type="dxa"/>
            <w:noWrap w:val="0"/>
            <w:vAlign w:val="center"/>
          </w:tcPr>
          <w:p>
            <w:pPr>
              <w:spacing w:after="50"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符合招标文件要求</w:t>
            </w:r>
          </w:p>
        </w:tc>
        <w:tc>
          <w:tcPr>
            <w:tcW w:w="709" w:type="dxa"/>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p>
        </w:tc>
        <w:tc>
          <w:tcPr>
            <w:tcW w:w="3784" w:type="dxa"/>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867" w:type="dxa"/>
            <w:noWrap w:val="0"/>
            <w:vAlign w:val="center"/>
          </w:tcPr>
          <w:p>
            <w:pPr>
              <w:spacing w:after="50"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开标一览表</w:t>
            </w:r>
          </w:p>
        </w:tc>
        <w:tc>
          <w:tcPr>
            <w:tcW w:w="2527" w:type="dxa"/>
            <w:noWrap w:val="0"/>
            <w:vAlign w:val="center"/>
          </w:tcPr>
          <w:p>
            <w:pPr>
              <w:spacing w:after="50"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符合招标文件要求</w:t>
            </w:r>
          </w:p>
        </w:tc>
        <w:tc>
          <w:tcPr>
            <w:tcW w:w="709" w:type="dxa"/>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p>
        </w:tc>
        <w:tc>
          <w:tcPr>
            <w:tcW w:w="3784" w:type="dxa"/>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第七章投标文件格式一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867" w:type="dxa"/>
            <w:noWrap w:val="0"/>
            <w:vAlign w:val="center"/>
          </w:tcPr>
          <w:p>
            <w:pPr>
              <w:spacing w:after="50"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投标报价</w:t>
            </w:r>
          </w:p>
        </w:tc>
        <w:tc>
          <w:tcPr>
            <w:tcW w:w="2527" w:type="dxa"/>
            <w:noWrap w:val="0"/>
            <w:vAlign w:val="center"/>
          </w:tcPr>
          <w:p>
            <w:pPr>
              <w:spacing w:after="50"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符合招标文件要求</w:t>
            </w:r>
          </w:p>
        </w:tc>
        <w:tc>
          <w:tcPr>
            <w:tcW w:w="709" w:type="dxa"/>
            <w:noWrap w:val="0"/>
            <w:vAlign w:val="center"/>
          </w:tcPr>
          <w:p>
            <w:pPr>
              <w:adjustRightInd w:val="0"/>
              <w:snapToGrid w:val="0"/>
              <w:spacing w:line="360" w:lineRule="auto"/>
              <w:ind w:right="-11"/>
              <w:jc w:val="center"/>
              <w:rPr>
                <w:rFonts w:hint="eastAsia" w:ascii="宋体" w:hAnsi="宋体" w:eastAsia="宋体" w:cs="宋体"/>
                <w:color w:val="000000"/>
                <w:sz w:val="24"/>
                <w:szCs w:val="24"/>
              </w:rPr>
            </w:pPr>
          </w:p>
        </w:tc>
        <w:tc>
          <w:tcPr>
            <w:tcW w:w="3784" w:type="dxa"/>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1867" w:type="dxa"/>
            <w:noWrap w:val="0"/>
            <w:vAlign w:val="center"/>
          </w:tcPr>
          <w:p>
            <w:pPr>
              <w:autoSpaceDE w:val="0"/>
              <w:autoSpaceDN w:val="0"/>
              <w:adjustRightInd w:val="0"/>
              <w:spacing w:line="360" w:lineRule="auto"/>
              <w:ind w:firstLine="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投标保证金</w:t>
            </w:r>
          </w:p>
        </w:tc>
        <w:tc>
          <w:tcPr>
            <w:tcW w:w="2527" w:type="dxa"/>
            <w:noWrap w:val="0"/>
            <w:vAlign w:val="center"/>
          </w:tcPr>
          <w:p>
            <w:pPr>
              <w:spacing w:line="360" w:lineRule="auto"/>
              <w:ind w:right="-11"/>
              <w:jc w:val="center"/>
              <w:rPr>
                <w:rFonts w:hint="eastAsia" w:ascii="宋体" w:hAnsi="宋体" w:eastAsia="宋体" w:cs="宋体"/>
                <w:color w:val="000000"/>
                <w:sz w:val="24"/>
                <w:szCs w:val="24"/>
              </w:rPr>
            </w:pPr>
            <w:r>
              <w:rPr>
                <w:rFonts w:hint="eastAsia" w:ascii="宋体" w:hAnsi="宋体" w:eastAsia="宋体" w:cs="宋体"/>
                <w:color w:val="000000"/>
                <w:sz w:val="24"/>
                <w:szCs w:val="24"/>
              </w:rPr>
              <w:t>符合招标文件要求</w:t>
            </w:r>
          </w:p>
        </w:tc>
        <w:tc>
          <w:tcPr>
            <w:tcW w:w="709" w:type="dxa"/>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p>
        </w:tc>
        <w:tc>
          <w:tcPr>
            <w:tcW w:w="3784" w:type="dxa"/>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867" w:type="dxa"/>
            <w:noWrap w:val="0"/>
            <w:vAlign w:val="center"/>
          </w:tcPr>
          <w:p>
            <w:pPr>
              <w:spacing w:after="50"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投标授权书</w:t>
            </w:r>
          </w:p>
        </w:tc>
        <w:tc>
          <w:tcPr>
            <w:tcW w:w="2527" w:type="dxa"/>
            <w:noWrap w:val="0"/>
            <w:vAlign w:val="center"/>
          </w:tcPr>
          <w:p>
            <w:pPr>
              <w:spacing w:after="50"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符合招标文件要求</w:t>
            </w:r>
          </w:p>
        </w:tc>
        <w:tc>
          <w:tcPr>
            <w:tcW w:w="709" w:type="dxa"/>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p>
        </w:tc>
        <w:tc>
          <w:tcPr>
            <w:tcW w:w="3784" w:type="dxa"/>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要求详见第七章投标文件格式“投标授权书”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dxa"/>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1867" w:type="dxa"/>
            <w:noWrap w:val="0"/>
            <w:vAlign w:val="center"/>
          </w:tcPr>
          <w:p>
            <w:pPr>
              <w:spacing w:after="50"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投标人信用记录证明材料</w:t>
            </w:r>
          </w:p>
        </w:tc>
        <w:tc>
          <w:tcPr>
            <w:tcW w:w="2527" w:type="dxa"/>
            <w:noWrap w:val="0"/>
            <w:vAlign w:val="center"/>
          </w:tcPr>
          <w:p>
            <w:pPr>
              <w:spacing w:after="50"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符合招标文件要求</w:t>
            </w:r>
          </w:p>
        </w:tc>
        <w:tc>
          <w:tcPr>
            <w:tcW w:w="709" w:type="dxa"/>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p>
        </w:tc>
        <w:tc>
          <w:tcPr>
            <w:tcW w:w="3784" w:type="dxa"/>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具体详见第七章响应文件格式“投标人信用承诺”</w:t>
            </w:r>
            <w:r>
              <w:rPr>
                <w:rFonts w:hint="eastAsia" w:ascii="宋体" w:hAnsi="宋体" w:eastAsia="宋体" w:cs="宋体"/>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710" w:type="dxa"/>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867" w:type="dxa"/>
            <w:noWrap w:val="0"/>
            <w:vAlign w:val="center"/>
          </w:tcPr>
          <w:p>
            <w:pPr>
              <w:spacing w:after="50"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标书响应情况</w:t>
            </w:r>
          </w:p>
        </w:tc>
        <w:tc>
          <w:tcPr>
            <w:tcW w:w="2527" w:type="dxa"/>
            <w:noWrap w:val="0"/>
            <w:vAlign w:val="center"/>
          </w:tcPr>
          <w:p>
            <w:pPr>
              <w:spacing w:after="50"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付款响应、服务期限响应等</w:t>
            </w:r>
          </w:p>
        </w:tc>
        <w:tc>
          <w:tcPr>
            <w:tcW w:w="709" w:type="dxa"/>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p>
        </w:tc>
        <w:tc>
          <w:tcPr>
            <w:tcW w:w="3784" w:type="dxa"/>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710" w:type="dxa"/>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1867" w:type="dxa"/>
            <w:noWrap w:val="0"/>
            <w:vAlign w:val="center"/>
          </w:tcPr>
          <w:p>
            <w:pPr>
              <w:spacing w:after="50"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标书规范性</w:t>
            </w:r>
          </w:p>
        </w:tc>
        <w:tc>
          <w:tcPr>
            <w:tcW w:w="2527" w:type="dxa"/>
            <w:noWrap w:val="0"/>
            <w:vAlign w:val="center"/>
          </w:tcPr>
          <w:p>
            <w:pPr>
              <w:pStyle w:val="121"/>
              <w:pBdr>
                <w:bottom w:val="none" w:color="auto" w:sz="0" w:space="0"/>
              </w:pBdr>
              <w:tabs>
                <w:tab w:val="clear" w:pos="4153"/>
                <w:tab w:val="clear" w:pos="8306"/>
              </w:tabs>
              <w:adjustRightInd/>
              <w:spacing w:after="50" w:line="360" w:lineRule="auto"/>
              <w:ind w:right="-10"/>
              <w:textAlignment w:val="auto"/>
              <w:rPr>
                <w:rFonts w:hint="eastAsia" w:ascii="宋体" w:hAnsi="宋体" w:eastAsia="宋体" w:cs="宋体"/>
                <w:color w:val="000000"/>
                <w:kern w:val="2"/>
                <w:sz w:val="24"/>
                <w:szCs w:val="24"/>
              </w:rPr>
            </w:pPr>
            <w:r>
              <w:rPr>
                <w:rFonts w:hint="eastAsia" w:ascii="宋体" w:hAnsi="宋体" w:eastAsia="宋体" w:cs="宋体"/>
                <w:color w:val="000000"/>
                <w:sz w:val="24"/>
                <w:szCs w:val="24"/>
              </w:rPr>
              <w:t>无严重的编排混乱、内容不全或字迹模糊辨认不清、前后矛盾情况，对评标无实质性影响的</w:t>
            </w:r>
          </w:p>
        </w:tc>
        <w:tc>
          <w:tcPr>
            <w:tcW w:w="709" w:type="dxa"/>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p>
        </w:tc>
        <w:tc>
          <w:tcPr>
            <w:tcW w:w="3784" w:type="dxa"/>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710" w:type="dxa"/>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1867" w:type="dxa"/>
            <w:noWrap w:val="0"/>
            <w:vAlign w:val="center"/>
          </w:tcPr>
          <w:p>
            <w:pPr>
              <w:spacing w:after="50"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其他要求</w:t>
            </w:r>
          </w:p>
        </w:tc>
        <w:tc>
          <w:tcPr>
            <w:tcW w:w="2527" w:type="dxa"/>
            <w:noWrap w:val="0"/>
            <w:vAlign w:val="center"/>
          </w:tcPr>
          <w:p>
            <w:pPr>
              <w:spacing w:after="50" w:line="360" w:lineRule="auto"/>
              <w:ind w:right="-1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上述指标中未列出，但国家相关法律法规或招标文件有明确规定的</w:t>
            </w:r>
          </w:p>
        </w:tc>
        <w:tc>
          <w:tcPr>
            <w:tcW w:w="709" w:type="dxa"/>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p>
        </w:tc>
        <w:tc>
          <w:tcPr>
            <w:tcW w:w="3784" w:type="dxa"/>
            <w:noWrap w:val="0"/>
            <w:vAlign w:val="center"/>
          </w:tcPr>
          <w:p>
            <w:pPr>
              <w:adjustRightInd w:val="0"/>
              <w:snapToGrid w:val="0"/>
              <w:spacing w:line="360" w:lineRule="auto"/>
              <w:ind w:right="-1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7" w:type="dxa"/>
            <w:gridSpan w:val="5"/>
            <w:noWrap w:val="0"/>
            <w:vAlign w:val="center"/>
          </w:tcPr>
          <w:p>
            <w:pPr>
              <w:spacing w:before="139"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评审指标通过标准：</w:t>
            </w:r>
          </w:p>
          <w:p>
            <w:pPr>
              <w:spacing w:before="139"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（1）资格审查采用定性方法，符合性评审，所有评审选项必须全部通过方为合格。</w:t>
            </w:r>
          </w:p>
          <w:p>
            <w:pPr>
              <w:adjustRightInd w:val="0"/>
              <w:snapToGrid w:val="0"/>
              <w:spacing w:line="360" w:lineRule="auto"/>
              <w:ind w:right="-10"/>
              <w:rPr>
                <w:rFonts w:hint="eastAsia" w:ascii="宋体" w:hAnsi="宋体" w:eastAsia="宋体" w:cs="宋体"/>
                <w:color w:val="000000"/>
                <w:sz w:val="24"/>
                <w:szCs w:val="24"/>
              </w:rPr>
            </w:pPr>
            <w:r>
              <w:rPr>
                <w:rFonts w:hint="eastAsia" w:ascii="宋体" w:hAnsi="宋体" w:eastAsia="宋体" w:cs="宋体"/>
                <w:color w:val="000000"/>
                <w:sz w:val="24"/>
                <w:szCs w:val="24"/>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（2）投标人提供的资料不全、不清楚、超出有效期等情况，将由评审委员会按照对投标人不利的解释去理解，由此产生的一切后果由投标人自行承担。</w:t>
            </w:r>
          </w:p>
          <w:p>
            <w:pPr>
              <w:adjustRightInd w:val="0"/>
              <w:snapToGrid w:val="0"/>
              <w:spacing w:line="360" w:lineRule="auto"/>
              <w:ind w:right="-10"/>
              <w:rPr>
                <w:rFonts w:hint="eastAsia" w:ascii="宋体" w:hAnsi="宋体" w:eastAsia="宋体" w:cs="宋体"/>
                <w:color w:val="000000"/>
                <w:sz w:val="24"/>
                <w:szCs w:val="24"/>
              </w:rPr>
            </w:pPr>
            <w:r>
              <w:rPr>
                <w:rFonts w:hint="eastAsia" w:ascii="宋体" w:hAnsi="宋体" w:eastAsia="宋体" w:cs="宋体"/>
                <w:color w:val="000000"/>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adjustRightInd w:val="0"/>
        <w:snapToGrid w:val="0"/>
        <w:spacing w:line="360" w:lineRule="auto"/>
        <w:ind w:right="-10" w:firstLine="420" w:firstLineChars="175"/>
        <w:rPr>
          <w:rFonts w:hint="eastAsia" w:ascii="宋体" w:hAnsi="宋体" w:eastAsia="宋体" w:cs="宋体"/>
          <w:bCs/>
          <w:color w:val="auto"/>
          <w:sz w:val="24"/>
          <w:szCs w:val="24"/>
          <w:highlight w:val="none"/>
        </w:rPr>
      </w:pPr>
      <w:bookmarkStart w:id="50" w:name="_Hlk514734618"/>
    </w:p>
    <w:p>
      <w:pPr>
        <w:adjustRightInd w:val="0"/>
        <w:snapToGrid w:val="0"/>
        <w:spacing w:line="360" w:lineRule="auto"/>
        <w:ind w:right="-10" w:firstLine="420" w:firstLineChars="17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8.2详细评审</w:t>
      </w:r>
    </w:p>
    <w:p>
      <w:pPr>
        <w:adjustRightInd w:val="0"/>
        <w:snapToGrid w:val="0"/>
        <w:spacing w:line="360" w:lineRule="auto"/>
        <w:ind w:right="-10" w:firstLine="420" w:firstLineChars="17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8.2.1</w:t>
      </w:r>
      <w:bookmarkStart w:id="51" w:name="_Hlk514734853"/>
      <w:r>
        <w:rPr>
          <w:rFonts w:hint="eastAsia" w:ascii="宋体" w:hAnsi="宋体" w:eastAsia="宋体" w:cs="宋体"/>
          <w:bCs/>
          <w:color w:val="auto"/>
          <w:sz w:val="24"/>
          <w:szCs w:val="24"/>
          <w:highlight w:val="none"/>
        </w:rPr>
        <w:t>评标委员会将对所有通过初审的投标文件进行详细评审，具体如下：</w:t>
      </w:r>
      <w:bookmarkEnd w:id="51"/>
    </w:p>
    <w:p>
      <w:pPr>
        <w:adjustRightInd w:val="0"/>
        <w:snapToGrid w:val="0"/>
        <w:spacing w:line="360" w:lineRule="auto"/>
        <w:ind w:right="-10" w:firstLine="420" w:firstLineChars="17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根据评分的细则，评委应对进入详细评审的所有投标文件进行评分，并分别填写打分表。</w:t>
      </w:r>
    </w:p>
    <w:p>
      <w:pPr>
        <w:adjustRightInd w:val="0"/>
        <w:snapToGrid w:val="0"/>
        <w:spacing w:line="360" w:lineRule="auto"/>
        <w:ind w:right="-10" w:firstLine="420" w:firstLineChars="17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将投标人每个分值项得分进行汇总并计算出平均值，得到该投标人该分值项的得分。</w:t>
      </w:r>
    </w:p>
    <w:p>
      <w:pPr>
        <w:adjustRightInd w:val="0"/>
        <w:snapToGrid w:val="0"/>
        <w:spacing w:line="360" w:lineRule="auto"/>
        <w:ind w:right="-10" w:firstLine="420" w:firstLineChars="17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投标人的各项得分均保留小数点后两位（小数点后第三位四舍五入）。</w:t>
      </w:r>
    </w:p>
    <w:p>
      <w:pPr>
        <w:adjustRightInd w:val="0"/>
        <w:snapToGrid w:val="0"/>
        <w:spacing w:line="360" w:lineRule="auto"/>
        <w:ind w:right="-10" w:firstLine="420" w:firstLineChars="175"/>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8.2.2</w:t>
      </w:r>
      <w:r>
        <w:rPr>
          <w:rFonts w:hint="eastAsia" w:ascii="宋体" w:hAnsi="宋体" w:eastAsia="宋体" w:cs="宋体"/>
          <w:color w:val="auto"/>
          <w:sz w:val="24"/>
          <w:szCs w:val="24"/>
          <w:highlight w:val="none"/>
        </w:rPr>
        <w:t>技术部分详细评审</w:t>
      </w:r>
      <w:bookmarkStart w:id="52" w:name="_Hlk514734883"/>
      <w:r>
        <w:rPr>
          <w:rFonts w:hint="eastAsia" w:ascii="宋体" w:hAnsi="宋体" w:eastAsia="宋体" w:cs="宋体"/>
          <w:bCs/>
          <w:color w:val="auto"/>
          <w:sz w:val="24"/>
          <w:szCs w:val="24"/>
          <w:highlight w:val="none"/>
        </w:rPr>
        <w:t>指标如下：</w:t>
      </w:r>
      <w:bookmarkEnd w:id="50"/>
      <w:bookmarkEnd w:id="52"/>
    </w:p>
    <w:tbl>
      <w:tblPr>
        <w:tblStyle w:val="51"/>
        <w:tblW w:w="10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430"/>
        <w:gridCol w:w="686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306" w:type="dxa"/>
            <w:gridSpan w:val="4"/>
            <w:noWrap w:val="0"/>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000000"/>
                <w:sz w:val="24"/>
                <w:szCs w:val="24"/>
              </w:rPr>
              <w:t>商务、技术部分详细评审表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46" w:type="dxa"/>
            <w:noWrap w:val="0"/>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430" w:type="dxa"/>
            <w:noWrap w:val="0"/>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w:t>
            </w:r>
          </w:p>
        </w:tc>
        <w:tc>
          <w:tcPr>
            <w:tcW w:w="6868" w:type="dxa"/>
            <w:noWrap w:val="0"/>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指标描述</w:t>
            </w:r>
          </w:p>
        </w:tc>
        <w:tc>
          <w:tcPr>
            <w:tcW w:w="1262" w:type="dxa"/>
            <w:noWrap w:val="0"/>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746" w:type="dxa"/>
            <w:noWrap w:val="0"/>
            <w:vAlign w:val="center"/>
          </w:tcPr>
          <w:p>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430" w:type="dxa"/>
            <w:noWrap w:val="0"/>
            <w:vAlign w:val="center"/>
          </w:tcPr>
          <w:p>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合作</w:t>
            </w:r>
            <w:r>
              <w:rPr>
                <w:rFonts w:hint="eastAsia" w:ascii="宋体" w:hAnsi="宋体" w:eastAsia="宋体" w:cs="宋体"/>
                <w:color w:val="auto"/>
                <w:kern w:val="0"/>
                <w:sz w:val="24"/>
                <w:szCs w:val="24"/>
                <w:highlight w:val="none"/>
              </w:rPr>
              <w:t>业绩</w:t>
            </w:r>
          </w:p>
        </w:tc>
        <w:tc>
          <w:tcPr>
            <w:tcW w:w="6868" w:type="dxa"/>
            <w:noWrap w:val="0"/>
            <w:vAlign w:val="center"/>
          </w:tcPr>
          <w:p>
            <w:pPr>
              <w:widowControl/>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自2020年1月1日以来（以合同签订时间为准），具有</w:t>
            </w:r>
            <w:r>
              <w:rPr>
                <w:rFonts w:hint="eastAsia" w:ascii="宋体" w:hAnsi="宋体" w:eastAsia="宋体" w:cs="宋体"/>
                <w:color w:val="auto"/>
                <w:kern w:val="0"/>
                <w:sz w:val="24"/>
                <w:szCs w:val="24"/>
                <w:highlight w:val="none"/>
                <w:lang w:eastAsia="zh-CN"/>
              </w:rPr>
              <w:t>酒店或酒楼烤鸭食材</w:t>
            </w:r>
            <w:r>
              <w:rPr>
                <w:rFonts w:hint="eastAsia" w:ascii="宋体" w:hAnsi="宋体" w:eastAsia="宋体" w:cs="宋体"/>
                <w:color w:val="auto"/>
                <w:kern w:val="0"/>
                <w:sz w:val="24"/>
                <w:szCs w:val="24"/>
                <w:highlight w:val="none"/>
              </w:rPr>
              <w:t>产品</w:t>
            </w:r>
            <w:r>
              <w:rPr>
                <w:rFonts w:hint="eastAsia" w:ascii="宋体" w:hAnsi="宋体" w:eastAsia="宋体" w:cs="宋体"/>
                <w:b/>
                <w:color w:val="auto"/>
                <w:kern w:val="0"/>
                <w:sz w:val="24"/>
                <w:szCs w:val="24"/>
                <w:highlight w:val="none"/>
              </w:rPr>
              <w:t>年</w:t>
            </w:r>
            <w:r>
              <w:rPr>
                <w:rFonts w:hint="eastAsia" w:ascii="宋体" w:hAnsi="宋体" w:eastAsia="宋体" w:cs="宋体"/>
                <w:color w:val="auto"/>
                <w:kern w:val="0"/>
                <w:sz w:val="24"/>
                <w:szCs w:val="24"/>
                <w:highlight w:val="none"/>
              </w:rPr>
              <w:t>供货业绩在</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万及以上的得3分，依此类推供应额每增加</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0万加3分，本项满分15分；</w:t>
            </w:r>
          </w:p>
          <w:p>
            <w:pPr>
              <w:widowControl/>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年供货业绩低于15万,不得分。业绩增加不足</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万不加分。</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投标文件中须同时提供以下业绩证明材料：</w:t>
            </w:r>
          </w:p>
          <w:p>
            <w:pPr>
              <w:numPr>
                <w:ilvl w:val="0"/>
                <w:numId w:val="5"/>
              </w:num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业绩合同扫描件；</w:t>
            </w:r>
          </w:p>
          <w:p>
            <w:pPr>
              <w:spacing w:line="360" w:lineRule="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与业绩合同对应的发票流水；</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供货业绩如不能将</w:t>
            </w:r>
            <w:r>
              <w:rPr>
                <w:rFonts w:hint="eastAsia" w:ascii="宋体" w:hAnsi="宋体" w:eastAsia="宋体" w:cs="宋体"/>
                <w:b/>
                <w:bCs/>
                <w:color w:val="auto"/>
                <w:sz w:val="24"/>
                <w:szCs w:val="24"/>
                <w:highlight w:val="none"/>
                <w:lang w:eastAsia="zh-CN"/>
              </w:rPr>
              <w:t>烤鸭食材</w:t>
            </w:r>
            <w:r>
              <w:rPr>
                <w:rFonts w:hint="eastAsia" w:ascii="宋体" w:hAnsi="宋体" w:eastAsia="宋体" w:cs="宋体"/>
                <w:b/>
                <w:bCs/>
                <w:color w:val="auto"/>
                <w:sz w:val="24"/>
                <w:szCs w:val="24"/>
                <w:highlight w:val="none"/>
              </w:rPr>
              <w:t>产品与其他项目分开，需合作甲方提供供货业绩金额证明</w:t>
            </w:r>
            <w:r>
              <w:rPr>
                <w:rFonts w:hint="eastAsia" w:ascii="宋体" w:hAnsi="宋体" w:cs="宋体"/>
                <w:b/>
                <w:bCs/>
                <w:color w:val="auto"/>
                <w:sz w:val="24"/>
                <w:szCs w:val="24"/>
                <w:highlight w:val="none"/>
                <w:lang w:val="en-US" w:eastAsia="zh-CN"/>
              </w:rPr>
              <w:t>并</w:t>
            </w:r>
            <w:r>
              <w:rPr>
                <w:rFonts w:hint="eastAsia" w:ascii="宋体" w:hAnsi="宋体" w:eastAsia="宋体" w:cs="宋体"/>
                <w:b/>
                <w:bCs/>
                <w:color w:val="auto"/>
                <w:sz w:val="24"/>
                <w:szCs w:val="24"/>
                <w:highlight w:val="none"/>
              </w:rPr>
              <w:t>盖章，且附供货清单。</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酒店</w:t>
            </w:r>
            <w:r>
              <w:rPr>
                <w:rFonts w:hint="eastAsia" w:ascii="宋体" w:hAnsi="宋体" w:eastAsia="宋体" w:cs="宋体"/>
                <w:b/>
                <w:bCs/>
                <w:color w:val="auto"/>
                <w:sz w:val="24"/>
                <w:szCs w:val="24"/>
                <w:highlight w:val="none"/>
                <w:lang w:eastAsia="zh-CN"/>
              </w:rPr>
              <w:t>或酒楼</w:t>
            </w:r>
            <w:r>
              <w:rPr>
                <w:rFonts w:hint="eastAsia" w:ascii="宋体" w:hAnsi="宋体" w:eastAsia="宋体" w:cs="宋体"/>
                <w:b/>
                <w:bCs/>
                <w:color w:val="auto"/>
                <w:sz w:val="24"/>
                <w:szCs w:val="24"/>
                <w:highlight w:val="none"/>
              </w:rPr>
              <w:t>是指具备餐厅</w:t>
            </w:r>
            <w:r>
              <w:rPr>
                <w:rFonts w:hint="eastAsia" w:ascii="宋体" w:hAnsi="宋体" w:eastAsia="宋体" w:cs="宋体"/>
                <w:b/>
                <w:bCs/>
                <w:color w:val="auto"/>
                <w:sz w:val="24"/>
                <w:szCs w:val="24"/>
                <w:highlight w:val="none"/>
                <w:lang w:eastAsia="zh-CN"/>
              </w:rPr>
              <w:t>、包厢</w:t>
            </w:r>
            <w:r>
              <w:rPr>
                <w:rFonts w:hint="eastAsia" w:ascii="宋体" w:hAnsi="宋体" w:eastAsia="宋体" w:cs="宋体"/>
                <w:b/>
                <w:bCs/>
                <w:color w:val="auto"/>
                <w:sz w:val="24"/>
                <w:szCs w:val="24"/>
                <w:highlight w:val="none"/>
              </w:rPr>
              <w:t>、宴会厅</w:t>
            </w:r>
            <w:r>
              <w:rPr>
                <w:rFonts w:hint="eastAsia" w:ascii="宋体" w:hAnsi="宋体" w:eastAsia="宋体" w:cs="宋体"/>
                <w:b/>
                <w:bCs/>
                <w:color w:val="auto"/>
                <w:sz w:val="24"/>
                <w:szCs w:val="24"/>
                <w:highlight w:val="none"/>
                <w:lang w:eastAsia="zh-CN"/>
              </w:rPr>
              <w:t>的餐饮行业</w:t>
            </w:r>
            <w:r>
              <w:rPr>
                <w:rFonts w:hint="eastAsia" w:ascii="宋体" w:hAnsi="宋体" w:eastAsia="宋体" w:cs="宋体"/>
                <w:b/>
                <w:bCs/>
                <w:color w:val="auto"/>
                <w:sz w:val="24"/>
                <w:szCs w:val="24"/>
                <w:highlight w:val="none"/>
              </w:rPr>
              <w:t>。</w:t>
            </w:r>
          </w:p>
        </w:tc>
        <w:tc>
          <w:tcPr>
            <w:tcW w:w="1262" w:type="dxa"/>
            <w:noWrap w:val="0"/>
            <w:vAlign w:val="center"/>
          </w:tcPr>
          <w:p>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jc w:val="center"/>
        </w:trPr>
        <w:tc>
          <w:tcPr>
            <w:tcW w:w="746" w:type="dxa"/>
            <w:noWrap w:val="0"/>
            <w:vAlign w:val="center"/>
          </w:tcPr>
          <w:p>
            <w:pPr>
              <w:widowControl/>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430" w:type="dxa"/>
            <w:noWrap w:val="0"/>
            <w:vAlign w:val="center"/>
          </w:tcPr>
          <w:p>
            <w:pPr>
              <w:widowControl/>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综合实力</w:t>
            </w:r>
          </w:p>
        </w:tc>
        <w:tc>
          <w:tcPr>
            <w:tcW w:w="6868" w:type="dxa"/>
            <w:noWrap w:val="0"/>
            <w:vAlign w:val="center"/>
          </w:tcPr>
          <w:p>
            <w:pPr>
              <w:widowControl/>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自2020年1月1日以来（以合同签订时间为准）具有</w:t>
            </w:r>
            <w:r>
              <w:rPr>
                <w:rFonts w:hint="eastAsia" w:ascii="宋体" w:hAnsi="宋体" w:eastAsia="宋体" w:cs="宋体"/>
                <w:color w:val="auto"/>
                <w:kern w:val="0"/>
                <w:sz w:val="24"/>
                <w:szCs w:val="24"/>
                <w:highlight w:val="none"/>
                <w:lang w:eastAsia="zh-CN"/>
              </w:rPr>
              <w:t>酒店或酒楼烤鸭食材</w:t>
            </w:r>
            <w:r>
              <w:rPr>
                <w:rFonts w:hint="eastAsia" w:ascii="宋体" w:hAnsi="宋体" w:eastAsia="宋体" w:cs="宋体"/>
                <w:color w:val="auto"/>
                <w:kern w:val="0"/>
                <w:sz w:val="24"/>
                <w:szCs w:val="24"/>
                <w:highlight w:val="none"/>
              </w:rPr>
              <w:t>产品供货有效合同签订数，每提供1家得2分，</w:t>
            </w:r>
            <w:r>
              <w:rPr>
                <w:rFonts w:hint="eastAsia" w:ascii="宋体" w:hAnsi="宋体" w:eastAsia="宋体" w:cs="宋体"/>
                <w:color w:val="auto"/>
                <w:kern w:val="0"/>
                <w:sz w:val="24"/>
                <w:szCs w:val="24"/>
                <w:highlight w:val="none"/>
                <w:lang w:val="en-US" w:eastAsia="zh-CN"/>
              </w:rPr>
              <w:t>本</w:t>
            </w:r>
            <w:r>
              <w:rPr>
                <w:rFonts w:hint="eastAsia" w:ascii="宋体" w:hAnsi="宋体" w:eastAsia="宋体" w:cs="宋体"/>
                <w:color w:val="auto"/>
                <w:kern w:val="0"/>
                <w:sz w:val="24"/>
                <w:szCs w:val="24"/>
                <w:highlight w:val="none"/>
              </w:rPr>
              <w:t>项满分10分。</w:t>
            </w:r>
          </w:p>
          <w:p>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备注：</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投标文件中须同时提供业绩合同扫描件；</w:t>
            </w:r>
          </w:p>
          <w:p>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如合同文本中无烤鸭食材字样，需由合作甲方提供供货证明材料并盖章；</w:t>
            </w:r>
          </w:p>
          <w:p>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合作</w:t>
            </w:r>
            <w:r>
              <w:rPr>
                <w:rFonts w:hint="eastAsia" w:ascii="宋体" w:hAnsi="宋体" w:eastAsia="宋体" w:cs="宋体"/>
                <w:b/>
                <w:bCs/>
                <w:color w:val="auto"/>
                <w:sz w:val="24"/>
                <w:szCs w:val="24"/>
                <w:highlight w:val="none"/>
                <w:lang w:eastAsia="zh-CN"/>
              </w:rPr>
              <w:t>甲方为同一单位的多份合同仅认定为一份有效合同；</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酒店或酒楼是指具备餐厅、包厢、宴会厅的餐饮行业。</w:t>
            </w:r>
          </w:p>
        </w:tc>
        <w:tc>
          <w:tcPr>
            <w:tcW w:w="1262" w:type="dxa"/>
            <w:noWrap w:val="0"/>
            <w:vAlign w:val="center"/>
          </w:tcPr>
          <w:p>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746" w:type="dxa"/>
            <w:noWrap w:val="0"/>
            <w:vAlign w:val="center"/>
          </w:tcPr>
          <w:p>
            <w:pPr>
              <w:widowControl/>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1430" w:type="dxa"/>
            <w:noWrap w:val="0"/>
            <w:vAlign w:val="center"/>
          </w:tcPr>
          <w:p>
            <w:pPr>
              <w:widowControl/>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烤鸭样品</w:t>
            </w:r>
          </w:p>
        </w:tc>
        <w:tc>
          <w:tcPr>
            <w:tcW w:w="6868" w:type="dxa"/>
            <w:noWrap w:val="0"/>
            <w:vAlign w:val="center"/>
          </w:tcPr>
          <w:p>
            <w:pPr>
              <w:spacing w:line="360" w:lineRule="auto"/>
              <w:jc w:val="left"/>
              <w:rPr>
                <w:rStyle w:val="153"/>
                <w:rFonts w:hint="eastAsia" w:ascii="宋体" w:hAnsi="宋体" w:eastAsia="宋体" w:cs="宋体"/>
                <w:bCs/>
                <w:color w:val="auto"/>
                <w:sz w:val="24"/>
                <w:szCs w:val="24"/>
                <w:highlight w:val="none"/>
              </w:rPr>
            </w:pPr>
            <w:r>
              <w:rPr>
                <w:rFonts w:hint="eastAsia" w:ascii="宋体" w:hAnsi="宋体" w:eastAsia="宋体" w:cs="宋体"/>
                <w:color w:val="auto"/>
                <w:spacing w:val="-8"/>
                <w:sz w:val="24"/>
                <w:szCs w:val="24"/>
                <w:highlight w:val="none"/>
              </w:rPr>
              <w:t>评标小</w:t>
            </w:r>
            <w:r>
              <w:rPr>
                <w:rStyle w:val="153"/>
                <w:rFonts w:hint="eastAsia" w:ascii="宋体" w:hAnsi="宋体" w:eastAsia="宋体" w:cs="宋体"/>
                <w:bCs/>
                <w:color w:val="auto"/>
                <w:sz w:val="24"/>
                <w:szCs w:val="24"/>
                <w:highlight w:val="none"/>
                <w:lang w:eastAsia="zh-CN"/>
              </w:rPr>
              <w:t>组</w:t>
            </w:r>
            <w:r>
              <w:rPr>
                <w:rStyle w:val="153"/>
                <w:rFonts w:hint="eastAsia" w:ascii="宋体" w:hAnsi="宋体" w:eastAsia="宋体" w:cs="宋体"/>
                <w:bCs/>
                <w:color w:val="auto"/>
                <w:sz w:val="24"/>
                <w:szCs w:val="24"/>
                <w:highlight w:val="none"/>
                <w:lang w:val="en-US" w:eastAsia="zh-CN"/>
              </w:rPr>
              <w:t>根</w:t>
            </w:r>
            <w:r>
              <w:rPr>
                <w:rStyle w:val="153"/>
                <w:rFonts w:hint="eastAsia" w:ascii="宋体" w:hAnsi="宋体" w:eastAsia="宋体" w:cs="宋体"/>
                <w:bCs/>
                <w:color w:val="auto"/>
                <w:sz w:val="24"/>
                <w:szCs w:val="24"/>
                <w:highlight w:val="none"/>
                <w:lang w:eastAsia="zh-CN"/>
              </w:rPr>
              <w:t>据投标人</w:t>
            </w:r>
            <w:r>
              <w:rPr>
                <w:rStyle w:val="153"/>
                <w:rFonts w:hint="eastAsia" w:ascii="宋体" w:hAnsi="宋体" w:eastAsia="宋体" w:cs="宋体"/>
                <w:bCs/>
                <w:color w:val="auto"/>
                <w:sz w:val="24"/>
                <w:szCs w:val="24"/>
                <w:highlight w:val="none"/>
                <w:lang w:val="en-US" w:eastAsia="zh-CN"/>
              </w:rPr>
              <w:t>提供</w:t>
            </w:r>
            <w:r>
              <w:rPr>
                <w:rStyle w:val="153"/>
                <w:rFonts w:hint="eastAsia" w:ascii="宋体" w:hAnsi="宋体" w:eastAsia="宋体" w:cs="宋体"/>
                <w:bCs/>
                <w:color w:val="auto"/>
                <w:sz w:val="24"/>
                <w:szCs w:val="24"/>
                <w:highlight w:val="none"/>
                <w:lang w:eastAsia="zh-CN"/>
              </w:rPr>
              <w:t>烤鸭成品</w:t>
            </w:r>
            <w:r>
              <w:rPr>
                <w:rStyle w:val="153"/>
                <w:rFonts w:hint="eastAsia" w:ascii="宋体" w:hAnsi="宋体" w:eastAsia="宋体" w:cs="宋体"/>
                <w:bCs/>
                <w:color w:val="auto"/>
                <w:sz w:val="24"/>
                <w:szCs w:val="24"/>
                <w:highlight w:val="none"/>
              </w:rPr>
              <w:t>的外观</w:t>
            </w:r>
            <w:r>
              <w:rPr>
                <w:rStyle w:val="153"/>
                <w:rFonts w:hint="eastAsia" w:ascii="宋体" w:hAnsi="宋体" w:eastAsia="宋体" w:cs="宋体"/>
                <w:bCs/>
                <w:color w:val="auto"/>
                <w:sz w:val="24"/>
                <w:szCs w:val="24"/>
                <w:highlight w:val="none"/>
                <w:lang w:eastAsia="zh-CN"/>
              </w:rPr>
              <w:t>饱满</w:t>
            </w:r>
            <w:r>
              <w:rPr>
                <w:rStyle w:val="153"/>
                <w:rFonts w:hint="eastAsia" w:ascii="宋体" w:hAnsi="宋体" w:eastAsia="宋体" w:cs="宋体"/>
                <w:bCs/>
                <w:color w:val="auto"/>
                <w:sz w:val="24"/>
                <w:szCs w:val="24"/>
                <w:highlight w:val="none"/>
              </w:rPr>
              <w:t>、口感</w:t>
            </w:r>
            <w:r>
              <w:rPr>
                <w:rStyle w:val="153"/>
                <w:rFonts w:hint="eastAsia" w:ascii="宋体" w:hAnsi="宋体" w:eastAsia="宋体" w:cs="宋体"/>
                <w:bCs/>
                <w:color w:val="auto"/>
                <w:sz w:val="24"/>
                <w:szCs w:val="24"/>
                <w:highlight w:val="none"/>
                <w:lang w:eastAsia="zh-CN"/>
              </w:rPr>
              <w:t>肥而不腻</w:t>
            </w:r>
            <w:r>
              <w:rPr>
                <w:rStyle w:val="153"/>
                <w:rFonts w:hint="eastAsia" w:ascii="宋体" w:hAnsi="宋体" w:eastAsia="宋体" w:cs="宋体"/>
                <w:bCs/>
                <w:color w:val="auto"/>
                <w:sz w:val="24"/>
                <w:szCs w:val="24"/>
                <w:highlight w:val="none"/>
              </w:rPr>
              <w:t>、</w:t>
            </w:r>
            <w:r>
              <w:rPr>
                <w:rStyle w:val="153"/>
                <w:rFonts w:hint="eastAsia" w:ascii="宋体" w:hAnsi="宋体" w:eastAsia="宋体" w:cs="宋体"/>
                <w:bCs/>
                <w:color w:val="auto"/>
                <w:sz w:val="24"/>
                <w:szCs w:val="24"/>
                <w:highlight w:val="none"/>
                <w:lang w:eastAsia="zh-CN"/>
              </w:rPr>
              <w:t>色泽光亮</w:t>
            </w:r>
            <w:r>
              <w:rPr>
                <w:rStyle w:val="153"/>
                <w:rFonts w:hint="eastAsia" w:ascii="宋体" w:hAnsi="宋体" w:eastAsia="宋体" w:cs="宋体"/>
                <w:bCs/>
                <w:color w:val="auto"/>
                <w:sz w:val="24"/>
                <w:szCs w:val="24"/>
                <w:highlight w:val="none"/>
              </w:rPr>
              <w:t>、</w:t>
            </w:r>
            <w:r>
              <w:rPr>
                <w:rStyle w:val="153"/>
                <w:rFonts w:hint="eastAsia" w:ascii="宋体" w:hAnsi="宋体" w:eastAsia="宋体" w:cs="宋体"/>
                <w:bCs/>
                <w:color w:val="auto"/>
                <w:sz w:val="24"/>
                <w:szCs w:val="24"/>
                <w:highlight w:val="none"/>
                <w:lang w:eastAsia="zh-CN"/>
              </w:rPr>
              <w:t>配料搭配（不少于</w:t>
            </w:r>
            <w:r>
              <w:rPr>
                <w:rStyle w:val="153"/>
                <w:rFonts w:hint="eastAsia" w:ascii="宋体" w:hAnsi="宋体" w:eastAsia="宋体" w:cs="宋体"/>
                <w:bCs/>
                <w:color w:val="auto"/>
                <w:sz w:val="24"/>
                <w:szCs w:val="24"/>
                <w:highlight w:val="none"/>
                <w:lang w:val="en-US" w:eastAsia="zh-CN"/>
              </w:rPr>
              <w:t>4种</w:t>
            </w:r>
            <w:r>
              <w:rPr>
                <w:rStyle w:val="153"/>
                <w:rFonts w:hint="eastAsia" w:ascii="宋体" w:hAnsi="宋体" w:eastAsia="宋体" w:cs="宋体"/>
                <w:bCs/>
                <w:color w:val="auto"/>
                <w:sz w:val="24"/>
                <w:szCs w:val="24"/>
                <w:highlight w:val="none"/>
                <w:lang w:eastAsia="zh-CN"/>
              </w:rPr>
              <w:t>）</w:t>
            </w:r>
            <w:r>
              <w:rPr>
                <w:rStyle w:val="153"/>
                <w:rFonts w:hint="eastAsia" w:ascii="宋体" w:hAnsi="宋体" w:eastAsia="宋体" w:cs="宋体"/>
                <w:bCs/>
                <w:color w:val="auto"/>
                <w:sz w:val="24"/>
                <w:szCs w:val="24"/>
                <w:highlight w:val="none"/>
              </w:rPr>
              <w:t>、</w:t>
            </w:r>
            <w:r>
              <w:rPr>
                <w:rStyle w:val="153"/>
                <w:rFonts w:hint="eastAsia" w:ascii="宋体" w:hAnsi="宋体" w:eastAsia="宋体" w:cs="宋体"/>
                <w:bCs/>
                <w:color w:val="auto"/>
                <w:sz w:val="24"/>
                <w:szCs w:val="24"/>
                <w:highlight w:val="none"/>
                <w:lang w:eastAsia="zh-CN"/>
              </w:rPr>
              <w:t>面皮薄厚均匀</w:t>
            </w:r>
            <w:r>
              <w:rPr>
                <w:rStyle w:val="153"/>
                <w:rFonts w:hint="eastAsia" w:ascii="宋体" w:hAnsi="宋体" w:eastAsia="宋体" w:cs="宋体"/>
                <w:bCs/>
                <w:color w:val="auto"/>
                <w:sz w:val="24"/>
                <w:szCs w:val="24"/>
                <w:highlight w:val="none"/>
                <w:lang w:val="en-US" w:eastAsia="zh-CN"/>
              </w:rPr>
              <w:t>、装盘大气、</w:t>
            </w:r>
            <w:r>
              <w:rPr>
                <w:rStyle w:val="153"/>
                <w:rFonts w:hint="eastAsia" w:ascii="宋体" w:hAnsi="宋体" w:eastAsia="宋体" w:cs="宋体"/>
                <w:bCs/>
                <w:color w:val="auto"/>
                <w:sz w:val="24"/>
                <w:szCs w:val="24"/>
                <w:highlight w:val="none"/>
              </w:rPr>
              <w:t>规格重量等各方面进行综合评分。</w:t>
            </w:r>
          </w:p>
          <w:p>
            <w:pPr>
              <w:widowControl/>
              <w:spacing w:line="400" w:lineRule="exact"/>
              <w:jc w:val="left"/>
              <w:rPr>
                <w:rStyle w:val="153"/>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优秀的得 10＜F≤15 分，良好的得 5＜F≤10分，一般的得 1≤F ≤5分，其他或未提供的不得分。</w:t>
            </w:r>
          </w:p>
        </w:tc>
        <w:tc>
          <w:tcPr>
            <w:tcW w:w="1262" w:type="dxa"/>
            <w:noWrap w:val="0"/>
            <w:vAlign w:val="center"/>
          </w:tcPr>
          <w:p>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746" w:type="dxa"/>
            <w:noWrap w:val="0"/>
            <w:vAlign w:val="center"/>
          </w:tcPr>
          <w:p>
            <w:pPr>
              <w:widowControl/>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1430" w:type="dxa"/>
            <w:noWrap w:val="0"/>
            <w:vAlign w:val="center"/>
          </w:tcPr>
          <w:p>
            <w:pPr>
              <w:widowControl/>
              <w:spacing w:line="40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进货渠道 </w:t>
            </w:r>
          </w:p>
        </w:tc>
        <w:tc>
          <w:tcPr>
            <w:tcW w:w="6868" w:type="dxa"/>
            <w:noWrap w:val="0"/>
            <w:vAlign w:val="center"/>
          </w:tcPr>
          <w:p>
            <w:pPr>
              <w:widowControl/>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spacing w:val="-8"/>
                <w:sz w:val="24"/>
                <w:szCs w:val="24"/>
                <w:highlight w:val="none"/>
              </w:rPr>
              <w:t>评标小组</w:t>
            </w:r>
            <w:r>
              <w:rPr>
                <w:rFonts w:hint="eastAsia" w:ascii="宋体" w:hAnsi="宋体" w:eastAsia="宋体" w:cs="宋体"/>
                <w:color w:val="auto"/>
                <w:spacing w:val="-8"/>
                <w:sz w:val="24"/>
                <w:szCs w:val="24"/>
                <w:highlight w:val="none"/>
                <w:lang w:val="en-US" w:eastAsia="zh-CN"/>
              </w:rPr>
              <w:t>根据</w:t>
            </w:r>
            <w:r>
              <w:rPr>
                <w:rFonts w:hint="eastAsia" w:ascii="宋体" w:hAnsi="宋体" w:eastAsia="宋体" w:cs="宋体"/>
                <w:color w:val="auto"/>
                <w:kern w:val="0"/>
                <w:sz w:val="24"/>
                <w:szCs w:val="24"/>
                <w:highlight w:val="none"/>
                <w:lang w:val="en-US" w:eastAsia="zh-CN"/>
              </w:rPr>
              <w:t>投标文件中提供进货渠道方案，内容包括但不限于：烤鸭的进货渠道、货源规模、产品检测报告等方面</w:t>
            </w:r>
            <w:r>
              <w:rPr>
                <w:rStyle w:val="153"/>
                <w:rFonts w:hint="eastAsia" w:ascii="宋体" w:hAnsi="宋体" w:eastAsia="宋体" w:cs="宋体"/>
                <w:bCs/>
                <w:color w:val="auto"/>
                <w:sz w:val="24"/>
                <w:szCs w:val="24"/>
                <w:highlight w:val="none"/>
              </w:rPr>
              <w:t>进行综合评分</w:t>
            </w:r>
            <w:r>
              <w:rPr>
                <w:rFonts w:hint="eastAsia" w:ascii="宋体" w:hAnsi="宋体" w:eastAsia="宋体" w:cs="宋体"/>
                <w:color w:val="auto"/>
                <w:kern w:val="0"/>
                <w:sz w:val="24"/>
                <w:szCs w:val="24"/>
                <w:highlight w:val="none"/>
                <w:lang w:val="en-US" w:eastAsia="zh-CN"/>
              </w:rPr>
              <w:t xml:space="preserve">。 </w:t>
            </w:r>
          </w:p>
          <w:p>
            <w:pPr>
              <w:widowControl/>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优秀的得 3＜F≤5 分，良好的得 1＜F≤3分，一般的得 0≤F </w:t>
            </w:r>
          </w:p>
          <w:p>
            <w:pPr>
              <w:widowControl/>
              <w:spacing w:line="40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 分，其他或未提供相关内容的不得分。</w:t>
            </w:r>
          </w:p>
        </w:tc>
        <w:tc>
          <w:tcPr>
            <w:tcW w:w="1262" w:type="dxa"/>
            <w:noWrap w:val="0"/>
            <w:vAlign w:val="center"/>
          </w:tcPr>
          <w:p>
            <w:pPr>
              <w:widowControl/>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746" w:type="dxa"/>
            <w:noWrap w:val="0"/>
            <w:vAlign w:val="center"/>
          </w:tcPr>
          <w:p>
            <w:pPr>
              <w:widowControl/>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1430" w:type="dxa"/>
            <w:noWrap w:val="0"/>
            <w:vAlign w:val="center"/>
          </w:tcPr>
          <w:p>
            <w:pPr>
              <w:widowControl/>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食品安全 </w:t>
            </w:r>
          </w:p>
          <w:p>
            <w:pPr>
              <w:widowControl/>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保障措施</w:t>
            </w:r>
          </w:p>
          <w:p>
            <w:pPr>
              <w:widowControl/>
              <w:spacing w:line="400" w:lineRule="exact"/>
              <w:jc w:val="left"/>
              <w:rPr>
                <w:rFonts w:hint="eastAsia" w:ascii="宋体" w:hAnsi="宋体" w:eastAsia="宋体" w:cs="宋体"/>
                <w:color w:val="auto"/>
                <w:kern w:val="0"/>
                <w:sz w:val="24"/>
                <w:szCs w:val="24"/>
                <w:highlight w:val="none"/>
                <w:lang w:val="en-US" w:eastAsia="zh-CN"/>
              </w:rPr>
            </w:pPr>
          </w:p>
        </w:tc>
        <w:tc>
          <w:tcPr>
            <w:tcW w:w="6868" w:type="dxa"/>
            <w:noWrap w:val="0"/>
            <w:vAlign w:val="center"/>
          </w:tcPr>
          <w:p>
            <w:pPr>
              <w:widowControl/>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spacing w:val="-8"/>
                <w:sz w:val="24"/>
                <w:szCs w:val="24"/>
                <w:highlight w:val="none"/>
              </w:rPr>
              <w:t>评标小组</w:t>
            </w:r>
            <w:r>
              <w:rPr>
                <w:rFonts w:hint="eastAsia" w:ascii="宋体" w:hAnsi="宋体" w:eastAsia="宋体" w:cs="宋体"/>
                <w:color w:val="auto"/>
                <w:spacing w:val="-8"/>
                <w:sz w:val="24"/>
                <w:szCs w:val="24"/>
                <w:highlight w:val="none"/>
                <w:lang w:val="en-US" w:eastAsia="zh-CN"/>
              </w:rPr>
              <w:t>根据</w:t>
            </w:r>
            <w:r>
              <w:rPr>
                <w:rFonts w:hint="eastAsia" w:ascii="宋体" w:hAnsi="宋体" w:eastAsia="宋体" w:cs="宋体"/>
                <w:color w:val="auto"/>
                <w:kern w:val="0"/>
                <w:sz w:val="24"/>
                <w:szCs w:val="24"/>
                <w:highlight w:val="none"/>
                <w:lang w:val="en-US" w:eastAsia="zh-CN"/>
              </w:rPr>
              <w:t>投标文件中提供食品安全保障措施，内容包括但不限于：是否派有健康证件的专业人才负责食材把关、是否具有多种方式实时管控、发生食品安全事故或出现产品质量问题后承诺应对措 施等方面</w:t>
            </w:r>
            <w:r>
              <w:rPr>
                <w:rStyle w:val="153"/>
                <w:rFonts w:hint="eastAsia" w:ascii="宋体" w:hAnsi="宋体" w:eastAsia="宋体" w:cs="宋体"/>
                <w:bCs/>
                <w:color w:val="auto"/>
                <w:sz w:val="24"/>
                <w:szCs w:val="24"/>
                <w:highlight w:val="none"/>
              </w:rPr>
              <w:t>进行综合评分</w:t>
            </w:r>
            <w:r>
              <w:rPr>
                <w:rFonts w:hint="eastAsia" w:ascii="宋体" w:hAnsi="宋体" w:eastAsia="宋体" w:cs="宋体"/>
                <w:color w:val="auto"/>
                <w:kern w:val="0"/>
                <w:sz w:val="24"/>
                <w:szCs w:val="24"/>
                <w:highlight w:val="none"/>
                <w:lang w:val="en-US" w:eastAsia="zh-CN"/>
              </w:rPr>
              <w:t xml:space="preserve">。 </w:t>
            </w:r>
          </w:p>
          <w:p>
            <w:pPr>
              <w:widowControl/>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优秀的得 3＜F≤5分，良好的得 1＜F≤3 分，一般的得 0≤F </w:t>
            </w:r>
          </w:p>
          <w:p>
            <w:pPr>
              <w:widowControl/>
              <w:spacing w:line="40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≤1分，其他或未提供相关内容的不得分。</w:t>
            </w:r>
          </w:p>
        </w:tc>
        <w:tc>
          <w:tcPr>
            <w:tcW w:w="1262" w:type="dxa"/>
            <w:noWrap w:val="0"/>
            <w:vAlign w:val="center"/>
          </w:tcPr>
          <w:p>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176" w:type="dxa"/>
            <w:gridSpan w:val="2"/>
            <w:noWrap w:val="0"/>
            <w:vAlign w:val="center"/>
          </w:tcPr>
          <w:p>
            <w:pPr>
              <w:widowControl/>
              <w:spacing w:line="40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合计</w:t>
            </w:r>
          </w:p>
        </w:tc>
        <w:tc>
          <w:tcPr>
            <w:tcW w:w="6868" w:type="dxa"/>
            <w:noWrap w:val="0"/>
            <w:vAlign w:val="center"/>
          </w:tcPr>
          <w:p>
            <w:pPr>
              <w:widowControl/>
              <w:spacing w:line="400" w:lineRule="exact"/>
              <w:jc w:val="left"/>
              <w:rPr>
                <w:rFonts w:hint="eastAsia" w:ascii="宋体" w:hAnsi="宋体" w:eastAsia="宋体" w:cs="宋体"/>
                <w:color w:val="auto"/>
                <w:kern w:val="0"/>
                <w:sz w:val="24"/>
                <w:szCs w:val="24"/>
                <w:highlight w:val="none"/>
                <w:lang w:val="en-US" w:eastAsia="zh-CN" w:bidi="ar-SA"/>
              </w:rPr>
            </w:pPr>
          </w:p>
        </w:tc>
        <w:tc>
          <w:tcPr>
            <w:tcW w:w="1262" w:type="dxa"/>
            <w:noWrap w:val="0"/>
            <w:vAlign w:val="center"/>
          </w:tcPr>
          <w:p>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06" w:type="dxa"/>
            <w:gridSpan w:val="4"/>
            <w:noWrap w:val="0"/>
            <w:vAlign w:val="center"/>
          </w:tcPr>
          <w:p>
            <w:pPr>
              <w:widowControl/>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上述所有技术标详细评审指标中涉及到的相关证明材料均须在商务、技术标响应文件中提供，未在商务、技术标响应文件中提供的，评标委员会可不予认可。</w:t>
            </w:r>
          </w:p>
        </w:tc>
      </w:tr>
    </w:tbl>
    <w:p>
      <w:pPr>
        <w:spacing w:line="360" w:lineRule="auto"/>
        <w:rPr>
          <w:rFonts w:ascii="宋体" w:hAnsi="宋体"/>
          <w:b/>
          <w:color w:val="auto"/>
          <w:sz w:val="24"/>
          <w:szCs w:val="24"/>
          <w:highlight w:val="none"/>
        </w:rPr>
      </w:pPr>
    </w:p>
    <w:p>
      <w:pPr>
        <w:spacing w:line="360" w:lineRule="auto"/>
        <w:rPr>
          <w:rFonts w:ascii="宋体" w:hAnsi="宋体"/>
          <w:b/>
          <w:color w:val="auto"/>
          <w:sz w:val="24"/>
          <w:szCs w:val="24"/>
          <w:highlight w:val="none"/>
        </w:rPr>
      </w:pPr>
      <w:r>
        <w:rPr>
          <w:rFonts w:hint="eastAsia" w:ascii="宋体" w:hAnsi="宋体"/>
          <w:b/>
          <w:color w:val="auto"/>
          <w:sz w:val="24"/>
          <w:szCs w:val="24"/>
          <w:highlight w:val="none"/>
        </w:rPr>
        <w:t>8.3</w:t>
      </w:r>
      <w:r>
        <w:rPr>
          <w:rFonts w:hint="eastAsia" w:ascii="宋体" w:hAnsi="宋体"/>
          <w:b/>
          <w:color w:val="auto"/>
          <w:sz w:val="24"/>
          <w:szCs w:val="24"/>
          <w:highlight w:val="none"/>
          <w:lang w:val="en-US" w:eastAsia="zh-CN"/>
        </w:rPr>
        <w:t>报价</w:t>
      </w:r>
      <w:r>
        <w:rPr>
          <w:rFonts w:hint="eastAsia" w:ascii="宋体" w:hAnsi="宋体"/>
          <w:b/>
          <w:color w:val="auto"/>
          <w:sz w:val="24"/>
          <w:szCs w:val="24"/>
          <w:highlight w:val="none"/>
        </w:rPr>
        <w:t>部分得分计算（</w:t>
      </w:r>
      <w:r>
        <w:rPr>
          <w:rFonts w:hint="eastAsia" w:ascii="宋体" w:hAnsi="宋体"/>
          <w:b/>
          <w:color w:val="auto"/>
          <w:sz w:val="24"/>
          <w:szCs w:val="24"/>
          <w:highlight w:val="none"/>
          <w:lang w:val="en-US" w:eastAsia="zh-CN"/>
        </w:rPr>
        <w:t>5</w:t>
      </w:r>
      <w:r>
        <w:rPr>
          <w:rFonts w:hint="eastAsia" w:ascii="宋体" w:hAnsi="宋体"/>
          <w:b/>
          <w:color w:val="auto"/>
          <w:sz w:val="24"/>
          <w:szCs w:val="24"/>
          <w:highlight w:val="none"/>
        </w:rPr>
        <w:t>0分）</w:t>
      </w:r>
    </w:p>
    <w:p>
      <w:pPr>
        <w:adjustRightInd w:val="0"/>
        <w:snapToGrid w:val="0"/>
        <w:spacing w:line="360" w:lineRule="auto"/>
        <w:ind w:right="-10"/>
        <w:rPr>
          <w:rFonts w:ascii="宋体" w:hAnsi="宋体"/>
          <w:bCs/>
          <w:color w:val="auto"/>
          <w:sz w:val="24"/>
          <w:szCs w:val="24"/>
          <w:highlight w:val="none"/>
        </w:rPr>
      </w:pPr>
      <w:r>
        <w:rPr>
          <w:rFonts w:hint="eastAsia" w:ascii="宋体" w:hAnsi="宋体"/>
          <w:bCs/>
          <w:color w:val="auto"/>
          <w:sz w:val="24"/>
          <w:szCs w:val="24"/>
          <w:highlight w:val="none"/>
        </w:rPr>
        <w:t>依据通过初审的有效投标人名单，其投标人的</w:t>
      </w:r>
      <w:r>
        <w:rPr>
          <w:rFonts w:hint="eastAsia" w:ascii="宋体" w:hAnsi="宋体"/>
          <w:bCs/>
          <w:color w:val="auto"/>
          <w:sz w:val="24"/>
          <w:szCs w:val="24"/>
          <w:highlight w:val="none"/>
          <w:lang w:val="en-US" w:eastAsia="zh-CN"/>
        </w:rPr>
        <w:t>报价</w:t>
      </w:r>
      <w:r>
        <w:rPr>
          <w:rFonts w:hint="eastAsia" w:ascii="宋体" w:hAnsi="宋体"/>
          <w:bCs/>
          <w:color w:val="auto"/>
          <w:sz w:val="24"/>
          <w:szCs w:val="24"/>
          <w:highlight w:val="none"/>
        </w:rPr>
        <w:t>部分得分按照以下方式计算：</w:t>
      </w:r>
    </w:p>
    <w:tbl>
      <w:tblPr>
        <w:tblStyle w:val="51"/>
        <w:tblW w:w="10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056"/>
        <w:gridCol w:w="6950"/>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报价部分</w:t>
            </w:r>
          </w:p>
        </w:tc>
        <w:tc>
          <w:tcPr>
            <w:tcW w:w="10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最终投标报价</w:t>
            </w:r>
          </w:p>
        </w:tc>
        <w:tc>
          <w:tcPr>
            <w:tcW w:w="69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highlight w:val="none"/>
              </w:rPr>
            </w:pPr>
            <w:r>
              <w:rPr>
                <w:rFonts w:ascii="宋体" w:hAnsi="宋体"/>
                <w:color w:val="000000"/>
                <w:sz w:val="24"/>
                <w:szCs w:val="24"/>
              </w:rPr>
              <w:t>价格分统一采用有效最低价法，即满足招标文件要求且投标价格最低的投标报价为评标基准价，其价格分为满分。其他投标人的价格分统一按照下列公式计算：投标报价得分＝（评标基准价/投标报价）×</w:t>
            </w:r>
            <w:r>
              <w:rPr>
                <w:rFonts w:hint="eastAsia" w:ascii="宋体" w:hAnsi="宋体"/>
                <w:color w:val="000000"/>
                <w:sz w:val="24"/>
                <w:szCs w:val="24"/>
                <w:lang w:val="en-US" w:eastAsia="zh-CN"/>
              </w:rPr>
              <w:t>5</w:t>
            </w:r>
            <w:r>
              <w:rPr>
                <w:rFonts w:hint="eastAsia" w:ascii="宋体" w:hAnsi="宋体"/>
                <w:color w:val="000000"/>
                <w:sz w:val="24"/>
                <w:szCs w:val="24"/>
              </w:rPr>
              <w:t>0</w:t>
            </w:r>
            <w:r>
              <w:rPr>
                <w:rFonts w:ascii="宋体" w:hAnsi="宋体"/>
                <w:color w:val="000000"/>
                <w:sz w:val="24"/>
                <w:szCs w:val="24"/>
              </w:rPr>
              <w:t>％×100</w:t>
            </w:r>
          </w:p>
        </w:tc>
        <w:tc>
          <w:tcPr>
            <w:tcW w:w="10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0-</w:t>
            </w:r>
            <w:r>
              <w:rPr>
                <w:rFonts w:hint="eastAsia" w:ascii="宋体" w:hAnsi="宋体" w:cs="宋体"/>
                <w:b/>
                <w:color w:val="auto"/>
                <w:kern w:val="0"/>
                <w:sz w:val="24"/>
                <w:szCs w:val="24"/>
                <w:highlight w:val="none"/>
                <w:u w:val="single"/>
                <w:lang w:val="en-US" w:eastAsia="zh-CN"/>
              </w:rPr>
              <w:t>5</w:t>
            </w:r>
            <w:r>
              <w:rPr>
                <w:rFonts w:ascii="宋体" w:hAnsi="宋体" w:cs="宋体"/>
                <w:b/>
                <w:color w:val="auto"/>
                <w:kern w:val="0"/>
                <w:sz w:val="24"/>
                <w:szCs w:val="24"/>
                <w:highlight w:val="none"/>
                <w:u w:val="single"/>
              </w:rPr>
              <w:t>0</w:t>
            </w:r>
            <w:r>
              <w:rPr>
                <w:rFonts w:hint="eastAsia" w:ascii="宋体" w:hAnsi="宋体" w:cs="宋体"/>
                <w:b/>
                <w:color w:val="auto"/>
                <w:kern w:val="0"/>
                <w:sz w:val="24"/>
                <w:szCs w:val="24"/>
                <w:highlight w:val="none"/>
              </w:rPr>
              <w:t>分</w:t>
            </w:r>
          </w:p>
        </w:tc>
      </w:tr>
    </w:tbl>
    <w:p>
      <w:pPr>
        <w:adjustRightInd w:val="0"/>
        <w:snapToGrid w:val="0"/>
        <w:spacing w:line="360" w:lineRule="auto"/>
        <w:ind w:right="-10" w:firstLine="482" w:firstLineChars="200"/>
        <w:rPr>
          <w:rFonts w:ascii="宋体" w:hAnsi="宋体"/>
          <w:color w:val="auto"/>
          <w:sz w:val="24"/>
          <w:highlight w:val="none"/>
        </w:rPr>
      </w:pPr>
      <w:bookmarkStart w:id="53" w:name="_Toc220232391"/>
      <w:r>
        <w:rPr>
          <w:rFonts w:hint="eastAsia" w:ascii="宋体" w:hAnsi="宋体"/>
          <w:b/>
          <w:color w:val="auto"/>
          <w:sz w:val="24"/>
          <w:szCs w:val="24"/>
          <w:highlight w:val="none"/>
        </w:rPr>
        <w:t>8.4确定中标候选人</w:t>
      </w:r>
    </w:p>
    <w:p>
      <w:pPr>
        <w:adjustRightInd w:val="0"/>
        <w:snapToGrid w:val="0"/>
        <w:spacing w:line="360" w:lineRule="auto"/>
        <w:ind w:right="-10" w:firstLine="420" w:firstLineChars="175"/>
        <w:rPr>
          <w:rFonts w:ascii="宋体" w:hAnsi="宋体"/>
          <w:bCs/>
          <w:color w:val="auto"/>
          <w:sz w:val="24"/>
          <w:highlight w:val="none"/>
        </w:rPr>
      </w:pPr>
      <w:r>
        <w:rPr>
          <w:rFonts w:hint="eastAsia" w:ascii="宋体" w:hAnsi="宋体"/>
          <w:bCs/>
          <w:color w:val="auto"/>
          <w:sz w:val="24"/>
          <w:highlight w:val="none"/>
        </w:rPr>
        <w:t>8.4.1计算最终得分</w:t>
      </w:r>
    </w:p>
    <w:p>
      <w:pPr>
        <w:adjustRightInd w:val="0"/>
        <w:snapToGrid w:val="0"/>
        <w:spacing w:line="360" w:lineRule="auto"/>
        <w:ind w:right="-10" w:firstLine="420" w:firstLineChars="175"/>
        <w:rPr>
          <w:rFonts w:ascii="宋体" w:hAnsi="宋体"/>
          <w:bCs/>
          <w:color w:val="auto"/>
          <w:sz w:val="24"/>
          <w:highlight w:val="none"/>
        </w:rPr>
      </w:pPr>
      <w:r>
        <w:rPr>
          <w:rFonts w:hint="eastAsia" w:ascii="宋体" w:hAnsi="宋体"/>
          <w:bCs/>
          <w:color w:val="auto"/>
          <w:sz w:val="24"/>
          <w:highlight w:val="none"/>
        </w:rPr>
        <w:t>将每个有效投标人的商务、技术部分得分加报价部分得分，得出该投标人的最终得分。</w:t>
      </w:r>
    </w:p>
    <w:p>
      <w:pPr>
        <w:adjustRightInd w:val="0"/>
        <w:snapToGrid w:val="0"/>
        <w:spacing w:line="360" w:lineRule="auto"/>
        <w:ind w:right="-10" w:firstLine="420" w:firstLineChars="175"/>
        <w:rPr>
          <w:rFonts w:ascii="宋体" w:hAnsi="宋体"/>
          <w:bCs/>
          <w:color w:val="auto"/>
          <w:sz w:val="24"/>
          <w:highlight w:val="none"/>
        </w:rPr>
      </w:pPr>
      <w:r>
        <w:rPr>
          <w:rFonts w:hint="eastAsia" w:ascii="宋体" w:hAnsi="宋体"/>
          <w:bCs/>
          <w:color w:val="auto"/>
          <w:sz w:val="24"/>
          <w:highlight w:val="none"/>
        </w:rPr>
        <w:t>投标人的各项得分均</w:t>
      </w:r>
      <w:bookmarkStart w:id="54" w:name="_Hlk514730679"/>
      <w:r>
        <w:rPr>
          <w:rFonts w:hint="eastAsia" w:ascii="宋体" w:hAnsi="宋体"/>
          <w:bCs/>
          <w:color w:val="auto"/>
          <w:sz w:val="24"/>
          <w:highlight w:val="none"/>
        </w:rPr>
        <w:t>保留小数点后两位（小数点后第三位四舍五入）</w:t>
      </w:r>
      <w:bookmarkEnd w:id="54"/>
      <w:r>
        <w:rPr>
          <w:rFonts w:hint="eastAsia" w:ascii="宋体" w:hAnsi="宋体"/>
          <w:bCs/>
          <w:color w:val="auto"/>
          <w:sz w:val="24"/>
          <w:highlight w:val="none"/>
        </w:rPr>
        <w:t>。</w:t>
      </w:r>
    </w:p>
    <w:p>
      <w:pPr>
        <w:adjustRightInd w:val="0"/>
        <w:snapToGrid w:val="0"/>
        <w:spacing w:line="360" w:lineRule="auto"/>
        <w:ind w:right="-10" w:firstLine="420" w:firstLineChars="175"/>
        <w:rPr>
          <w:rFonts w:ascii="宋体" w:hAnsi="宋体"/>
          <w:bCs/>
          <w:color w:val="auto"/>
          <w:sz w:val="24"/>
          <w:highlight w:val="none"/>
        </w:rPr>
      </w:pPr>
      <w:r>
        <w:rPr>
          <w:rFonts w:hint="eastAsia" w:ascii="宋体" w:hAnsi="宋体"/>
          <w:bCs/>
          <w:color w:val="auto"/>
          <w:sz w:val="24"/>
          <w:highlight w:val="none"/>
        </w:rPr>
        <w:t>8.4.2按照有效投标人最终得分由高到低排出中标候选人。</w:t>
      </w:r>
    </w:p>
    <w:p>
      <w:pPr>
        <w:adjustRightInd w:val="0"/>
        <w:snapToGrid w:val="0"/>
        <w:spacing w:line="360" w:lineRule="auto"/>
        <w:ind w:right="-10" w:firstLine="420" w:firstLineChars="175"/>
        <w:rPr>
          <w:rFonts w:ascii="宋体" w:hAnsi="宋体"/>
          <w:bCs/>
          <w:color w:val="auto"/>
          <w:sz w:val="24"/>
          <w:highlight w:val="none"/>
        </w:rPr>
      </w:pPr>
      <w:r>
        <w:rPr>
          <w:rFonts w:hint="eastAsia" w:ascii="宋体" w:hAnsi="宋体"/>
          <w:bCs/>
          <w:color w:val="auto"/>
          <w:sz w:val="24"/>
          <w:highlight w:val="none"/>
        </w:rPr>
        <w:t>最终得分相同的，按技术部分得分由高到低顺序排序。技术部分得分及最终得分均相同的，</w:t>
      </w:r>
      <w:bookmarkStart w:id="55" w:name="_Hlk514735510"/>
      <w:r>
        <w:rPr>
          <w:rFonts w:hint="eastAsia" w:ascii="宋体" w:hAnsi="宋体"/>
          <w:bCs/>
          <w:color w:val="auto"/>
          <w:sz w:val="24"/>
          <w:highlight w:val="none"/>
        </w:rPr>
        <w:t>则采取评标委员会抽签方式确定其前后次序。</w:t>
      </w:r>
      <w:bookmarkEnd w:id="55"/>
    </w:p>
    <w:p>
      <w:pPr>
        <w:adjustRightInd w:val="0"/>
        <w:snapToGrid w:val="0"/>
        <w:spacing w:line="360" w:lineRule="auto"/>
        <w:ind w:right="-10" w:firstLine="422" w:firstLineChars="175"/>
        <w:rPr>
          <w:rFonts w:ascii="宋体" w:hAnsi="宋体"/>
          <w:bCs/>
          <w:color w:val="auto"/>
          <w:sz w:val="24"/>
          <w:highlight w:val="none"/>
        </w:rPr>
      </w:pPr>
      <w:r>
        <w:rPr>
          <w:rFonts w:hint="eastAsia" w:ascii="宋体" w:hAnsi="宋体"/>
          <w:b/>
          <w:bCs/>
          <w:color w:val="auto"/>
          <w:sz w:val="24"/>
          <w:highlight w:val="none"/>
        </w:rPr>
        <w:t>9.</w:t>
      </w:r>
      <w:r>
        <w:rPr>
          <w:rFonts w:hint="eastAsia" w:ascii="宋体" w:hAnsi="宋体"/>
          <w:bCs/>
          <w:color w:val="auto"/>
          <w:sz w:val="24"/>
          <w:highlight w:val="none"/>
        </w:rPr>
        <w:t>各投标人的得分一经得出，并核对无误后，任何人不得更改。</w:t>
      </w:r>
    </w:p>
    <w:p>
      <w:pPr>
        <w:pStyle w:val="3"/>
        <w:spacing w:line="360" w:lineRule="auto"/>
        <w:ind w:right="-10"/>
        <w:rPr>
          <w:rFonts w:ascii="宋体" w:hAnsi="宋体"/>
          <w:color w:val="auto"/>
          <w:sz w:val="24"/>
          <w:highlight w:val="none"/>
        </w:rPr>
      </w:pPr>
      <w:r>
        <w:rPr>
          <w:rFonts w:hint="eastAsia" w:ascii="宋体" w:hAnsi="宋体"/>
          <w:b/>
          <w:color w:val="auto"/>
          <w:sz w:val="24"/>
          <w:highlight w:val="none"/>
        </w:rPr>
        <w:t>10.</w:t>
      </w:r>
      <w:r>
        <w:rPr>
          <w:rFonts w:hint="eastAsia" w:ascii="宋体" w:hAnsi="宋体"/>
          <w:color w:val="auto"/>
          <w:sz w:val="24"/>
          <w:highlight w:val="none"/>
        </w:rPr>
        <w:t>如果有效投标报价出现两家或两家以上相同者，则采取评标委员会抽签方式确定其前后次序。</w:t>
      </w:r>
    </w:p>
    <w:p>
      <w:pPr>
        <w:adjustRightInd w:val="0"/>
        <w:snapToGrid w:val="0"/>
        <w:spacing w:line="360" w:lineRule="auto"/>
        <w:ind w:right="-10" w:firstLine="482" w:firstLineChars="200"/>
        <w:rPr>
          <w:rFonts w:ascii="宋体" w:hAnsi="宋体"/>
          <w:b/>
          <w:color w:val="auto"/>
          <w:sz w:val="24"/>
          <w:highlight w:val="none"/>
        </w:rPr>
      </w:pPr>
      <w:r>
        <w:rPr>
          <w:rFonts w:hint="eastAsia" w:ascii="宋体" w:hAnsi="宋体"/>
          <w:b/>
          <w:color w:val="auto"/>
          <w:sz w:val="24"/>
          <w:highlight w:val="none"/>
        </w:rPr>
        <w:t>11.</w:t>
      </w:r>
      <w:r>
        <w:rPr>
          <w:rFonts w:hint="eastAsia" w:ascii="宋体" w:hAnsi="宋体"/>
          <w:color w:val="auto"/>
          <w:sz w:val="24"/>
          <w:highlight w:val="none"/>
        </w:rPr>
        <w:t>评标委员会在评标过程中发现的问题，应当及时作出处理或者向招标人提出处理建议，并作书面记录。</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highlight w:val="none"/>
        </w:rPr>
        <w:t>12.</w:t>
      </w:r>
      <w:r>
        <w:rPr>
          <w:rFonts w:hint="eastAsia" w:ascii="宋体" w:hAnsi="宋体"/>
          <w:color w:val="auto"/>
          <w:sz w:val="24"/>
          <w:highlight w:val="none"/>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highlight w:val="none"/>
        </w:rPr>
        <w:t>13.</w:t>
      </w:r>
      <w:r>
        <w:rPr>
          <w:rFonts w:hint="eastAsia" w:ascii="宋体" w:hAnsi="宋体"/>
          <w:color w:val="auto"/>
          <w:sz w:val="24"/>
          <w:highlight w:val="none"/>
        </w:rPr>
        <w:t>投标人投标报价与公布的预算价（或控制价)相比降幅过小，或投标人投标报价明显缺乏竞争性的，评标委员会可以否决所有投标。</w:t>
      </w:r>
    </w:p>
    <w:p>
      <w:pPr>
        <w:adjustRightInd w:val="0"/>
        <w:snapToGrid w:val="0"/>
        <w:spacing w:line="360" w:lineRule="auto"/>
        <w:ind w:right="-10" w:firstLine="472" w:firstLineChars="196"/>
        <w:rPr>
          <w:rFonts w:ascii="宋体" w:hAnsi="宋体"/>
          <w:bCs/>
          <w:color w:val="auto"/>
          <w:sz w:val="24"/>
          <w:highlight w:val="none"/>
        </w:rPr>
      </w:pPr>
      <w:r>
        <w:rPr>
          <w:rFonts w:hint="eastAsia" w:ascii="宋体" w:hAnsi="宋体"/>
          <w:b/>
          <w:bCs/>
          <w:color w:val="auto"/>
          <w:sz w:val="24"/>
          <w:highlight w:val="none"/>
        </w:rPr>
        <w:t>14.</w:t>
      </w:r>
      <w:r>
        <w:rPr>
          <w:rFonts w:hint="eastAsia" w:ascii="宋体" w:hAnsi="宋体"/>
          <w:bCs/>
          <w:color w:val="auto"/>
          <w:sz w:val="24"/>
          <w:highlight w:val="none"/>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bCs/>
          <w:color w:val="auto"/>
          <w:sz w:val="24"/>
          <w:highlight w:val="none"/>
        </w:rPr>
        <w:t>15.</w:t>
      </w:r>
      <w:r>
        <w:rPr>
          <w:rFonts w:hint="eastAsia" w:ascii="宋体" w:hAnsi="宋体"/>
          <w:color w:val="auto"/>
          <w:sz w:val="24"/>
          <w:highlight w:val="none"/>
        </w:rPr>
        <w:t xml:space="preserve"> 评标委员会和评标工作人员应严格遵守国家的法律、法规和规章制度；严格按照本次招标文件进行评标；公正廉洁、不徇私情，不得损害国家利益；保护招、投标人的合法权益。</w:t>
      </w:r>
    </w:p>
    <w:p>
      <w:pPr>
        <w:spacing w:line="360" w:lineRule="auto"/>
        <w:ind w:firstLine="482" w:firstLineChars="200"/>
        <w:rPr>
          <w:rFonts w:ascii="宋体" w:hAnsi="宋体"/>
          <w:bCs/>
          <w:color w:val="auto"/>
          <w:sz w:val="24"/>
          <w:highlight w:val="none"/>
        </w:rPr>
      </w:pPr>
      <w:r>
        <w:rPr>
          <w:rFonts w:hint="eastAsia" w:ascii="宋体" w:hAnsi="宋体"/>
          <w:b/>
          <w:bCs/>
          <w:color w:val="auto"/>
          <w:sz w:val="24"/>
          <w:highlight w:val="none"/>
        </w:rPr>
        <w:t>16.</w:t>
      </w:r>
      <w:r>
        <w:rPr>
          <w:rFonts w:hint="eastAsia" w:ascii="宋体" w:hAnsi="宋体"/>
          <w:bCs/>
          <w:color w:val="auto"/>
          <w:sz w:val="24"/>
          <w:highlight w:val="none"/>
        </w:rPr>
        <w:t>在评标过程中，评委及其他评标工作人员必须对评标情况严格保密，任何人不得将评标情况透露给与投标人有关的单位和个人</w:t>
      </w:r>
      <w:bookmarkStart w:id="56" w:name="_Toc531011540"/>
    </w:p>
    <w:p>
      <w:pPr>
        <w:pStyle w:val="22"/>
        <w:spacing w:line="360" w:lineRule="auto"/>
        <w:ind w:firstLine="482" w:firstLineChars="200"/>
        <w:rPr>
          <w:rFonts w:hAnsi="宋体" w:cs="黑体"/>
          <w:b/>
          <w:color w:val="auto"/>
          <w:sz w:val="24"/>
          <w:szCs w:val="24"/>
          <w:highlight w:val="none"/>
        </w:rPr>
      </w:pPr>
      <w:r>
        <w:rPr>
          <w:rFonts w:hint="eastAsia" w:hAnsi="宋体"/>
          <w:b/>
          <w:bCs/>
          <w:color w:val="auto"/>
          <w:sz w:val="24"/>
          <w:highlight w:val="none"/>
        </w:rPr>
        <w:t>1</w:t>
      </w:r>
      <w:r>
        <w:rPr>
          <w:rFonts w:hAnsi="宋体"/>
          <w:b/>
          <w:bCs/>
          <w:color w:val="auto"/>
          <w:sz w:val="24"/>
          <w:highlight w:val="none"/>
        </w:rPr>
        <w:t>7.</w:t>
      </w:r>
      <w:r>
        <w:rPr>
          <w:rFonts w:hint="eastAsia" w:hAnsi="宋体" w:cs="黑体"/>
          <w:b/>
          <w:color w:val="auto"/>
          <w:sz w:val="24"/>
          <w:szCs w:val="24"/>
          <w:highlight w:val="none"/>
        </w:rPr>
        <w:t>其他</w:t>
      </w:r>
    </w:p>
    <w:p>
      <w:pPr>
        <w:pStyle w:val="149"/>
        <w:spacing w:line="360" w:lineRule="auto"/>
        <w:ind w:firstLine="482" w:firstLineChars="200"/>
        <w:rPr>
          <w:rFonts w:ascii="宋体" w:hAnsi="宋体"/>
          <w:b/>
          <w:color w:val="auto"/>
          <w:sz w:val="24"/>
          <w:highlight w:val="none"/>
        </w:rPr>
      </w:pPr>
      <w:r>
        <w:rPr>
          <w:rFonts w:hint="eastAsia" w:ascii="宋体" w:hAnsi="宋体"/>
          <w:b/>
          <w:bCs/>
          <w:color w:val="auto"/>
          <w:kern w:val="0"/>
          <w:sz w:val="24"/>
          <w:highlight w:val="none"/>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文旅博览集团将按相关规定予以处罚并记入不良行为记录，予以披露</w:t>
      </w:r>
      <w:r>
        <w:rPr>
          <w:rFonts w:hint="eastAsia" w:ascii="宋体" w:hAnsi="宋体"/>
          <w:b/>
          <w:color w:val="auto"/>
          <w:sz w:val="24"/>
          <w:highlight w:val="none"/>
        </w:rPr>
        <w:t>。</w:t>
      </w: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bookmarkEnd w:id="53"/>
    <w:bookmarkEnd w:id="56"/>
    <w:p>
      <w:pPr>
        <w:pStyle w:val="6"/>
        <w:spacing w:line="500" w:lineRule="exact"/>
        <w:rPr>
          <w:rFonts w:ascii="宋体" w:hAnsi="宋体" w:eastAsia="宋体"/>
          <w:color w:val="auto"/>
          <w:highlight w:val="none"/>
        </w:rPr>
      </w:pPr>
      <w:bookmarkStart w:id="57" w:name="_Toc8809"/>
      <w:r>
        <w:rPr>
          <w:rFonts w:hint="eastAsia" w:ascii="宋体" w:hAnsi="宋体" w:eastAsia="宋体"/>
          <w:color w:val="auto"/>
          <w:highlight w:val="none"/>
        </w:rPr>
        <w:t>第六章</w:t>
      </w:r>
      <w:bookmarkStart w:id="58" w:name="_Toc220232392"/>
      <w:r>
        <w:rPr>
          <w:rFonts w:hint="eastAsia" w:ascii="宋体" w:hAnsi="宋体" w:eastAsia="宋体"/>
          <w:color w:val="auto"/>
          <w:highlight w:val="none"/>
        </w:rPr>
        <w:t xml:space="preserve"> 合同</w:t>
      </w:r>
      <w:bookmarkEnd w:id="57"/>
      <w:bookmarkEnd w:id="58"/>
    </w:p>
    <w:p>
      <w:pPr>
        <w:ind w:firstLine="3092" w:firstLineChars="700"/>
        <w:jc w:val="both"/>
        <w:rPr>
          <w:b/>
          <w:color w:val="auto"/>
          <w:sz w:val="44"/>
          <w:szCs w:val="44"/>
          <w:highlight w:val="none"/>
        </w:rPr>
      </w:pPr>
      <w:r>
        <w:rPr>
          <w:rFonts w:hint="eastAsia"/>
          <w:b/>
          <w:color w:val="auto"/>
          <w:sz w:val="44"/>
          <w:szCs w:val="44"/>
          <w:highlight w:val="none"/>
        </w:rPr>
        <w:t>北京烤鸭合作协议</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甲方：合肥泓瑞金陵大酒店有限责任公司</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w:t>
      </w:r>
    </w:p>
    <w:p>
      <w:pPr>
        <w:spacing w:line="360" w:lineRule="auto"/>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甲、乙双方经过友好协商，本着平等、自愿、诚信、互惠互利的原则，</w:t>
      </w:r>
      <w:r>
        <w:rPr>
          <w:rFonts w:hint="eastAsia" w:ascii="宋体" w:hAnsi="宋体" w:eastAsia="宋体" w:cs="宋体"/>
          <w:color w:val="auto"/>
          <w:sz w:val="24"/>
          <w:szCs w:val="24"/>
          <w:highlight w:val="none"/>
          <w:lang w:val="en-US" w:eastAsia="zh-CN"/>
        </w:rPr>
        <w:t>依据《中华人民共和国民法典》《中华人民共和国食品安全法》等有关法律、法规、规章，</w:t>
      </w:r>
      <w:r>
        <w:rPr>
          <w:rFonts w:hint="eastAsia" w:ascii="宋体" w:hAnsi="宋体" w:eastAsia="宋体" w:cs="宋体"/>
          <w:color w:val="auto"/>
          <w:sz w:val="24"/>
          <w:szCs w:val="24"/>
          <w:highlight w:val="none"/>
        </w:rPr>
        <w:t>甲、乙双方对关于“北京烤鸭”合作事宜达成以下协议：</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一、合作期限：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合作期限为：</w:t>
      </w:r>
      <w:r>
        <w:rPr>
          <w:rFonts w:hint="eastAsia" w:ascii="宋体" w:hAnsi="宋体" w:eastAsia="宋体" w:cs="宋体"/>
          <w:color w:val="auto"/>
          <w:sz w:val="24"/>
          <w:szCs w:val="24"/>
          <w:highlight w:val="none"/>
          <w:lang w:eastAsia="zh-CN"/>
        </w:rPr>
        <w:t>壹</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止。协议期满前二个月，甲乙双方协商是否续约，如双方同意继续合作，双方另行签订补充协议或者重新签订下一年度合同。</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二、合作目的：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增加甲方</w:t>
      </w:r>
      <w:r>
        <w:rPr>
          <w:rFonts w:hint="eastAsia" w:ascii="宋体" w:hAnsi="宋体" w:eastAsia="宋体" w:cs="宋体"/>
          <w:color w:val="auto"/>
          <w:sz w:val="24"/>
          <w:szCs w:val="24"/>
          <w:highlight w:val="none"/>
          <w:lang w:val="en-US" w:eastAsia="zh-CN"/>
        </w:rPr>
        <w:t>酒店服务类型</w:t>
      </w:r>
      <w:r>
        <w:rPr>
          <w:rFonts w:hint="eastAsia" w:ascii="宋体" w:hAnsi="宋体" w:eastAsia="宋体" w:cs="宋体"/>
          <w:color w:val="auto"/>
          <w:sz w:val="24"/>
          <w:szCs w:val="24"/>
          <w:highlight w:val="none"/>
        </w:rPr>
        <w:t>，为客人提供卫生、安全、健康的食品，同时也使甲、乙双方获得较好的经济效益。</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三、合作方式：</w:t>
      </w:r>
    </w:p>
    <w:p>
      <w:pPr>
        <w:pStyle w:val="94"/>
        <w:numPr>
          <w:ilvl w:val="0"/>
          <w:numId w:val="6"/>
        </w:numPr>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甲方提供该产品所需制作场所，水电气，以及存放鸭胚的冷库，烤鸭设施（鸭炉），及相关的设备。</w:t>
      </w:r>
    </w:p>
    <w:p>
      <w:pPr>
        <w:pStyle w:val="94"/>
        <w:numPr>
          <w:ilvl w:val="0"/>
          <w:numId w:val="6"/>
        </w:numPr>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乙方在甲方</w:t>
      </w:r>
      <w:r>
        <w:rPr>
          <w:rFonts w:hint="eastAsia" w:ascii="宋体" w:hAnsi="宋体" w:eastAsia="宋体" w:cs="宋体"/>
          <w:color w:val="auto"/>
          <w:sz w:val="24"/>
          <w:szCs w:val="24"/>
          <w:highlight w:val="none"/>
          <w:lang w:val="en-US" w:eastAsia="zh-CN"/>
        </w:rPr>
        <w:t>提供的场所内</w:t>
      </w:r>
      <w:r>
        <w:rPr>
          <w:rFonts w:hint="eastAsia" w:ascii="宋体" w:hAnsi="宋体" w:eastAsia="宋体" w:cs="宋体"/>
          <w:color w:val="auto"/>
          <w:sz w:val="24"/>
          <w:szCs w:val="24"/>
          <w:highlight w:val="none"/>
        </w:rPr>
        <w:t>自营自管，自备餐用具，</w:t>
      </w:r>
      <w:r>
        <w:rPr>
          <w:rFonts w:hint="eastAsia" w:ascii="宋体" w:hAnsi="宋体" w:eastAsia="宋体" w:cs="宋体"/>
          <w:color w:val="auto"/>
          <w:sz w:val="24"/>
          <w:szCs w:val="24"/>
          <w:highlight w:val="none"/>
          <w:lang w:val="en-US" w:eastAsia="zh-CN"/>
        </w:rPr>
        <w:t>甲方经营的合肥泓瑞金陵大酒店客人下单北京烤鸭后，由乙方向甲方的客人提供符合甲乙双方约定质量、规格的食品，包括但不限于烤鸭、</w:t>
      </w:r>
      <w:r>
        <w:rPr>
          <w:rFonts w:hint="eastAsia" w:ascii="宋体" w:hAnsi="宋体" w:eastAsia="宋体" w:cs="宋体"/>
          <w:color w:val="auto"/>
          <w:sz w:val="24"/>
          <w:szCs w:val="24"/>
          <w:highlight w:val="none"/>
        </w:rPr>
        <w:t>配料（甜面酱，4种口味鸭饼）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配菜（详见本合同附件：北京烤鸭样品图）。</w:t>
      </w:r>
    </w:p>
    <w:p>
      <w:pPr>
        <w:pStyle w:val="94"/>
        <w:numPr>
          <w:ilvl w:val="0"/>
          <w:numId w:val="6"/>
        </w:numPr>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保证在甲方客人下单后30分钟</w:t>
      </w:r>
      <w:r>
        <w:rPr>
          <w:rFonts w:hint="eastAsia" w:ascii="宋体" w:hAnsi="宋体" w:eastAsia="宋体" w:cs="宋体"/>
          <w:color w:val="auto"/>
          <w:sz w:val="24"/>
          <w:szCs w:val="24"/>
          <w:highlight w:val="none"/>
        </w:rPr>
        <w:t>为甲方提供北京烤鸭产品，乙方经营的品种保证质量，需保证：货源充足，供货及时。</w:t>
      </w:r>
    </w:p>
    <w:p>
      <w:pPr>
        <w:pStyle w:val="94"/>
        <w:numPr>
          <w:ilvl w:val="0"/>
          <w:numId w:val="6"/>
        </w:numPr>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乙方在甲方经营场所</w:t>
      </w:r>
      <w:r>
        <w:rPr>
          <w:rFonts w:hint="eastAsia" w:ascii="宋体" w:hAnsi="宋体" w:eastAsia="宋体" w:cs="宋体"/>
          <w:color w:val="auto"/>
          <w:sz w:val="24"/>
          <w:szCs w:val="24"/>
          <w:highlight w:val="none"/>
          <w:lang w:eastAsia="zh-CN"/>
        </w:rPr>
        <w:t>【酒店】</w:t>
      </w:r>
      <w:r>
        <w:rPr>
          <w:rFonts w:hint="eastAsia" w:ascii="宋体" w:hAnsi="宋体" w:eastAsia="宋体" w:cs="宋体"/>
          <w:color w:val="auto"/>
          <w:sz w:val="24"/>
          <w:szCs w:val="24"/>
          <w:highlight w:val="none"/>
        </w:rPr>
        <w:t>附近3公里之内不允许与任何餐饮场所进行同等类型的合作，如乙方违约，甲方有权终止合同，并追究乙方的违约责任。</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结算价格及收益</w:t>
      </w:r>
      <w:r>
        <w:rPr>
          <w:rFonts w:hint="eastAsia" w:ascii="宋体" w:hAnsi="宋体" w:eastAsia="宋体" w:cs="宋体"/>
          <w:bCs/>
          <w:color w:val="auto"/>
          <w:sz w:val="24"/>
          <w:szCs w:val="24"/>
          <w:highlight w:val="none"/>
        </w:rPr>
        <w:t>分成方式：</w:t>
      </w:r>
    </w:p>
    <w:p>
      <w:pPr>
        <w:pStyle w:val="94"/>
        <w:numPr>
          <w:ilvl w:val="0"/>
          <w:numId w:val="7"/>
        </w:numPr>
        <w:spacing w:line="360" w:lineRule="auto"/>
        <w:ind w:firstLineChars="200"/>
        <w:rPr>
          <w:rFonts w:hint="eastAsia" w:ascii="宋体" w:hAnsi="宋体" w:eastAsia="宋体" w:cs="宋体"/>
          <w:color w:val="auto"/>
          <w:sz w:val="24"/>
          <w:szCs w:val="24"/>
          <w:highlight w:val="none"/>
        </w:rPr>
      </w:pPr>
      <w:bookmarkStart w:id="59" w:name="_Hlk24475637"/>
      <w:r>
        <w:rPr>
          <w:rFonts w:hint="eastAsia" w:ascii="宋体" w:hAnsi="宋体" w:eastAsia="宋体" w:cs="宋体"/>
          <w:color w:val="auto"/>
          <w:sz w:val="24"/>
          <w:szCs w:val="24"/>
          <w:highlight w:val="none"/>
          <w:lang w:val="en-US" w:eastAsia="zh-CN"/>
        </w:rPr>
        <w:t>甲乙双方结算价：</w:t>
      </w:r>
      <w:r>
        <w:rPr>
          <w:rFonts w:hint="eastAsia" w:ascii="宋体" w:hAnsi="宋体" w:eastAsia="宋体" w:cs="宋体"/>
          <w:color w:val="auto"/>
          <w:sz w:val="24"/>
          <w:szCs w:val="24"/>
          <w:highlight w:val="none"/>
        </w:rPr>
        <w:t>精品烤鸭暂定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元每套</w:t>
      </w:r>
      <w:bookmarkEnd w:id="59"/>
      <w:r>
        <w:rPr>
          <w:rFonts w:hint="eastAsia" w:ascii="宋体" w:hAnsi="宋体" w:eastAsia="宋体" w:cs="宋体"/>
          <w:color w:val="auto"/>
          <w:sz w:val="24"/>
          <w:szCs w:val="24"/>
          <w:highlight w:val="none"/>
        </w:rPr>
        <w:t>，鸭胚不低于2.1kg/只；经典烤鸭暂定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rPr>
        <w:t>每套，鸭胚不低于1.6kg/只；</w:t>
      </w:r>
      <w:r>
        <w:rPr>
          <w:rFonts w:hint="eastAsia" w:ascii="宋体" w:hAnsi="宋体" w:eastAsia="宋体" w:cs="宋体"/>
          <w:color w:val="auto"/>
          <w:sz w:val="24"/>
          <w:szCs w:val="24"/>
          <w:highlight w:val="none"/>
          <w:lang w:val="en-US" w:eastAsia="zh-CN"/>
        </w:rPr>
        <w:t>前述结算价是</w:t>
      </w:r>
      <w:r>
        <w:rPr>
          <w:rFonts w:hint="eastAsia" w:ascii="宋体" w:hAnsi="宋体" w:eastAsia="宋体" w:cs="宋体"/>
          <w:color w:val="auto"/>
          <w:sz w:val="24"/>
          <w:szCs w:val="24"/>
          <w:highlight w:val="none"/>
        </w:rPr>
        <w:t>包含烤鸭成本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调料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鸭饼及工作人员工资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税金等全部费用在内的固定价，除本合同另有约定外，甲方无需向乙方支付任何其他费用</w:t>
      </w:r>
      <w:r>
        <w:rPr>
          <w:rFonts w:hint="eastAsia" w:ascii="宋体" w:hAnsi="宋体" w:eastAsia="宋体" w:cs="宋体"/>
          <w:color w:val="auto"/>
          <w:sz w:val="24"/>
          <w:szCs w:val="24"/>
          <w:highlight w:val="none"/>
        </w:rPr>
        <w:t>。</w:t>
      </w:r>
    </w:p>
    <w:p>
      <w:pPr>
        <w:pStyle w:val="94"/>
        <w:numPr>
          <w:ilvl w:val="0"/>
          <w:numId w:val="7"/>
        </w:numPr>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甲乙双方以</w:t>
      </w:r>
      <w:r>
        <w:rPr>
          <w:rFonts w:hint="eastAsia" w:ascii="宋体" w:hAnsi="宋体" w:eastAsia="宋体" w:cs="宋体"/>
          <w:color w:val="auto"/>
          <w:sz w:val="24"/>
          <w:szCs w:val="24"/>
          <w:highlight w:val="none"/>
          <w:u w:val="single"/>
        </w:rPr>
        <w:t>转账</w:t>
      </w:r>
      <w:r>
        <w:rPr>
          <w:rFonts w:hint="eastAsia" w:ascii="宋体" w:hAnsi="宋体" w:eastAsia="宋体" w:cs="宋体"/>
          <w:color w:val="auto"/>
          <w:sz w:val="24"/>
          <w:szCs w:val="24"/>
          <w:highlight w:val="none"/>
        </w:rPr>
        <w:t>的形式结算每月的烤鸭款，乙方的银行</w:t>
      </w:r>
      <w:r>
        <w:rPr>
          <w:rFonts w:hint="eastAsia" w:ascii="宋体" w:hAnsi="宋体" w:eastAsia="宋体" w:cs="宋体"/>
          <w:color w:val="auto"/>
          <w:sz w:val="24"/>
          <w:szCs w:val="24"/>
          <w:highlight w:val="none"/>
          <w:lang w:val="en-US" w:eastAsia="zh-CN"/>
        </w:rPr>
        <w:t>账</w:t>
      </w:r>
      <w:r>
        <w:rPr>
          <w:rFonts w:hint="eastAsia" w:ascii="宋体" w:hAnsi="宋体" w:eastAsia="宋体" w:cs="宋体"/>
          <w:color w:val="auto"/>
          <w:sz w:val="24"/>
          <w:szCs w:val="24"/>
          <w:highlight w:val="none"/>
        </w:rPr>
        <w:t>户信息如下：</w:t>
      </w:r>
    </w:p>
    <w:p>
      <w:pPr>
        <w:pStyle w:val="94"/>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p>
    <w:p>
      <w:pPr>
        <w:pStyle w:val="94"/>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w:t>
      </w:r>
    </w:p>
    <w:p>
      <w:pPr>
        <w:pStyle w:val="94"/>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开户账号：</w:t>
      </w:r>
    </w:p>
    <w:p>
      <w:pPr>
        <w:pStyle w:val="94"/>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autoSpaceDE w:val="0"/>
        <w:autoSpaceDN w:val="0"/>
        <w:adjustRightInd w:val="0"/>
        <w:spacing w:line="430" w:lineRule="exact"/>
        <w:ind w:firstLine="720" w:firstLineChars="3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月15日之前，甲乙方双方必须对上个月（T月）的供货清单进行核对。经甲方在T月的供货清单对帐表上签字确认且乙方提供等额增值税发票，甲方在以下时间内完成付款：甲方应在（T+2）月的最后一日之前向乙方支付T月的货款月末支付完毕。</w:t>
      </w:r>
    </w:p>
    <w:p>
      <w:pPr>
        <w:pStyle w:val="94"/>
        <w:numPr>
          <w:ilvl w:val="0"/>
          <w:numId w:val="7"/>
        </w:numPr>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甲方销售系统内“北京烤鸭”具体销售数据为</w:t>
      </w:r>
      <w:r>
        <w:rPr>
          <w:rFonts w:hint="eastAsia" w:ascii="宋体" w:hAnsi="宋体" w:eastAsia="宋体" w:cs="宋体"/>
          <w:color w:val="auto"/>
          <w:sz w:val="24"/>
          <w:szCs w:val="24"/>
          <w:highlight w:val="none"/>
          <w:lang w:val="en-US" w:eastAsia="zh-CN"/>
        </w:rPr>
        <w:t>双方结算的</w:t>
      </w:r>
      <w:r>
        <w:rPr>
          <w:rFonts w:hint="eastAsia" w:ascii="宋体" w:hAnsi="宋体" w:eastAsia="宋体" w:cs="宋体"/>
          <w:color w:val="auto"/>
          <w:sz w:val="24"/>
          <w:szCs w:val="24"/>
          <w:highlight w:val="none"/>
        </w:rPr>
        <w:t>最终依据，</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按照双方约定时间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金额</w:t>
      </w:r>
      <w:r>
        <w:rPr>
          <w:rFonts w:hint="eastAsia" w:ascii="宋体" w:hAnsi="宋体" w:eastAsia="宋体" w:cs="宋体"/>
          <w:color w:val="auto"/>
          <w:sz w:val="24"/>
          <w:szCs w:val="24"/>
          <w:highlight w:val="none"/>
        </w:rPr>
        <w:t>，准时与甲方进行对</w:t>
      </w:r>
      <w:r>
        <w:rPr>
          <w:rFonts w:hint="eastAsia" w:ascii="宋体" w:hAnsi="宋体" w:eastAsia="宋体" w:cs="宋体"/>
          <w:color w:val="auto"/>
          <w:sz w:val="24"/>
          <w:szCs w:val="24"/>
          <w:highlight w:val="none"/>
          <w:lang w:val="en-US" w:eastAsia="zh-CN"/>
        </w:rPr>
        <w:t>账</w:t>
      </w:r>
      <w:r>
        <w:rPr>
          <w:rFonts w:hint="eastAsia" w:ascii="宋体" w:hAnsi="宋体" w:eastAsia="宋体" w:cs="宋体"/>
          <w:color w:val="auto"/>
          <w:sz w:val="24"/>
          <w:szCs w:val="24"/>
          <w:highlight w:val="none"/>
        </w:rPr>
        <w:t>，乙方开具正规增值税专用发票，甲方开票信息如下：</w:t>
      </w:r>
    </w:p>
    <w:tbl>
      <w:tblPr>
        <w:tblStyle w:val="51"/>
        <w:tblW w:w="8505"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05"/>
        <w:gridCol w:w="6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05" w:type="dxa"/>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6500" w:type="dxa"/>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合肥泓瑞金陵大酒店有限责任公司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05" w:type="dxa"/>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纳税人识别号</w:t>
            </w:r>
          </w:p>
        </w:tc>
        <w:tc>
          <w:tcPr>
            <w:tcW w:w="6500" w:type="dxa"/>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91340100670912471E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05" w:type="dxa"/>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地址、电话</w:t>
            </w:r>
          </w:p>
        </w:tc>
        <w:tc>
          <w:tcPr>
            <w:tcW w:w="6500" w:type="dxa"/>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安徽省合肥市政务区祁门路南政务文化新区内 0551-62266666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05" w:type="dxa"/>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开户行及</w:t>
            </w:r>
            <w:r>
              <w:rPr>
                <w:rFonts w:hint="eastAsia" w:ascii="宋体" w:hAnsi="宋体" w:eastAsia="宋体" w:cs="宋体"/>
                <w:color w:val="auto"/>
                <w:sz w:val="24"/>
                <w:szCs w:val="24"/>
                <w:highlight w:val="none"/>
                <w:lang w:eastAsia="zh-CN"/>
              </w:rPr>
              <w:t>账户</w:t>
            </w:r>
          </w:p>
        </w:tc>
        <w:tc>
          <w:tcPr>
            <w:tcW w:w="6500" w:type="dxa"/>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交通银行祁门路支行 341327000018010007621</w:t>
            </w:r>
          </w:p>
        </w:tc>
      </w:tr>
    </w:tbl>
    <w:p>
      <w:pPr>
        <w:numPr>
          <w:ilvl w:val="0"/>
          <w:numId w:val="7"/>
        </w:numPr>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其他费用：</w:t>
      </w:r>
    </w:p>
    <w:p>
      <w:pPr>
        <w:numPr>
          <w:ilvl w:val="0"/>
          <w:numId w:val="8"/>
        </w:numPr>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乙方每月支付甲方能耗费500元（伍佰圆整），</w:t>
      </w:r>
      <w:r>
        <w:rPr>
          <w:rFonts w:hint="eastAsia" w:ascii="宋体" w:hAnsi="宋体" w:eastAsia="宋体" w:cs="宋体"/>
          <w:color w:val="auto"/>
          <w:sz w:val="24"/>
          <w:szCs w:val="24"/>
          <w:highlight w:val="none"/>
          <w:lang w:val="en-US" w:eastAsia="zh-CN"/>
        </w:rPr>
        <w:t>甲方按本合同第四条第3款的约定向乙方支付烤鸭收益结算款时有权将</w:t>
      </w:r>
      <w:r>
        <w:rPr>
          <w:rFonts w:hint="eastAsia" w:ascii="宋体" w:hAnsi="宋体" w:eastAsia="宋体" w:cs="宋体"/>
          <w:color w:val="auto"/>
          <w:sz w:val="24"/>
          <w:szCs w:val="24"/>
          <w:highlight w:val="none"/>
        </w:rPr>
        <w:t>能耗费</w:t>
      </w:r>
      <w:r>
        <w:rPr>
          <w:rFonts w:hint="eastAsia" w:ascii="宋体" w:hAnsi="宋体" w:eastAsia="宋体" w:cs="宋体"/>
          <w:color w:val="auto"/>
          <w:sz w:val="24"/>
          <w:szCs w:val="24"/>
          <w:highlight w:val="none"/>
          <w:lang w:val="en-US" w:eastAsia="zh-CN"/>
        </w:rPr>
        <w:t>直接</w:t>
      </w:r>
      <w:r>
        <w:rPr>
          <w:rFonts w:hint="eastAsia" w:ascii="宋体" w:hAnsi="宋体" w:eastAsia="宋体" w:cs="宋体"/>
          <w:color w:val="auto"/>
          <w:sz w:val="24"/>
          <w:szCs w:val="24"/>
          <w:highlight w:val="none"/>
        </w:rPr>
        <w:t>从中扣除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乙方开具</w:t>
      </w:r>
      <w:r>
        <w:rPr>
          <w:rFonts w:hint="eastAsia" w:ascii="宋体" w:hAnsi="宋体" w:eastAsia="宋体" w:cs="宋体"/>
          <w:color w:val="auto"/>
          <w:sz w:val="24"/>
          <w:szCs w:val="24"/>
          <w:highlight w:val="none"/>
          <w:lang w:val="en-US" w:eastAsia="zh-CN"/>
        </w:rPr>
        <w:t>烤鸭收益结算款的</w:t>
      </w:r>
      <w:r>
        <w:rPr>
          <w:rFonts w:hint="eastAsia" w:ascii="宋体" w:hAnsi="宋体" w:eastAsia="宋体" w:cs="宋体"/>
          <w:color w:val="auto"/>
          <w:sz w:val="24"/>
          <w:szCs w:val="24"/>
          <w:highlight w:val="none"/>
        </w:rPr>
        <w:t>全额发票给甲方，甲方开具能耗费收据给乙方。</w:t>
      </w:r>
    </w:p>
    <w:p>
      <w:pPr>
        <w:numPr>
          <w:ilvl w:val="0"/>
          <w:numId w:val="8"/>
        </w:numPr>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员工若需</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甲方酒</w:t>
      </w:r>
      <w:r>
        <w:rPr>
          <w:rFonts w:hint="eastAsia" w:ascii="宋体" w:hAnsi="宋体" w:eastAsia="宋体" w:cs="宋体"/>
          <w:color w:val="auto"/>
          <w:sz w:val="24"/>
          <w:szCs w:val="24"/>
          <w:highlight w:val="none"/>
        </w:rPr>
        <w:t>店食用工作餐，</w:t>
      </w:r>
      <w:r>
        <w:rPr>
          <w:rFonts w:hint="eastAsia" w:ascii="宋体" w:hAnsi="宋体" w:eastAsia="宋体" w:cs="宋体"/>
          <w:color w:val="auto"/>
          <w:sz w:val="24"/>
          <w:szCs w:val="24"/>
          <w:highlight w:val="none"/>
          <w:lang w:val="en-US" w:eastAsia="zh-CN"/>
        </w:rPr>
        <w:t>乙方员工</w:t>
      </w:r>
      <w:r>
        <w:rPr>
          <w:rFonts w:hint="eastAsia" w:ascii="宋体" w:hAnsi="宋体" w:eastAsia="宋体" w:cs="宋体"/>
          <w:color w:val="auto"/>
          <w:sz w:val="24"/>
          <w:szCs w:val="24"/>
          <w:highlight w:val="none"/>
        </w:rPr>
        <w:t>以每餐15元标准提前至</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酒店财务部购买餐券，乙方员工凭餐券用餐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乙方员工</w:t>
      </w:r>
      <w:r>
        <w:rPr>
          <w:rFonts w:hint="eastAsia" w:ascii="宋体" w:hAnsi="宋体" w:eastAsia="宋体" w:cs="宋体"/>
          <w:color w:val="auto"/>
          <w:sz w:val="24"/>
          <w:szCs w:val="24"/>
          <w:highlight w:val="none"/>
        </w:rPr>
        <w:t>如充</w:t>
      </w:r>
      <w:r>
        <w:rPr>
          <w:rFonts w:hint="eastAsia" w:ascii="宋体" w:hAnsi="宋体" w:eastAsia="宋体" w:cs="宋体"/>
          <w:color w:val="auto"/>
          <w:sz w:val="24"/>
          <w:szCs w:val="24"/>
          <w:highlight w:val="none"/>
          <w:lang w:val="en-US" w:eastAsia="zh-CN"/>
        </w:rPr>
        <w:t>值工作餐</w:t>
      </w:r>
      <w:r>
        <w:rPr>
          <w:rFonts w:hint="eastAsia" w:ascii="宋体" w:hAnsi="宋体" w:eastAsia="宋体" w:cs="宋体"/>
          <w:color w:val="auto"/>
          <w:sz w:val="24"/>
          <w:szCs w:val="24"/>
          <w:highlight w:val="none"/>
        </w:rPr>
        <w:t>卡，充卡金额2.5倍</w:t>
      </w:r>
      <w:r>
        <w:rPr>
          <w:rFonts w:hint="eastAsia" w:ascii="宋体" w:hAnsi="宋体" w:eastAsia="宋体" w:cs="宋体"/>
          <w:color w:val="auto"/>
          <w:sz w:val="24"/>
          <w:szCs w:val="24"/>
          <w:highlight w:val="none"/>
          <w:lang w:val="en-US" w:eastAsia="zh-CN"/>
        </w:rPr>
        <w:t>为卡面金额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即若乙方员工向甲方支付充卡金额40元，卡面金额则为100元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乙方员工充卡后刷卡用餐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乙方员工用餐费用由甲方与乙方员工自行结算。</w:t>
      </w:r>
    </w:p>
    <w:p>
      <w:pPr>
        <w:numPr>
          <w:ilvl w:val="0"/>
          <w:numId w:val="8"/>
        </w:numPr>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投标人须承诺每年供货款总额的2%用于购买酒店产品（端午礼包、新年礼包、中秋月饼等）。</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五、甲、乙双方的权利及义务：</w:t>
      </w:r>
    </w:p>
    <w:p>
      <w:pPr>
        <w:pStyle w:val="94"/>
        <w:numPr>
          <w:ilvl w:val="0"/>
          <w:numId w:val="9"/>
        </w:numPr>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甲方可以随时监督乙方食品卫生及服务态度，并将客户的意见及建议及时向乙方反馈，乙方必须认真听取客户的意见及建议并立即改正。</w:t>
      </w:r>
    </w:p>
    <w:p>
      <w:pPr>
        <w:pStyle w:val="94"/>
        <w:numPr>
          <w:ilvl w:val="0"/>
          <w:numId w:val="9"/>
        </w:numPr>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乙方的工作人员自备制服上岗并服从甲方管理，工服须甲方负责洗涤。</w:t>
      </w:r>
    </w:p>
    <w:p>
      <w:pPr>
        <w:pStyle w:val="94"/>
        <w:numPr>
          <w:ilvl w:val="0"/>
          <w:numId w:val="9"/>
        </w:numPr>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合作期满后乙方需要原样交还甲方的设施设备，自然损耗，不予追究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甲方负责设施设备的保养及维护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val="en-US" w:eastAsia="zh-CN"/>
        </w:rPr>
        <w:t>设备故障、损坏由</w:t>
      </w:r>
      <w:r>
        <w:rPr>
          <w:rFonts w:hint="eastAsia" w:ascii="宋体" w:hAnsi="宋体" w:eastAsia="宋体" w:cs="宋体"/>
          <w:color w:val="auto"/>
          <w:sz w:val="24"/>
          <w:szCs w:val="24"/>
          <w:highlight w:val="none"/>
        </w:rPr>
        <w:t>乙方人为损坏</w:t>
      </w:r>
      <w:r>
        <w:rPr>
          <w:rFonts w:hint="eastAsia" w:ascii="宋体" w:hAnsi="宋体" w:eastAsia="宋体" w:cs="宋体"/>
          <w:color w:val="auto"/>
          <w:sz w:val="24"/>
          <w:szCs w:val="24"/>
          <w:highlight w:val="none"/>
          <w:lang w:val="en-US" w:eastAsia="zh-CN"/>
        </w:rPr>
        <w:t>导致，则</w:t>
      </w:r>
      <w:r>
        <w:rPr>
          <w:rFonts w:hint="eastAsia" w:ascii="宋体" w:hAnsi="宋体" w:eastAsia="宋体" w:cs="宋体"/>
          <w:color w:val="auto"/>
          <w:sz w:val="24"/>
          <w:szCs w:val="24"/>
          <w:highlight w:val="none"/>
        </w:rPr>
        <w:t>由乙方承担维修费用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如无法维修由乙方照价赔偿。</w:t>
      </w:r>
    </w:p>
    <w:p>
      <w:pPr>
        <w:pStyle w:val="94"/>
        <w:widowControl/>
        <w:numPr>
          <w:ilvl w:val="0"/>
          <w:numId w:val="9"/>
        </w:numPr>
        <w:adjustRightInd w:val="0"/>
        <w:snapToGrid w:val="0"/>
        <w:spacing w:line="360" w:lineRule="auto"/>
        <w:ind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甲方应在经营活动中积极推荐乙方的产品，并在宴席菜单中安排烤鸭品种。乙方产品的传递由甲方传菜人员负责传递。</w:t>
      </w:r>
    </w:p>
    <w:p>
      <w:pPr>
        <w:pStyle w:val="94"/>
        <w:widowControl/>
        <w:numPr>
          <w:ilvl w:val="0"/>
          <w:numId w:val="9"/>
        </w:numPr>
        <w:adjustRightInd w:val="0"/>
        <w:snapToGrid w:val="0"/>
        <w:spacing w:line="360" w:lineRule="auto"/>
        <w:ind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承诺本合同内涉及的相关产权及技术来源合法，乙方在甲方提供的合作场地使用该技术不会与第三方产生任何纠纷。不论在本合同履行期间或在本合同终止后，任何因乙方产权或相关权利问题产生的纠纷均与甲方无关，由乙方自行负责解决；如有任何第三方向甲方主张上述权利，则视为乙方违约，乙方需要向甲方支付违约金，造成的甲方损失，乙方在承担违约金的基础上再进行赔偿。</w:t>
      </w:r>
    </w:p>
    <w:p>
      <w:pPr>
        <w:pStyle w:val="94"/>
        <w:numPr>
          <w:ilvl w:val="0"/>
          <w:numId w:val="9"/>
        </w:numPr>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乙方承诺将客户的饮食健康放在第一位，乙方供应的烤鸭全部由乙方自行采购原材料、生产、加工，乙方保证</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val="en-US" w:eastAsia="zh-CN"/>
        </w:rPr>
        <w:t>及生产加工工艺、程序</w:t>
      </w:r>
      <w:r>
        <w:rPr>
          <w:rFonts w:hint="eastAsia" w:ascii="宋体" w:hAnsi="宋体" w:eastAsia="宋体" w:cs="宋体"/>
          <w:color w:val="auto"/>
          <w:sz w:val="24"/>
          <w:szCs w:val="24"/>
          <w:highlight w:val="none"/>
        </w:rPr>
        <w:t>必须符合国家关于食品卫生安全和产品质量的标准、法律、法规、规章制度的规定和要求，确保食品质量，确保备量充足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不能经营变质的产品，不得提供假冒伪劣商品或已临近失效期（或保鲜期）及超过保质期、保鲜期的商品给甲方，不得以假充真，不能以次充好，否则甲方及甲方的客人有权拒收。</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不得有任何损害甲方形象的行为，如给甲方带来损失的，则乙方负责赔偿。如因前述问题而导致甲方被消费者投诉、索赔或提起诉讼，由此导致应由甲方承担包括诉讼费、律师费、鉴定费、保全费等在内的一切经济损失、商誉损失</w:t>
      </w:r>
      <w:r>
        <w:rPr>
          <w:rFonts w:hint="eastAsia" w:ascii="宋体" w:hAnsi="宋体" w:eastAsia="宋体" w:cs="宋体"/>
          <w:color w:val="auto"/>
          <w:sz w:val="24"/>
          <w:szCs w:val="24"/>
          <w:highlight w:val="none"/>
          <w:lang w:eastAsia="zh-CN"/>
        </w:rPr>
        <w:t>及其他</w:t>
      </w:r>
      <w:r>
        <w:rPr>
          <w:rFonts w:hint="eastAsia" w:ascii="宋体" w:hAnsi="宋体" w:eastAsia="宋体" w:cs="宋体"/>
          <w:color w:val="auto"/>
          <w:sz w:val="24"/>
          <w:szCs w:val="24"/>
          <w:highlight w:val="none"/>
        </w:rPr>
        <w:t>任何损失，均由乙方向甲方及其消费者赔偿，并且甲方享有向乙方追索赔偿的权利。</w:t>
      </w:r>
    </w:p>
    <w:p>
      <w:pPr>
        <w:pStyle w:val="94"/>
        <w:numPr>
          <w:ilvl w:val="0"/>
          <w:numId w:val="9"/>
        </w:numPr>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保证其</w:t>
      </w:r>
      <w:r>
        <w:rPr>
          <w:rFonts w:hint="eastAsia" w:ascii="宋体" w:hAnsi="宋体" w:eastAsia="宋体" w:cs="宋体"/>
          <w:color w:val="auto"/>
          <w:sz w:val="24"/>
          <w:szCs w:val="24"/>
          <w:highlight w:val="none"/>
        </w:rPr>
        <w:t>向甲方</w:t>
      </w:r>
      <w:r>
        <w:rPr>
          <w:rFonts w:hint="eastAsia" w:ascii="宋体" w:hAnsi="宋体" w:eastAsia="宋体" w:cs="宋体"/>
          <w:color w:val="auto"/>
          <w:sz w:val="24"/>
          <w:szCs w:val="24"/>
          <w:highlight w:val="none"/>
          <w:lang w:val="en-US" w:eastAsia="zh-CN"/>
        </w:rPr>
        <w:t>客人</w:t>
      </w:r>
      <w:r>
        <w:rPr>
          <w:rFonts w:hint="eastAsia" w:ascii="宋体" w:hAnsi="宋体" w:eastAsia="宋体" w:cs="宋体"/>
          <w:color w:val="auto"/>
          <w:sz w:val="24"/>
          <w:szCs w:val="24"/>
          <w:highlight w:val="none"/>
        </w:rPr>
        <w:t>提供的烤鸭可以追溯到来源地，</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动物检疫证明，</w:t>
      </w:r>
      <w:r>
        <w:rPr>
          <w:rFonts w:hint="eastAsia" w:ascii="宋体" w:hAnsi="宋体" w:eastAsia="宋体" w:cs="宋体"/>
          <w:color w:val="auto"/>
          <w:sz w:val="24"/>
          <w:szCs w:val="24"/>
          <w:highlight w:val="none"/>
          <w:lang w:val="en-US" w:eastAsia="zh-CN"/>
        </w:rPr>
        <w:t>不存在有毒有害原材料</w:t>
      </w:r>
      <w:r>
        <w:rPr>
          <w:rFonts w:hint="eastAsia" w:ascii="宋体" w:hAnsi="宋体" w:eastAsia="宋体" w:cs="宋体"/>
          <w:color w:val="auto"/>
          <w:sz w:val="24"/>
          <w:szCs w:val="24"/>
          <w:highlight w:val="none"/>
        </w:rPr>
        <w:t>。如因乙方制作的烤鸭造成甲方客户出现任何有关食品卫生安全的问题，则相关赔偿责任由乙方承担，并赔偿造成的甲方酒店损失。</w:t>
      </w:r>
    </w:p>
    <w:p>
      <w:pPr>
        <w:pStyle w:val="94"/>
        <w:numPr>
          <w:ilvl w:val="0"/>
          <w:numId w:val="9"/>
        </w:numPr>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乙方保证机器的正常运转，保证设备和场地的卫生清洁，</w:t>
      </w:r>
      <w:r>
        <w:rPr>
          <w:rFonts w:hint="eastAsia" w:ascii="宋体" w:hAnsi="宋体" w:eastAsia="宋体" w:cs="宋体"/>
          <w:color w:val="auto"/>
          <w:sz w:val="24"/>
          <w:szCs w:val="24"/>
          <w:highlight w:val="none"/>
          <w:lang w:val="en-US" w:eastAsia="zh-CN"/>
        </w:rPr>
        <w:t>乙方仅有权在甲方指定的区域内加工制作，</w:t>
      </w:r>
      <w:r>
        <w:rPr>
          <w:rFonts w:hint="eastAsia" w:ascii="宋体" w:hAnsi="宋体" w:eastAsia="宋体" w:cs="宋体"/>
          <w:color w:val="auto"/>
          <w:sz w:val="24"/>
          <w:szCs w:val="24"/>
          <w:highlight w:val="none"/>
        </w:rPr>
        <w:t>不得干涉</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酒店的正常运转。</w:t>
      </w:r>
    </w:p>
    <w:p>
      <w:pPr>
        <w:pStyle w:val="94"/>
        <w:numPr>
          <w:ilvl w:val="0"/>
          <w:numId w:val="9"/>
        </w:numPr>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提供合格的鸭胚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烤鸭的面饼，乙方自行聘请专业烤鸭师傅、工作人员，乙方</w:t>
      </w:r>
      <w:r>
        <w:rPr>
          <w:rFonts w:hint="eastAsia" w:ascii="宋体" w:hAnsi="宋体" w:eastAsia="宋体" w:cs="宋体"/>
          <w:color w:val="auto"/>
          <w:sz w:val="24"/>
          <w:szCs w:val="24"/>
          <w:highlight w:val="none"/>
          <w:lang w:val="en-US" w:eastAsia="zh-CN"/>
        </w:rPr>
        <w:t>指派到甲方酒店现场的</w:t>
      </w:r>
      <w:r>
        <w:rPr>
          <w:rFonts w:hint="eastAsia" w:ascii="宋体" w:hAnsi="宋体" w:eastAsia="宋体" w:cs="宋体"/>
          <w:color w:val="auto"/>
          <w:sz w:val="24"/>
          <w:szCs w:val="24"/>
          <w:highlight w:val="none"/>
        </w:rPr>
        <w:t>工作人员暂定为2人，后期可根据销售情况进行人员的增减。</w:t>
      </w:r>
      <w:r>
        <w:rPr>
          <w:rFonts w:hint="eastAsia" w:ascii="宋体" w:hAnsi="宋体" w:eastAsia="宋体" w:cs="宋体"/>
          <w:color w:val="auto"/>
          <w:sz w:val="24"/>
          <w:szCs w:val="24"/>
          <w:highlight w:val="none"/>
          <w:lang w:val="en-US" w:eastAsia="zh-CN"/>
        </w:rPr>
        <w:t>乙方安排的人员需经过甲方考核同意方可上岗，</w:t>
      </w:r>
      <w:r>
        <w:rPr>
          <w:rFonts w:hint="eastAsia" w:ascii="宋体" w:hAnsi="宋体" w:eastAsia="宋体" w:cs="宋体"/>
          <w:color w:val="auto"/>
          <w:sz w:val="24"/>
          <w:szCs w:val="24"/>
          <w:highlight w:val="none"/>
        </w:rPr>
        <w:t>如乙方安排的人员经过考核未得到甲方的认可，甲方有权</w:t>
      </w:r>
      <w:r>
        <w:rPr>
          <w:rFonts w:hint="eastAsia" w:ascii="宋体" w:hAnsi="宋体" w:eastAsia="宋体" w:cs="宋体"/>
          <w:color w:val="auto"/>
          <w:sz w:val="24"/>
          <w:szCs w:val="24"/>
          <w:highlight w:val="none"/>
          <w:lang w:val="en-US" w:eastAsia="zh-CN"/>
        </w:rPr>
        <w:t>要求乙方</w:t>
      </w:r>
      <w:r>
        <w:rPr>
          <w:rFonts w:hint="eastAsia" w:ascii="宋体" w:hAnsi="宋体" w:eastAsia="宋体" w:cs="宋体"/>
          <w:color w:val="auto"/>
          <w:sz w:val="24"/>
          <w:szCs w:val="24"/>
          <w:highlight w:val="none"/>
        </w:rPr>
        <w:t>重新调配人员。</w:t>
      </w:r>
    </w:p>
    <w:p>
      <w:pPr>
        <w:pStyle w:val="94"/>
        <w:numPr>
          <w:ilvl w:val="0"/>
          <w:numId w:val="9"/>
        </w:numPr>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乙方的工作人员在</w:t>
      </w:r>
      <w:r>
        <w:rPr>
          <w:rFonts w:hint="eastAsia" w:ascii="宋体" w:hAnsi="宋体" w:eastAsia="宋体" w:cs="宋体"/>
          <w:color w:val="auto"/>
          <w:sz w:val="24"/>
          <w:szCs w:val="24"/>
          <w:highlight w:val="none"/>
          <w:lang w:val="en-US" w:eastAsia="zh-CN"/>
        </w:rPr>
        <w:t>上岗前以及在</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酒店</w:t>
      </w:r>
      <w:r>
        <w:rPr>
          <w:rFonts w:hint="eastAsia" w:ascii="宋体" w:hAnsi="宋体" w:eastAsia="宋体" w:cs="宋体"/>
          <w:color w:val="auto"/>
          <w:sz w:val="24"/>
          <w:szCs w:val="24"/>
          <w:highlight w:val="none"/>
        </w:rPr>
        <w:t>工作期间，需要提供有效的身体健康证明给到甲方。</w:t>
      </w:r>
    </w:p>
    <w:p>
      <w:pPr>
        <w:pStyle w:val="94"/>
        <w:numPr>
          <w:ilvl w:val="0"/>
          <w:numId w:val="9"/>
        </w:numPr>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乙方所派人员与甲方无任何劳动关系或劳务关系，乙方应当依法与有关人员签订劳动合同/劳务合同，并自行处理有关劳务纠纷，</w:t>
      </w:r>
      <w:r>
        <w:rPr>
          <w:rFonts w:hint="eastAsia" w:ascii="宋体" w:hAnsi="宋体" w:eastAsia="宋体" w:cs="宋体"/>
          <w:color w:val="auto"/>
          <w:sz w:val="24"/>
          <w:szCs w:val="24"/>
          <w:highlight w:val="none"/>
          <w:lang w:val="en-US" w:eastAsia="zh-CN"/>
        </w:rPr>
        <w:t>乙方应当为其指派的人员提供劳动安全保障，</w:t>
      </w:r>
      <w:r>
        <w:rPr>
          <w:rFonts w:hint="eastAsia" w:ascii="宋体" w:hAnsi="宋体" w:eastAsia="宋体" w:cs="宋体"/>
          <w:color w:val="auto"/>
          <w:sz w:val="24"/>
          <w:szCs w:val="24"/>
          <w:highlight w:val="none"/>
        </w:rPr>
        <w:t>甲方不负责任何关于乙方员工所产生的薪资，福利，社会保险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工伤赔偿</w:t>
      </w:r>
      <w:r>
        <w:rPr>
          <w:rFonts w:hint="eastAsia" w:ascii="宋体" w:hAnsi="宋体" w:eastAsia="宋体" w:cs="宋体"/>
          <w:color w:val="auto"/>
          <w:sz w:val="24"/>
          <w:szCs w:val="24"/>
          <w:highlight w:val="none"/>
        </w:rPr>
        <w:t>等费用，也不因此代乙方对其人员承担任何责任。因乙方员工发生劳动争议而影响或有可能影响到本合同的履行，乙方应及时做出相应调整，以保证本合同项下服务质量。</w:t>
      </w:r>
    </w:p>
    <w:p>
      <w:pPr>
        <w:pStyle w:val="94"/>
        <w:widowControl/>
        <w:numPr>
          <w:ilvl w:val="0"/>
          <w:numId w:val="9"/>
        </w:numPr>
        <w:adjustRightInd/>
        <w:snapToGrid/>
        <w:spacing w:line="360" w:lineRule="auto"/>
        <w:ind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乙方工作人员</w:t>
      </w:r>
      <w:r>
        <w:rPr>
          <w:rFonts w:hint="eastAsia" w:ascii="宋体" w:hAnsi="宋体" w:eastAsia="宋体" w:cs="宋体"/>
          <w:color w:val="auto"/>
          <w:sz w:val="24"/>
          <w:szCs w:val="24"/>
          <w:highlight w:val="none"/>
          <w:lang w:val="en-US" w:eastAsia="zh-CN"/>
        </w:rPr>
        <w:t>在甲方酒店期间，</w:t>
      </w:r>
      <w:r>
        <w:rPr>
          <w:rFonts w:hint="eastAsia" w:ascii="宋体" w:hAnsi="宋体" w:eastAsia="宋体" w:cs="宋体"/>
          <w:color w:val="auto"/>
          <w:sz w:val="24"/>
          <w:szCs w:val="24"/>
          <w:highlight w:val="none"/>
        </w:rPr>
        <w:t>必须严格遵守甲方的规章制度，各项指标制度，比如食品卫生安全标准、以及烤鸭制作的流程与规章制度等。如有违反甲方酒店相关制度的，</w:t>
      </w:r>
      <w:r>
        <w:rPr>
          <w:rFonts w:hint="eastAsia" w:ascii="宋体" w:hAnsi="宋体" w:eastAsia="宋体" w:cs="宋体"/>
          <w:color w:val="auto"/>
          <w:sz w:val="24"/>
          <w:szCs w:val="24"/>
          <w:highlight w:val="none"/>
          <w:lang w:val="en-US" w:eastAsia="zh-CN"/>
        </w:rPr>
        <w:t>甲方有权要求乙方更换人员并承担违约责任，给甲方造成损失的，甲方有权要求乙方赔偿全部损失</w:t>
      </w:r>
      <w:r>
        <w:rPr>
          <w:rFonts w:hint="eastAsia" w:ascii="宋体" w:hAnsi="宋体" w:eastAsia="宋体" w:cs="宋体"/>
          <w:color w:val="auto"/>
          <w:sz w:val="24"/>
          <w:szCs w:val="24"/>
          <w:highlight w:val="none"/>
        </w:rPr>
        <w:t>。</w:t>
      </w:r>
    </w:p>
    <w:p>
      <w:pPr>
        <w:pStyle w:val="94"/>
        <w:widowControl/>
        <w:numPr>
          <w:ilvl w:val="0"/>
          <w:numId w:val="9"/>
        </w:numPr>
        <w:adjustRightInd/>
        <w:snapToGrid/>
        <w:spacing w:line="360" w:lineRule="auto"/>
        <w:ind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合同履行过程中，若乙方违反合同约定，或乙方提供的相关产品不符合甲方需求的，甲方有权以通知的方式</w:t>
      </w:r>
      <w:r>
        <w:rPr>
          <w:rFonts w:hint="eastAsia" w:ascii="宋体" w:hAnsi="宋体" w:eastAsia="宋体" w:cs="宋体"/>
          <w:color w:val="auto"/>
          <w:sz w:val="24"/>
          <w:szCs w:val="24"/>
          <w:highlight w:val="none"/>
          <w:lang w:val="en-US" w:eastAsia="zh-CN"/>
        </w:rPr>
        <w:t>单方面</w:t>
      </w:r>
      <w:r>
        <w:rPr>
          <w:rFonts w:hint="eastAsia" w:ascii="宋体" w:hAnsi="宋体" w:eastAsia="宋体" w:cs="宋体"/>
          <w:color w:val="auto"/>
          <w:sz w:val="24"/>
          <w:szCs w:val="24"/>
          <w:highlight w:val="none"/>
        </w:rPr>
        <w:t>解除本协议。</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六、违约责任</w:t>
      </w:r>
    </w:p>
    <w:p>
      <w:pPr>
        <w:pStyle w:val="19"/>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甲乙任何一方违反本合同的约定，应当向守约方支付3000元违约金，造成守约方其他损失的，还应当承担相应的赔偿责任。</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w:t>
      </w:r>
      <w:r>
        <w:rPr>
          <w:rFonts w:hint="eastAsia" w:ascii="宋体" w:hAnsi="宋体" w:eastAsia="宋体" w:cs="宋体"/>
          <w:b/>
          <w:color w:val="auto"/>
          <w:sz w:val="24"/>
          <w:szCs w:val="24"/>
          <w:highlight w:val="none"/>
          <w:lang w:val="en-US" w:eastAsia="zh-CN"/>
        </w:rPr>
        <w:t>送达与</w:t>
      </w:r>
      <w:r>
        <w:rPr>
          <w:rFonts w:hint="eastAsia" w:ascii="宋体" w:hAnsi="宋体" w:eastAsia="宋体" w:cs="宋体"/>
          <w:b/>
          <w:color w:val="auto"/>
          <w:sz w:val="24"/>
          <w:szCs w:val="24"/>
          <w:highlight w:val="none"/>
        </w:rPr>
        <w:t>解决争议</w:t>
      </w:r>
    </w:p>
    <w:p>
      <w:pPr>
        <w:pStyle w:val="94"/>
        <w:widowControl/>
        <w:numPr>
          <w:ilvl w:val="-1"/>
          <w:numId w:val="0"/>
        </w:numPr>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甲乙双方之间的法定送达地址和联系人如下：</w:t>
      </w:r>
    </w:p>
    <w:p>
      <w:pPr>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甲方：安徽省合肥市蜀山区笔架山街道祁门路1799号泓瑞金陵大酒店</w:t>
      </w:r>
    </w:p>
    <w:p>
      <w:pPr>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电话：0551-62266666</w:t>
      </w:r>
    </w:p>
    <w:p>
      <w:pPr>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乙方：邮寄送达地址</w:t>
      </w:r>
      <w:r>
        <w:rPr>
          <w:rFonts w:hint="eastAsia" w:ascii="宋体" w:hAnsi="宋体" w:eastAsia="宋体" w:cs="宋体"/>
          <w:color w:val="auto"/>
          <w:sz w:val="24"/>
          <w:szCs w:val="24"/>
          <w:highlight w:val="none"/>
          <w:lang w:eastAsia="zh-CN"/>
        </w:rPr>
        <w:t>：</w:t>
      </w:r>
    </w:p>
    <w:p>
      <w:pPr>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pPr>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pPr>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p>
      <w:pPr>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以上电子邮箱和邮寄地址都视为有效送达途径，一经送达即发生法律效力，任何一方对以上送达信息有变更的，需在三日内通知另一方，怠于通知的一方承担不利法律后果。</w:t>
      </w:r>
    </w:p>
    <w:p>
      <w:pPr>
        <w:numPr>
          <w:ilvl w:val="-1"/>
          <w:numId w:val="0"/>
        </w:numPr>
        <w:spacing w:line="360" w:lineRule="auto"/>
        <w:ind w:left="420" w:leftChars="20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甲乙双方执行本合同发生争议。由当事人双方协商解决，协商不成，可向甲方所在地有管辖权的人民法院提起诉讼，任何一方为维护自己的合法权益而遭受的包括但不限于律师费、诉讼费、保全费等直接损失和间接损失由</w:t>
      </w:r>
      <w:r>
        <w:rPr>
          <w:rFonts w:hint="eastAsia" w:ascii="宋体" w:hAnsi="宋体" w:eastAsia="宋体" w:cs="宋体"/>
          <w:color w:val="auto"/>
          <w:sz w:val="24"/>
          <w:szCs w:val="24"/>
          <w:highlight w:val="none"/>
          <w:lang w:val="en-US" w:eastAsia="zh-CN"/>
        </w:rPr>
        <w:t>违约</w:t>
      </w:r>
      <w:r>
        <w:rPr>
          <w:rFonts w:hint="eastAsia" w:ascii="宋体" w:hAnsi="宋体" w:eastAsia="宋体" w:cs="宋体"/>
          <w:color w:val="auto"/>
          <w:sz w:val="24"/>
          <w:szCs w:val="24"/>
          <w:highlight w:val="none"/>
        </w:rPr>
        <w:t>方承担。</w:t>
      </w:r>
    </w:p>
    <w:p>
      <w:pPr>
        <w:widowControl/>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八、反商业贿赂条款</w:t>
      </w:r>
    </w:p>
    <w:p>
      <w:pPr>
        <w:widowControl/>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1.甲乙双方都清楚并愿意严格遵守中华人民共和国反商业贿赂的法律规定，双方都清楚任何形式的贿赂和贪渎行为都将触犯法律，并将受到法律的严惩。</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或乙方均不得向对方或对方经办人或其他相关人员索要、收受、提供、给予合同约定外的任何利益，包括但不限于明扣、暗扣、现金、购物卡、实物、有价证券、旅游或其他非物质性利益等。甲方严格禁止甲方经办人员的任何商业贿赂行为。甲方经办人发生本条上述所列示的任何一种行为，都是违反甲方公司制度的，都将受到甲方公司制度和国家法律的惩处。</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甲方郑重提示：甲方反对乙方或乙方经办人员为了本合同之目的与本合同以外的任何第三方发生上述任何一种行为，该等行为都是违反国家法律的行为，并将受到国家法律的惩处。</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如因一方或一方经办人违反上述条款规定，给对方造成损失的，应承担损害赔偿责任。</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本条所称“其他相关人员”是指甲乙方经办人以外的与合同有直接或间接利益关系的人员，包括但不仅限于合同经办人的亲友。</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九、其它：</w:t>
      </w:r>
    </w:p>
    <w:p>
      <w:pPr>
        <w:pStyle w:val="97"/>
        <w:numPr>
          <w:ilvl w:val="0"/>
          <w:numId w:val="10"/>
        </w:num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本协议生效后，</w:t>
      </w:r>
      <w:r>
        <w:rPr>
          <w:rFonts w:hint="eastAsia" w:ascii="宋体" w:hAnsi="宋体" w:eastAsia="宋体" w:cs="宋体"/>
          <w:color w:val="auto"/>
          <w:sz w:val="24"/>
          <w:szCs w:val="24"/>
          <w:highlight w:val="none"/>
        </w:rPr>
        <w:t>本合同如有未尽事宜，</w:t>
      </w:r>
      <w:r>
        <w:rPr>
          <w:rFonts w:hint="eastAsia" w:ascii="宋体" w:hAnsi="宋体" w:eastAsia="宋体" w:cs="宋体"/>
          <w:color w:val="auto"/>
          <w:kern w:val="2"/>
          <w:sz w:val="24"/>
          <w:szCs w:val="24"/>
          <w:highlight w:val="none"/>
        </w:rPr>
        <w:t>任何一方认为需要变更协议条款，需提前向对方提出建议，双方取得一致意见后，</w:t>
      </w:r>
      <w:r>
        <w:rPr>
          <w:rFonts w:hint="eastAsia" w:ascii="宋体" w:hAnsi="宋体" w:eastAsia="宋体" w:cs="宋体"/>
          <w:color w:val="auto"/>
          <w:sz w:val="24"/>
          <w:szCs w:val="24"/>
          <w:highlight w:val="none"/>
        </w:rPr>
        <w:t>双方协商另订补充协议</w:t>
      </w:r>
      <w:r>
        <w:rPr>
          <w:rFonts w:hint="eastAsia" w:ascii="宋体" w:hAnsi="宋体" w:eastAsia="宋体" w:cs="宋体"/>
          <w:color w:val="auto"/>
          <w:kern w:val="2"/>
          <w:sz w:val="24"/>
          <w:szCs w:val="24"/>
          <w:highlight w:val="none"/>
        </w:rPr>
        <w:t>。</w:t>
      </w:r>
    </w:p>
    <w:p>
      <w:pPr>
        <w:pStyle w:val="94"/>
        <w:numPr>
          <w:ilvl w:val="0"/>
          <w:numId w:val="10"/>
        </w:numPr>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如遇到不可抗力，致使本协议无法继续执行，由双方协商解决。在本协议终止后甲乙双方应交还各自提供的物品。</w:t>
      </w:r>
    </w:p>
    <w:p>
      <w:pPr>
        <w:pStyle w:val="94"/>
        <w:numPr>
          <w:ilvl w:val="0"/>
          <w:numId w:val="10"/>
        </w:numPr>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w:t>
      </w:r>
      <w:r>
        <w:rPr>
          <w:rFonts w:hint="eastAsia" w:ascii="宋体" w:hAnsi="宋体" w:eastAsia="宋体" w:cs="宋体"/>
          <w:color w:val="auto"/>
          <w:sz w:val="24"/>
          <w:szCs w:val="24"/>
          <w:highlight w:val="none"/>
          <w:lang w:eastAsia="zh-CN"/>
        </w:rPr>
        <w:t>共</w:t>
      </w:r>
      <w:r>
        <w:rPr>
          <w:rFonts w:hint="eastAsia" w:ascii="宋体" w:hAnsi="宋体" w:cs="宋体"/>
          <w:color w:val="auto"/>
          <w:sz w:val="24"/>
          <w:szCs w:val="24"/>
          <w:highlight w:val="none"/>
          <w:lang w:val="en-US" w:eastAsia="zh-CN"/>
        </w:rPr>
        <w:t>肆</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甲方</w:t>
      </w:r>
      <w:r>
        <w:rPr>
          <w:rFonts w:hint="eastAsia" w:ascii="宋体" w:hAnsi="宋体" w:cs="宋体"/>
          <w:color w:val="auto"/>
          <w:sz w:val="24"/>
          <w:szCs w:val="24"/>
          <w:highlight w:val="none"/>
          <w:lang w:val="en-US" w:eastAsia="zh-CN"/>
        </w:rPr>
        <w:t>叁</w:t>
      </w:r>
      <w:r>
        <w:rPr>
          <w:rFonts w:hint="eastAsia" w:ascii="宋体" w:hAnsi="宋体" w:eastAsia="宋体" w:cs="宋体"/>
          <w:color w:val="auto"/>
          <w:sz w:val="24"/>
          <w:szCs w:val="24"/>
          <w:highlight w:val="none"/>
          <w:lang w:val="en-US" w:eastAsia="zh-CN"/>
        </w:rPr>
        <w:t>份乙方</w:t>
      </w:r>
      <w:r>
        <w:rPr>
          <w:rFonts w:hint="eastAsia" w:ascii="宋体" w:hAnsi="宋体" w:cs="宋体"/>
          <w:color w:val="auto"/>
          <w:sz w:val="24"/>
          <w:szCs w:val="24"/>
          <w:highlight w:val="none"/>
          <w:lang w:val="en-US" w:eastAsia="zh-CN"/>
        </w:rPr>
        <w:t>壹</w:t>
      </w:r>
      <w:r>
        <w:rPr>
          <w:rFonts w:hint="eastAsia" w:ascii="宋体" w:hAnsi="宋体" w:eastAsia="宋体" w:cs="宋体"/>
          <w:color w:val="auto"/>
          <w:sz w:val="24"/>
          <w:szCs w:val="24"/>
          <w:highlight w:val="none"/>
        </w:rPr>
        <w:t>份，具有同等的法律效力，自双方</w:t>
      </w:r>
      <w:r>
        <w:rPr>
          <w:rFonts w:hint="eastAsia" w:ascii="宋体" w:hAnsi="宋体" w:eastAsia="宋体" w:cs="宋体"/>
          <w:color w:val="auto"/>
          <w:sz w:val="24"/>
          <w:szCs w:val="24"/>
          <w:highlight w:val="none"/>
          <w:lang w:val="en-US" w:eastAsia="zh-CN"/>
        </w:rPr>
        <w:t>法定</w:t>
      </w:r>
      <w:r>
        <w:rPr>
          <w:rFonts w:hint="eastAsia" w:ascii="宋体" w:hAnsi="宋体" w:eastAsia="宋体" w:cs="宋体"/>
          <w:color w:val="auto"/>
          <w:sz w:val="24"/>
          <w:szCs w:val="24"/>
          <w:highlight w:val="none"/>
        </w:rPr>
        <w:t>代表人</w:t>
      </w:r>
      <w:r>
        <w:rPr>
          <w:rFonts w:hint="eastAsia" w:ascii="宋体" w:hAnsi="宋体" w:eastAsia="宋体" w:cs="宋体"/>
          <w:color w:val="auto"/>
          <w:sz w:val="24"/>
          <w:szCs w:val="24"/>
          <w:highlight w:val="none"/>
          <w:lang w:val="en-US" w:eastAsia="zh-CN"/>
        </w:rPr>
        <w:t>或授权代表</w:t>
      </w:r>
      <w:r>
        <w:rPr>
          <w:rFonts w:hint="eastAsia" w:ascii="宋体" w:hAnsi="宋体" w:eastAsia="宋体" w:cs="宋体"/>
          <w:color w:val="auto"/>
          <w:sz w:val="24"/>
          <w:szCs w:val="24"/>
          <w:highlight w:val="none"/>
        </w:rPr>
        <w:t>签</w:t>
      </w:r>
      <w:r>
        <w:rPr>
          <w:rFonts w:hint="eastAsia" w:ascii="宋体" w:hAnsi="宋体" w:eastAsia="宋体" w:cs="宋体"/>
          <w:color w:val="auto"/>
          <w:sz w:val="24"/>
          <w:szCs w:val="24"/>
          <w:highlight w:val="none"/>
          <w:lang w:val="en-US" w:eastAsia="zh-CN"/>
        </w:rPr>
        <w:t>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盖章后生效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本合同附件与本合同具有同等效力</w:t>
      </w:r>
      <w:r>
        <w:rPr>
          <w:rFonts w:hint="eastAsia" w:ascii="宋体" w:hAnsi="宋体" w:eastAsia="宋体" w:cs="宋体"/>
          <w:color w:val="auto"/>
          <w:sz w:val="24"/>
          <w:szCs w:val="24"/>
          <w:highlight w:val="none"/>
        </w:rPr>
        <w:t>。</w:t>
      </w:r>
    </w:p>
    <w:p>
      <w:pPr>
        <w:pStyle w:val="94"/>
        <w:numPr>
          <w:ilvl w:val="-1"/>
          <w:numId w:val="0"/>
        </w:numPr>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以下无正文</w:t>
      </w:r>
      <w:r>
        <w:rPr>
          <w:rFonts w:hint="eastAsia" w:ascii="宋体" w:hAnsi="宋体" w:eastAsia="宋体" w:cs="宋体"/>
          <w:color w:val="auto"/>
          <w:sz w:val="24"/>
          <w:szCs w:val="24"/>
          <w:highlight w:val="none"/>
          <w:lang w:eastAsia="zh-CN"/>
        </w:rPr>
        <w:t>】</w:t>
      </w:r>
    </w:p>
    <w:p>
      <w:pPr>
        <w:spacing w:line="360" w:lineRule="auto"/>
        <w:ind w:leftChars="-67" w:hanging="161" w:hangingChars="67"/>
        <w:rPr>
          <w:rFonts w:hint="eastAsia" w:ascii="宋体" w:hAnsi="宋体" w:eastAsia="宋体" w:cs="宋体"/>
          <w:b/>
          <w:color w:val="auto"/>
          <w:sz w:val="24"/>
          <w:szCs w:val="24"/>
          <w:highlight w:val="none"/>
        </w:rPr>
      </w:pPr>
    </w:p>
    <w:p>
      <w:pPr>
        <w:spacing w:line="360" w:lineRule="auto"/>
        <w:ind w:leftChars="-67" w:hanging="161" w:hangingChars="6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甲方：合肥泓瑞金陵大酒店有限责任公司           乙方：</w:t>
      </w:r>
    </w:p>
    <w:p>
      <w:pPr>
        <w:pStyle w:val="151"/>
        <w:spacing w:line="360" w:lineRule="auto"/>
        <w:rPr>
          <w:rFonts w:hint="eastAsia" w:ascii="宋体" w:hAnsi="宋体" w:eastAsia="宋体" w:cs="宋体"/>
          <w:color w:val="auto"/>
          <w:sz w:val="24"/>
          <w:szCs w:val="24"/>
          <w:highlight w:val="none"/>
          <w:lang w:val="en-US"/>
        </w:rPr>
      </w:pPr>
    </w:p>
    <w:p>
      <w:pPr>
        <w:spacing w:line="360" w:lineRule="auto"/>
        <w:ind w:leftChars="-67" w:hanging="161" w:hangingChars="6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法定</w:t>
      </w:r>
      <w:r>
        <w:rPr>
          <w:rFonts w:hint="eastAsia" w:ascii="宋体" w:hAnsi="宋体" w:eastAsia="宋体" w:cs="宋体"/>
          <w:b/>
          <w:color w:val="auto"/>
          <w:sz w:val="24"/>
          <w:szCs w:val="24"/>
          <w:highlight w:val="none"/>
        </w:rPr>
        <w:t>代表人</w:t>
      </w:r>
      <w:r>
        <w:rPr>
          <w:rFonts w:hint="eastAsia" w:ascii="宋体" w:hAnsi="宋体" w:eastAsia="宋体" w:cs="宋体"/>
          <w:b/>
          <w:color w:val="auto"/>
          <w:sz w:val="24"/>
          <w:szCs w:val="24"/>
          <w:highlight w:val="none"/>
          <w:lang w:val="en-US" w:eastAsia="zh-CN"/>
        </w:rPr>
        <w:t>或授权代表</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法定</w:t>
      </w:r>
      <w:r>
        <w:rPr>
          <w:rFonts w:hint="eastAsia" w:ascii="宋体" w:hAnsi="宋体" w:eastAsia="宋体" w:cs="宋体"/>
          <w:b/>
          <w:color w:val="auto"/>
          <w:sz w:val="24"/>
          <w:szCs w:val="24"/>
          <w:highlight w:val="none"/>
        </w:rPr>
        <w:t>代表人</w:t>
      </w:r>
      <w:r>
        <w:rPr>
          <w:rFonts w:hint="eastAsia" w:ascii="宋体" w:hAnsi="宋体" w:eastAsia="宋体" w:cs="宋体"/>
          <w:b/>
          <w:color w:val="auto"/>
          <w:sz w:val="24"/>
          <w:szCs w:val="24"/>
          <w:highlight w:val="none"/>
          <w:lang w:val="en-US" w:eastAsia="zh-CN"/>
        </w:rPr>
        <w:t>或授权代表</w:t>
      </w:r>
      <w:r>
        <w:rPr>
          <w:rFonts w:hint="eastAsia" w:ascii="宋体" w:hAnsi="宋体" w:eastAsia="宋体" w:cs="宋体"/>
          <w:b/>
          <w:color w:val="auto"/>
          <w:sz w:val="24"/>
          <w:szCs w:val="24"/>
          <w:highlight w:val="none"/>
        </w:rPr>
        <w:t>：</w:t>
      </w:r>
    </w:p>
    <w:p>
      <w:pPr>
        <w:pStyle w:val="151"/>
        <w:spacing w:line="360" w:lineRule="auto"/>
        <w:rPr>
          <w:rFonts w:hint="eastAsia" w:ascii="宋体" w:hAnsi="宋体" w:eastAsia="宋体" w:cs="宋体"/>
          <w:color w:val="auto"/>
          <w:sz w:val="24"/>
          <w:szCs w:val="24"/>
          <w:highlight w:val="none"/>
          <w:lang w:val="en-US"/>
        </w:rPr>
      </w:pPr>
    </w:p>
    <w:p>
      <w:pPr>
        <w:spacing w:line="360" w:lineRule="auto"/>
        <w:ind w:leftChars="-67" w:hanging="161" w:hangingChars="6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年     月    日                            202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年    月   日</w:t>
      </w:r>
    </w:p>
    <w:p>
      <w:pPr>
        <w:spacing w:line="360" w:lineRule="auto"/>
        <w:ind w:firstLine="482" w:firstLineChars="200"/>
        <w:rPr>
          <w:rFonts w:hint="eastAsia" w:ascii="宋体" w:hAnsi="宋体" w:eastAsia="宋体" w:cs="宋体"/>
          <w:b/>
          <w:color w:val="auto"/>
          <w:sz w:val="24"/>
          <w:szCs w:val="24"/>
          <w:highlight w:val="none"/>
        </w:rPr>
      </w:pPr>
    </w:p>
    <w:p>
      <w:pPr>
        <w:spacing w:line="360" w:lineRule="auto"/>
        <w:ind w:firstLine="482" w:firstLineChars="200"/>
        <w:rPr>
          <w:rFonts w:hint="eastAsia" w:ascii="宋体" w:hAnsi="宋体" w:eastAsia="宋体" w:cs="宋体"/>
          <w:b/>
          <w:color w:val="auto"/>
          <w:sz w:val="24"/>
          <w:szCs w:val="24"/>
          <w:highlight w:val="none"/>
        </w:rPr>
      </w:pP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备注：本合同仅供参考，如本合同的约定如与本项目招标文件的投标人须知前附表、</w:t>
      </w:r>
      <w:r>
        <w:rPr>
          <w:rFonts w:hint="eastAsia" w:ascii="宋体" w:hAnsi="宋体" w:eastAsia="宋体" w:cs="宋体"/>
          <w:b/>
          <w:bCs/>
          <w:color w:val="auto"/>
          <w:sz w:val="24"/>
          <w:szCs w:val="24"/>
          <w:highlight w:val="none"/>
        </w:rPr>
        <w:t>招标需求</w:t>
      </w:r>
      <w:r>
        <w:rPr>
          <w:rFonts w:hint="eastAsia" w:ascii="宋体" w:hAnsi="宋体" w:eastAsia="宋体" w:cs="宋体"/>
          <w:b/>
          <w:color w:val="auto"/>
          <w:sz w:val="24"/>
          <w:szCs w:val="24"/>
          <w:highlight w:val="none"/>
        </w:rPr>
        <w:t>的约定不一致的地方，以投标人须知前附表、</w:t>
      </w:r>
      <w:r>
        <w:rPr>
          <w:rFonts w:hint="eastAsia" w:ascii="宋体" w:hAnsi="宋体" w:eastAsia="宋体" w:cs="宋体"/>
          <w:b/>
          <w:bCs/>
          <w:color w:val="auto"/>
          <w:sz w:val="24"/>
          <w:szCs w:val="24"/>
          <w:highlight w:val="none"/>
        </w:rPr>
        <w:t>招标需求</w:t>
      </w:r>
      <w:r>
        <w:rPr>
          <w:rFonts w:hint="eastAsia" w:ascii="宋体" w:hAnsi="宋体" w:eastAsia="宋体" w:cs="宋体"/>
          <w:b/>
          <w:color w:val="auto"/>
          <w:sz w:val="24"/>
          <w:szCs w:val="24"/>
          <w:highlight w:val="none"/>
        </w:rPr>
        <w:t>的约定为准。</w:t>
      </w:r>
    </w:p>
    <w:p>
      <w:pPr>
        <w:pStyle w:val="6"/>
        <w:spacing w:line="500" w:lineRule="exact"/>
        <w:rPr>
          <w:rFonts w:ascii="宋体" w:hAnsi="宋体" w:eastAsia="宋体"/>
          <w:color w:val="auto"/>
          <w:highlight w:val="none"/>
        </w:rPr>
      </w:pPr>
    </w:p>
    <w:p>
      <w:pPr>
        <w:pStyle w:val="68"/>
        <w:ind w:left="0" w:leftChars="0" w:firstLine="0" w:firstLineChars="0"/>
        <w:rPr>
          <w:rFonts w:ascii="宋体" w:hAnsi="宋体" w:eastAsia="宋体"/>
          <w:color w:val="auto"/>
          <w:highlight w:val="none"/>
        </w:rPr>
      </w:pPr>
    </w:p>
    <w:p>
      <w:pPr>
        <w:pStyle w:val="68"/>
        <w:ind w:left="0" w:leftChars="0" w:firstLine="0" w:firstLineChars="0"/>
        <w:rPr>
          <w:rFonts w:ascii="宋体" w:hAnsi="宋体" w:eastAsia="宋体"/>
          <w:color w:val="auto"/>
          <w:highlight w:val="none"/>
        </w:rPr>
      </w:pPr>
    </w:p>
    <w:p>
      <w:pPr>
        <w:pStyle w:val="68"/>
        <w:ind w:left="0" w:leftChars="0" w:firstLine="0" w:firstLineChars="0"/>
        <w:rPr>
          <w:rFonts w:ascii="宋体" w:hAnsi="宋体" w:eastAsia="宋体"/>
          <w:color w:val="auto"/>
          <w:highlight w:val="none"/>
        </w:rPr>
      </w:pPr>
    </w:p>
    <w:p>
      <w:pPr>
        <w:pStyle w:val="68"/>
        <w:ind w:left="0" w:leftChars="0" w:firstLine="0" w:firstLineChars="0"/>
        <w:rPr>
          <w:rFonts w:ascii="宋体" w:hAnsi="宋体" w:eastAsia="宋体"/>
          <w:color w:val="auto"/>
          <w:highlight w:val="none"/>
        </w:rPr>
      </w:pPr>
    </w:p>
    <w:p>
      <w:pPr>
        <w:pStyle w:val="68"/>
        <w:ind w:left="0" w:leftChars="0" w:firstLine="0" w:firstLineChars="0"/>
        <w:rPr>
          <w:rFonts w:ascii="宋体" w:hAnsi="宋体" w:eastAsia="宋体"/>
          <w:color w:val="auto"/>
          <w:highlight w:val="none"/>
        </w:rPr>
      </w:pPr>
    </w:p>
    <w:p>
      <w:pPr>
        <w:pStyle w:val="68"/>
        <w:ind w:left="0" w:leftChars="0" w:firstLine="0" w:firstLineChars="0"/>
        <w:rPr>
          <w:rFonts w:ascii="宋体" w:hAnsi="宋体" w:eastAsia="宋体"/>
          <w:color w:val="auto"/>
          <w:highlight w:val="none"/>
        </w:rPr>
      </w:pPr>
    </w:p>
    <w:p>
      <w:pPr>
        <w:pStyle w:val="68"/>
        <w:ind w:left="0" w:leftChars="0" w:firstLine="0" w:firstLineChars="0"/>
        <w:rPr>
          <w:rFonts w:ascii="宋体" w:hAnsi="宋体" w:eastAsia="宋体"/>
          <w:color w:val="auto"/>
          <w:highlight w:val="none"/>
        </w:rPr>
      </w:pPr>
    </w:p>
    <w:p>
      <w:pPr>
        <w:pStyle w:val="68"/>
        <w:ind w:left="0" w:leftChars="0" w:firstLine="0" w:firstLineChars="0"/>
        <w:rPr>
          <w:rFonts w:ascii="宋体" w:hAnsi="宋体" w:eastAsia="宋体"/>
          <w:color w:val="auto"/>
          <w:highlight w:val="none"/>
        </w:rPr>
      </w:pPr>
    </w:p>
    <w:p>
      <w:pPr>
        <w:rPr>
          <w:color w:val="auto"/>
          <w:highlight w:val="none"/>
        </w:rPr>
      </w:pPr>
    </w:p>
    <w:p>
      <w:pPr>
        <w:pStyle w:val="6"/>
        <w:spacing w:line="500" w:lineRule="exact"/>
        <w:rPr>
          <w:rFonts w:ascii="宋体" w:hAnsi="宋体" w:eastAsia="宋体"/>
          <w:color w:val="auto"/>
          <w:highlight w:val="none"/>
        </w:rPr>
      </w:pPr>
      <w:bookmarkStart w:id="60" w:name="_Toc10093"/>
      <w:r>
        <w:rPr>
          <w:rFonts w:hint="eastAsia" w:ascii="宋体" w:hAnsi="宋体" w:eastAsia="宋体"/>
          <w:color w:val="auto"/>
          <w:highlight w:val="none"/>
        </w:rPr>
        <w:t>第七章 投标文件格式</w:t>
      </w:r>
      <w:bookmarkEnd w:id="60"/>
    </w:p>
    <w:p>
      <w:pPr>
        <w:rPr>
          <w:color w:val="000000"/>
        </w:rPr>
      </w:pPr>
    </w:p>
    <w:p>
      <w:pPr>
        <w:jc w:val="center"/>
        <w:rPr>
          <w:rFonts w:ascii="黑体" w:eastAsia="黑体"/>
          <w:color w:val="000000"/>
          <w:sz w:val="28"/>
          <w:szCs w:val="28"/>
        </w:rPr>
      </w:pPr>
      <w:r>
        <w:rPr>
          <w:rFonts w:hint="eastAsia" w:ascii="宋体" w:hAnsi="宋体"/>
          <w:color w:val="000000"/>
          <w:sz w:val="28"/>
          <w:szCs w:val="28"/>
        </w:rPr>
        <w:t>（项目名称）</w:t>
      </w:r>
      <w:r>
        <w:rPr>
          <w:rFonts w:hint="eastAsia" w:ascii="黑体" w:eastAsia="黑体"/>
          <w:color w:val="000000"/>
          <w:sz w:val="28"/>
          <w:szCs w:val="28"/>
        </w:rPr>
        <w:t>标段招标</w:t>
      </w:r>
    </w:p>
    <w:p>
      <w:pPr>
        <w:jc w:val="center"/>
        <w:rPr>
          <w:rFonts w:ascii="黑体" w:eastAsia="黑体"/>
          <w:color w:val="000000"/>
          <w:sz w:val="28"/>
          <w:szCs w:val="28"/>
        </w:rPr>
      </w:pPr>
    </w:p>
    <w:p>
      <w:pPr>
        <w:jc w:val="center"/>
        <w:rPr>
          <w:rFonts w:ascii="黑体" w:eastAsia="黑体"/>
          <w:color w:val="000000"/>
          <w:sz w:val="28"/>
          <w:szCs w:val="28"/>
        </w:rPr>
      </w:pPr>
    </w:p>
    <w:p>
      <w:pPr>
        <w:pStyle w:val="2"/>
        <w:rPr>
          <w:color w:val="000000"/>
        </w:rPr>
      </w:pPr>
    </w:p>
    <w:p>
      <w:pPr>
        <w:pStyle w:val="2"/>
        <w:rPr>
          <w:color w:val="000000"/>
        </w:rPr>
      </w:pPr>
    </w:p>
    <w:p>
      <w:pPr>
        <w:keepNext/>
        <w:keepLines/>
        <w:spacing w:before="260" w:after="260" w:line="416" w:lineRule="auto"/>
        <w:jc w:val="center"/>
        <w:outlineLvl w:val="1"/>
        <w:rPr>
          <w:rFonts w:ascii="黑体" w:hAnsi="黑体" w:eastAsia="黑体"/>
          <w:bCs/>
          <w:color w:val="000000"/>
          <w:sz w:val="32"/>
          <w:szCs w:val="32"/>
          <w:lang w:val="zh-CN"/>
        </w:rPr>
      </w:pPr>
      <w:bookmarkStart w:id="61" w:name="_Toc50651773"/>
      <w:r>
        <w:rPr>
          <w:rFonts w:hint="eastAsia" w:ascii="黑体" w:hAnsi="黑体" w:eastAsia="黑体"/>
          <w:bCs/>
          <w:color w:val="000000"/>
          <w:sz w:val="44"/>
          <w:szCs w:val="44"/>
          <w:lang w:val="zh-CN"/>
        </w:rPr>
        <w:t>投标文件</w:t>
      </w:r>
      <w:r>
        <w:rPr>
          <w:rFonts w:ascii="Cambria" w:hAnsi="Cambria"/>
          <w:bCs/>
          <w:color w:val="000000"/>
          <w:sz w:val="44"/>
          <w:szCs w:val="44"/>
          <w:lang w:val="zh-CN"/>
        </w:rPr>
        <w:br w:type="textWrapping"/>
      </w:r>
      <w:bookmarkEnd w:id="61"/>
    </w:p>
    <w:p>
      <w:pPr>
        <w:pStyle w:val="2"/>
        <w:rPr>
          <w:color w:val="000000"/>
          <w:lang w:val="zh-CN"/>
        </w:rPr>
      </w:pPr>
    </w:p>
    <w:p>
      <w:pPr>
        <w:jc w:val="center"/>
        <w:rPr>
          <w:rFonts w:ascii="黑体" w:eastAsia="黑体"/>
          <w:color w:val="000000"/>
          <w:sz w:val="32"/>
          <w:szCs w:val="32"/>
        </w:rPr>
      </w:pPr>
    </w:p>
    <w:p>
      <w:pPr>
        <w:jc w:val="center"/>
        <w:rPr>
          <w:rFonts w:ascii="黑体" w:eastAsia="黑体"/>
          <w:color w:val="000000"/>
          <w:sz w:val="32"/>
          <w:szCs w:val="32"/>
        </w:rPr>
      </w:pPr>
    </w:p>
    <w:p>
      <w:pPr>
        <w:jc w:val="center"/>
        <w:rPr>
          <w:rFonts w:ascii="黑体" w:eastAsia="黑体"/>
          <w:color w:val="000000"/>
          <w:sz w:val="32"/>
          <w:szCs w:val="32"/>
        </w:rPr>
      </w:pPr>
    </w:p>
    <w:p>
      <w:pPr>
        <w:jc w:val="center"/>
        <w:rPr>
          <w:rFonts w:ascii="黑体" w:eastAsia="黑体"/>
          <w:color w:val="000000"/>
          <w:sz w:val="32"/>
          <w:szCs w:val="32"/>
        </w:rPr>
      </w:pPr>
    </w:p>
    <w:p>
      <w:pPr>
        <w:rPr>
          <w:rFonts w:ascii="黑体" w:eastAsia="黑体"/>
          <w:color w:val="000000"/>
          <w:sz w:val="32"/>
          <w:szCs w:val="32"/>
        </w:rPr>
      </w:pPr>
    </w:p>
    <w:p>
      <w:pPr>
        <w:jc w:val="center"/>
        <w:rPr>
          <w:rFonts w:ascii="黑体" w:eastAsia="黑体"/>
          <w:color w:val="000000"/>
          <w:sz w:val="32"/>
          <w:szCs w:val="32"/>
        </w:rPr>
      </w:pPr>
    </w:p>
    <w:p>
      <w:pPr>
        <w:spacing w:line="360" w:lineRule="auto"/>
        <w:jc w:val="center"/>
        <w:rPr>
          <w:rFonts w:ascii="黑体" w:eastAsia="黑体"/>
          <w:color w:val="000000"/>
          <w:sz w:val="28"/>
          <w:szCs w:val="28"/>
        </w:rPr>
      </w:pPr>
      <w:r>
        <w:rPr>
          <w:rFonts w:hint="eastAsia" w:ascii="黑体" w:eastAsia="黑体"/>
          <w:color w:val="000000"/>
          <w:sz w:val="28"/>
          <w:szCs w:val="28"/>
        </w:rPr>
        <w:t>投标人：（盖单位章）</w:t>
      </w:r>
    </w:p>
    <w:p>
      <w:pPr>
        <w:spacing w:line="360" w:lineRule="auto"/>
        <w:jc w:val="center"/>
        <w:rPr>
          <w:rFonts w:ascii="黑体" w:eastAsia="黑体"/>
          <w:color w:val="000000"/>
          <w:sz w:val="28"/>
          <w:szCs w:val="28"/>
        </w:rPr>
      </w:pPr>
    </w:p>
    <w:p>
      <w:pPr>
        <w:jc w:val="center"/>
        <w:rPr>
          <w:rFonts w:ascii="黑体" w:eastAsia="黑体"/>
          <w:color w:val="000000"/>
          <w:sz w:val="28"/>
          <w:szCs w:val="28"/>
        </w:rPr>
      </w:pPr>
      <w:r>
        <w:rPr>
          <w:rFonts w:hint="eastAsia" w:ascii="黑体" w:eastAsia="黑体"/>
          <w:color w:val="000000"/>
          <w:sz w:val="28"/>
          <w:szCs w:val="28"/>
        </w:rPr>
        <w:t>年月日</w:t>
      </w:r>
    </w:p>
    <w:p>
      <w:pPr>
        <w:pStyle w:val="2"/>
        <w:rPr>
          <w:color w:val="000000"/>
        </w:rPr>
      </w:pPr>
    </w:p>
    <w:p>
      <w:pPr>
        <w:pStyle w:val="2"/>
        <w:rPr>
          <w:color w:val="000000"/>
        </w:rPr>
      </w:pPr>
    </w:p>
    <w:p>
      <w:pPr>
        <w:pStyle w:val="2"/>
        <w:rPr>
          <w:color w:val="000000"/>
        </w:rPr>
      </w:pPr>
    </w:p>
    <w:p>
      <w:pPr>
        <w:pStyle w:val="2"/>
        <w:rPr>
          <w:rFonts w:hint="eastAsia"/>
          <w:color w:val="000000"/>
        </w:rPr>
      </w:pPr>
    </w:p>
    <w:p>
      <w:pPr>
        <w:keepNext/>
        <w:keepLines/>
        <w:spacing w:before="120" w:after="120" w:line="400" w:lineRule="exact"/>
        <w:jc w:val="center"/>
        <w:outlineLvl w:val="1"/>
        <w:rPr>
          <w:rFonts w:ascii="Arial" w:hAnsi="Arial" w:cs="Calibri"/>
          <w:b/>
          <w:bCs/>
          <w:color w:val="000000"/>
          <w:sz w:val="32"/>
          <w:szCs w:val="32"/>
        </w:rPr>
      </w:pPr>
      <w:bookmarkStart w:id="62" w:name="_Toc126309135"/>
      <w:bookmarkStart w:id="63" w:name="_Toc26711494"/>
      <w:bookmarkStart w:id="64" w:name="_Toc73342356"/>
      <w:bookmarkStart w:id="65" w:name="_Toc530142180"/>
      <w:bookmarkStart w:id="66" w:name="_Toc126245771"/>
      <w:bookmarkStart w:id="67" w:name="_Toc524462521"/>
      <w:bookmarkStart w:id="68" w:name="_Toc479262713"/>
      <w:bookmarkStart w:id="69" w:name="_Toc28799390"/>
      <w:r>
        <w:rPr>
          <w:rFonts w:hint="eastAsia" w:ascii="Arial" w:hAnsi="Arial" w:cs="Calibri"/>
          <w:b/>
          <w:bCs/>
          <w:color w:val="000000"/>
          <w:sz w:val="32"/>
          <w:szCs w:val="32"/>
        </w:rPr>
        <w:t>评审因素索引表</w:t>
      </w:r>
      <w:bookmarkEnd w:id="62"/>
      <w:bookmarkEnd w:id="63"/>
      <w:bookmarkEnd w:id="64"/>
      <w:bookmarkEnd w:id="65"/>
      <w:bookmarkEnd w:id="66"/>
      <w:bookmarkEnd w:id="67"/>
      <w:bookmarkEnd w:id="68"/>
      <w:bookmarkEnd w:id="69"/>
    </w:p>
    <w:p>
      <w:pPr>
        <w:jc w:val="center"/>
        <w:rPr>
          <w:color w:val="000000"/>
          <w:sz w:val="24"/>
        </w:rPr>
      </w:pPr>
    </w:p>
    <w:tbl>
      <w:tblPr>
        <w:tblStyle w:val="51"/>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820"/>
        <w:gridCol w:w="3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b/>
                <w:color w:val="000000"/>
                <w:sz w:val="24"/>
              </w:rPr>
            </w:pPr>
            <w:bookmarkStart w:id="70" w:name="_Toc256691567"/>
            <w:bookmarkStart w:id="71" w:name="_Toc256695443"/>
            <w:r>
              <w:rPr>
                <w:rFonts w:hint="eastAsia"/>
                <w:b/>
                <w:color w:val="000000"/>
                <w:sz w:val="24"/>
              </w:rPr>
              <w:t>序号</w:t>
            </w:r>
            <w:bookmarkEnd w:id="70"/>
            <w:bookmarkEnd w:id="71"/>
          </w:p>
        </w:tc>
        <w:tc>
          <w:tcPr>
            <w:tcW w:w="4820" w:type="dxa"/>
            <w:tcBorders>
              <w:top w:val="single" w:color="000000" w:sz="4" w:space="0"/>
              <w:left w:val="single" w:color="000000" w:sz="4" w:space="0"/>
              <w:bottom w:val="single" w:color="000000" w:sz="4" w:space="0"/>
              <w:right w:val="single" w:color="000000" w:sz="4" w:space="0"/>
            </w:tcBorders>
            <w:noWrap w:val="0"/>
            <w:vAlign w:val="center"/>
          </w:tcPr>
          <w:p>
            <w:pPr>
              <w:jc w:val="center"/>
              <w:rPr>
                <w:b/>
                <w:color w:val="000000"/>
                <w:sz w:val="24"/>
              </w:rPr>
            </w:pPr>
            <w:bookmarkStart w:id="72" w:name="_Toc256691568"/>
            <w:bookmarkStart w:id="73" w:name="_Toc256695444"/>
            <w:r>
              <w:rPr>
                <w:rFonts w:hint="eastAsia"/>
                <w:b/>
                <w:color w:val="000000"/>
                <w:sz w:val="24"/>
              </w:rPr>
              <w:t>评审因素</w:t>
            </w:r>
            <w:bookmarkEnd w:id="72"/>
            <w:bookmarkEnd w:id="73"/>
          </w:p>
        </w:tc>
        <w:tc>
          <w:tcPr>
            <w:tcW w:w="3649" w:type="dxa"/>
            <w:tcBorders>
              <w:top w:val="single" w:color="000000" w:sz="4" w:space="0"/>
              <w:left w:val="single" w:color="000000" w:sz="4" w:space="0"/>
              <w:bottom w:val="single" w:color="000000" w:sz="4" w:space="0"/>
              <w:right w:val="single" w:color="000000" w:sz="4" w:space="0"/>
            </w:tcBorders>
            <w:noWrap w:val="0"/>
            <w:vAlign w:val="center"/>
          </w:tcPr>
          <w:p>
            <w:pPr>
              <w:jc w:val="center"/>
              <w:rPr>
                <w:b/>
                <w:color w:val="000000"/>
                <w:sz w:val="24"/>
              </w:rPr>
            </w:pPr>
            <w:bookmarkStart w:id="74" w:name="_Toc256691569"/>
            <w:bookmarkStart w:id="75" w:name="_Toc256695445"/>
            <w:r>
              <w:rPr>
                <w:rFonts w:hint="eastAsia"/>
                <w:b/>
                <w:color w:val="000000"/>
                <w:sz w:val="24"/>
              </w:rPr>
              <w:t>投标文件页码范围</w:t>
            </w:r>
            <w:bookmarkEnd w:id="74"/>
            <w:bookmarkEnd w:id="7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p>
        </w:tc>
        <w:tc>
          <w:tcPr>
            <w:tcW w:w="48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p>
        </w:tc>
        <w:tc>
          <w:tcPr>
            <w:tcW w:w="364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bookmarkStart w:id="76" w:name="_Toc256695446"/>
            <w:bookmarkStart w:id="77" w:name="_Toc256691570"/>
            <w:r>
              <w:rPr>
                <w:color w:val="000000"/>
                <w:sz w:val="24"/>
              </w:rPr>
              <w:t>P---  P</w:t>
            </w:r>
            <w:bookmarkEnd w:id="76"/>
            <w:bookmarkEnd w:id="7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c>
          <w:tcPr>
            <w:tcW w:w="48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c>
          <w:tcPr>
            <w:tcW w:w="364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bookmarkStart w:id="78" w:name="_Toc256691571"/>
            <w:bookmarkStart w:id="79" w:name="_Toc256695447"/>
            <w:r>
              <w:rPr>
                <w:color w:val="000000"/>
                <w:sz w:val="24"/>
              </w:rPr>
              <w:t>P---  P</w:t>
            </w:r>
            <w:bookmarkEnd w:id="78"/>
            <w:bookmarkEnd w:id="7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c>
          <w:tcPr>
            <w:tcW w:w="48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c>
          <w:tcPr>
            <w:tcW w:w="364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bookmarkStart w:id="80" w:name="_Toc256691572"/>
            <w:bookmarkStart w:id="81" w:name="_Toc256695448"/>
            <w:r>
              <w:rPr>
                <w:color w:val="000000"/>
                <w:sz w:val="24"/>
              </w:rPr>
              <w:t>P---  P</w:t>
            </w:r>
            <w:bookmarkEnd w:id="80"/>
            <w:bookmarkEnd w:id="8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c>
          <w:tcPr>
            <w:tcW w:w="48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c>
          <w:tcPr>
            <w:tcW w:w="364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bookmarkStart w:id="82" w:name="_Toc256691573"/>
            <w:bookmarkStart w:id="83" w:name="_Toc256695449"/>
            <w:r>
              <w:rPr>
                <w:color w:val="000000"/>
                <w:sz w:val="24"/>
              </w:rPr>
              <w:t>P---  P</w:t>
            </w:r>
            <w:bookmarkEnd w:id="82"/>
            <w:bookmarkEnd w:id="8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c>
          <w:tcPr>
            <w:tcW w:w="48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c>
          <w:tcPr>
            <w:tcW w:w="364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bookmarkStart w:id="84" w:name="_Toc256695450"/>
            <w:bookmarkStart w:id="85" w:name="_Toc256691574"/>
            <w:r>
              <w:rPr>
                <w:color w:val="000000"/>
                <w:sz w:val="24"/>
              </w:rPr>
              <w:t>P---  P</w:t>
            </w:r>
            <w:bookmarkEnd w:id="84"/>
            <w:bookmarkEnd w:id="8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c>
          <w:tcPr>
            <w:tcW w:w="48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c>
          <w:tcPr>
            <w:tcW w:w="364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bookmarkStart w:id="86" w:name="_Toc256695451"/>
            <w:bookmarkStart w:id="87" w:name="_Toc256691575"/>
            <w:r>
              <w:rPr>
                <w:color w:val="000000"/>
                <w:sz w:val="24"/>
              </w:rPr>
              <w:t>P---  P</w:t>
            </w:r>
            <w:bookmarkEnd w:id="86"/>
            <w:bookmarkEnd w:id="8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c>
          <w:tcPr>
            <w:tcW w:w="48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c>
          <w:tcPr>
            <w:tcW w:w="364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bookmarkStart w:id="88" w:name="_Toc256695452"/>
            <w:bookmarkStart w:id="89" w:name="_Toc256691576"/>
            <w:r>
              <w:rPr>
                <w:color w:val="000000"/>
                <w:sz w:val="24"/>
              </w:rPr>
              <w:t>P---  P</w:t>
            </w:r>
            <w:bookmarkEnd w:id="88"/>
            <w:bookmarkEnd w:id="8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c>
          <w:tcPr>
            <w:tcW w:w="48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c>
          <w:tcPr>
            <w:tcW w:w="364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bookmarkStart w:id="90" w:name="_Toc256691577"/>
            <w:bookmarkStart w:id="91" w:name="_Toc256695453"/>
            <w:r>
              <w:rPr>
                <w:color w:val="000000"/>
                <w:sz w:val="24"/>
              </w:rPr>
              <w:t>P---  P</w:t>
            </w:r>
            <w:bookmarkEnd w:id="90"/>
            <w:bookmarkEnd w:id="9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c>
          <w:tcPr>
            <w:tcW w:w="48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c>
          <w:tcPr>
            <w:tcW w:w="364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bookmarkStart w:id="92" w:name="_Toc256691578"/>
            <w:bookmarkStart w:id="93" w:name="_Toc256695454"/>
            <w:r>
              <w:rPr>
                <w:color w:val="000000"/>
                <w:sz w:val="24"/>
              </w:rPr>
              <w:t>P---  P</w:t>
            </w:r>
            <w:bookmarkEnd w:id="92"/>
            <w:bookmarkEnd w:id="9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c>
          <w:tcPr>
            <w:tcW w:w="48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c>
          <w:tcPr>
            <w:tcW w:w="364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bookmarkStart w:id="94" w:name="_Toc256695455"/>
            <w:bookmarkStart w:id="95" w:name="_Toc256691579"/>
            <w:r>
              <w:rPr>
                <w:color w:val="000000"/>
                <w:sz w:val="24"/>
              </w:rPr>
              <w:t>P---  P</w:t>
            </w:r>
            <w:bookmarkEnd w:id="94"/>
            <w:bookmarkEnd w:id="9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c>
          <w:tcPr>
            <w:tcW w:w="48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c>
          <w:tcPr>
            <w:tcW w:w="364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bookmarkStart w:id="96" w:name="_Toc256691580"/>
            <w:bookmarkStart w:id="97" w:name="_Toc256695456"/>
            <w:r>
              <w:rPr>
                <w:color w:val="000000"/>
                <w:sz w:val="24"/>
              </w:rPr>
              <w:t>P---  P</w:t>
            </w:r>
            <w:bookmarkEnd w:id="96"/>
            <w:bookmarkEnd w:id="9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c>
          <w:tcPr>
            <w:tcW w:w="48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c>
          <w:tcPr>
            <w:tcW w:w="364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bookmarkStart w:id="98" w:name="_Toc256695457"/>
            <w:bookmarkStart w:id="99" w:name="_Toc256691581"/>
            <w:r>
              <w:rPr>
                <w:color w:val="000000"/>
                <w:sz w:val="24"/>
              </w:rPr>
              <w:t>P---  P</w:t>
            </w:r>
            <w:bookmarkEnd w:id="98"/>
            <w:bookmarkEnd w:id="9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c>
          <w:tcPr>
            <w:tcW w:w="48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c>
          <w:tcPr>
            <w:tcW w:w="364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bookmarkStart w:id="100" w:name="_Toc256691582"/>
            <w:bookmarkStart w:id="101" w:name="_Toc256695458"/>
            <w:r>
              <w:rPr>
                <w:color w:val="000000"/>
                <w:sz w:val="24"/>
              </w:rPr>
              <w:t>P---  P</w:t>
            </w:r>
            <w:bookmarkEnd w:id="100"/>
            <w:bookmarkEnd w:id="10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c>
          <w:tcPr>
            <w:tcW w:w="48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bookmarkStart w:id="102" w:name="_Toc256691583"/>
            <w:bookmarkStart w:id="103" w:name="_Toc256695459"/>
            <w:r>
              <w:rPr>
                <w:rFonts w:hint="eastAsia"/>
                <w:color w:val="000000"/>
                <w:sz w:val="28"/>
                <w:szCs w:val="28"/>
              </w:rPr>
              <w:t>……</w:t>
            </w:r>
            <w:bookmarkEnd w:id="102"/>
            <w:bookmarkEnd w:id="103"/>
          </w:p>
        </w:tc>
        <w:tc>
          <w:tcPr>
            <w:tcW w:w="364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4"/>
              </w:rPr>
            </w:pPr>
            <w:bookmarkStart w:id="104" w:name="_Toc256691584"/>
            <w:bookmarkStart w:id="105" w:name="_Toc256695460"/>
            <w:r>
              <w:rPr>
                <w:rFonts w:hint="eastAsia"/>
                <w:color w:val="000000"/>
                <w:sz w:val="28"/>
                <w:szCs w:val="28"/>
              </w:rPr>
              <w:t>……</w:t>
            </w:r>
            <w:bookmarkEnd w:id="104"/>
            <w:bookmarkEnd w:id="10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c>
          <w:tcPr>
            <w:tcW w:w="48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c>
          <w:tcPr>
            <w:tcW w:w="364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c>
          <w:tcPr>
            <w:tcW w:w="482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c>
          <w:tcPr>
            <w:tcW w:w="3649"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sz w:val="28"/>
                <w:szCs w:val="28"/>
              </w:rPr>
            </w:pPr>
          </w:p>
        </w:tc>
      </w:tr>
    </w:tbl>
    <w:p>
      <w:pPr>
        <w:pStyle w:val="237"/>
        <w:jc w:val="both"/>
        <w:rPr>
          <w:rFonts w:hint="eastAsia"/>
          <w:color w:val="000000"/>
        </w:rPr>
      </w:pPr>
    </w:p>
    <w:p>
      <w:pPr>
        <w:spacing w:line="500" w:lineRule="exact"/>
        <w:jc w:val="center"/>
        <w:rPr>
          <w:rFonts w:ascii="宋体" w:hAnsi="宋体"/>
          <w:b/>
          <w:color w:val="000000"/>
          <w:sz w:val="24"/>
          <w:szCs w:val="24"/>
        </w:rPr>
      </w:pPr>
    </w:p>
    <w:p>
      <w:pPr>
        <w:pStyle w:val="2"/>
        <w:rPr>
          <w:color w:val="000000"/>
        </w:rPr>
      </w:pPr>
    </w:p>
    <w:p>
      <w:pPr>
        <w:pStyle w:val="2"/>
        <w:rPr>
          <w:rFonts w:hint="eastAsia"/>
          <w:color w:val="000000"/>
        </w:rPr>
      </w:pPr>
    </w:p>
    <w:p>
      <w:pPr>
        <w:spacing w:line="500" w:lineRule="exact"/>
        <w:jc w:val="center"/>
        <w:rPr>
          <w:rFonts w:hint="eastAsia" w:ascii="宋体" w:hAnsi="宋体"/>
          <w:b/>
          <w:color w:val="000000"/>
          <w:sz w:val="24"/>
          <w:szCs w:val="24"/>
        </w:rPr>
      </w:pPr>
      <w:r>
        <w:rPr>
          <w:rFonts w:hint="eastAsia" w:ascii="宋体" w:hAnsi="宋体"/>
          <w:b/>
          <w:color w:val="000000"/>
          <w:sz w:val="24"/>
          <w:szCs w:val="24"/>
        </w:rPr>
        <w:t>投标文件资料清单</w:t>
      </w:r>
    </w:p>
    <w:p>
      <w:pPr>
        <w:spacing w:line="500" w:lineRule="exact"/>
        <w:jc w:val="center"/>
        <w:rPr>
          <w:rFonts w:hint="eastAsia" w:ascii="宋体" w:hAnsi="宋体"/>
          <w:b/>
          <w:color w:val="000000"/>
          <w:sz w:val="24"/>
          <w:szCs w:val="24"/>
        </w:rPr>
      </w:pPr>
    </w:p>
    <w:tbl>
      <w:tblPr>
        <w:tblStyle w:val="51"/>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noWrap w:val="0"/>
            <w:vAlign w:val="center"/>
          </w:tcPr>
          <w:p>
            <w:pPr>
              <w:spacing w:line="400" w:lineRule="exact"/>
              <w:jc w:val="center"/>
              <w:rPr>
                <w:rFonts w:hint="eastAsia" w:ascii="宋体" w:hAnsi="宋体"/>
                <w:b/>
                <w:color w:val="000000"/>
                <w:sz w:val="24"/>
              </w:rPr>
            </w:pPr>
            <w:r>
              <w:rPr>
                <w:rFonts w:hint="eastAsia" w:ascii="宋体" w:hAnsi="宋体"/>
                <w:b/>
                <w:color w:val="000000"/>
                <w:sz w:val="24"/>
              </w:rPr>
              <w:t>序号</w:t>
            </w:r>
          </w:p>
        </w:tc>
        <w:tc>
          <w:tcPr>
            <w:tcW w:w="5376" w:type="dxa"/>
            <w:noWrap w:val="0"/>
            <w:vAlign w:val="center"/>
          </w:tcPr>
          <w:p>
            <w:pPr>
              <w:spacing w:line="400" w:lineRule="exact"/>
              <w:jc w:val="center"/>
              <w:rPr>
                <w:rFonts w:hint="eastAsia" w:ascii="宋体" w:hAnsi="宋体"/>
                <w:b/>
                <w:color w:val="000000"/>
                <w:sz w:val="24"/>
              </w:rPr>
            </w:pPr>
            <w:r>
              <w:rPr>
                <w:rFonts w:hint="eastAsia" w:ascii="宋体" w:hAnsi="宋体"/>
                <w:b/>
                <w:color w:val="000000"/>
                <w:sz w:val="24"/>
              </w:rPr>
              <w:t>资料名称</w:t>
            </w:r>
          </w:p>
        </w:tc>
        <w:tc>
          <w:tcPr>
            <w:tcW w:w="2625" w:type="dxa"/>
            <w:noWrap w:val="0"/>
            <w:vAlign w:val="center"/>
          </w:tcPr>
          <w:p>
            <w:pPr>
              <w:spacing w:line="400" w:lineRule="exact"/>
              <w:jc w:val="center"/>
              <w:rPr>
                <w:rFonts w:hint="eastAsia" w:ascii="宋体" w:hAnsi="宋体"/>
                <w:b/>
                <w:color w:val="000000"/>
                <w:sz w:val="24"/>
              </w:rPr>
            </w:pPr>
            <w:r>
              <w:rPr>
                <w:rFonts w:hint="eastAsia" w:ascii="宋体" w:hAnsi="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000000"/>
                <w:sz w:val="24"/>
              </w:rPr>
            </w:pPr>
            <w:r>
              <w:rPr>
                <w:rFonts w:hint="eastAsia"/>
                <w:color w:val="000000"/>
                <w:sz w:val="24"/>
              </w:rPr>
              <w:t>一</w:t>
            </w:r>
          </w:p>
        </w:tc>
        <w:tc>
          <w:tcPr>
            <w:tcW w:w="5376" w:type="dxa"/>
            <w:noWrap w:val="0"/>
            <w:vAlign w:val="center"/>
          </w:tcPr>
          <w:p>
            <w:pPr>
              <w:rPr>
                <w:rFonts w:hint="eastAsia"/>
                <w:color w:val="000000"/>
                <w:u w:val="single"/>
              </w:rPr>
            </w:pPr>
            <w:r>
              <w:rPr>
                <w:rFonts w:hint="eastAsia"/>
                <w:bCs/>
                <w:color w:val="000000"/>
                <w:sz w:val="24"/>
              </w:rPr>
              <w:t>投标函</w:t>
            </w:r>
          </w:p>
        </w:tc>
        <w:tc>
          <w:tcPr>
            <w:tcW w:w="2625" w:type="dxa"/>
            <w:noWrap w:val="0"/>
            <w:vAlign w:val="center"/>
          </w:tcPr>
          <w:p>
            <w:pPr>
              <w:spacing w:line="360" w:lineRule="auto"/>
              <w:jc w:val="center"/>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000000"/>
                <w:sz w:val="24"/>
              </w:rPr>
            </w:pPr>
            <w:r>
              <w:rPr>
                <w:rFonts w:hint="eastAsia"/>
                <w:color w:val="000000"/>
                <w:sz w:val="24"/>
              </w:rPr>
              <w:t>二</w:t>
            </w:r>
          </w:p>
        </w:tc>
        <w:tc>
          <w:tcPr>
            <w:tcW w:w="5376" w:type="dxa"/>
            <w:noWrap w:val="0"/>
            <w:vAlign w:val="center"/>
          </w:tcPr>
          <w:p>
            <w:pPr>
              <w:rPr>
                <w:rFonts w:hint="eastAsia"/>
                <w:bCs/>
                <w:color w:val="000000"/>
                <w:sz w:val="24"/>
              </w:rPr>
            </w:pPr>
            <w:r>
              <w:rPr>
                <w:rFonts w:hint="eastAsia"/>
                <w:color w:val="000000"/>
                <w:sz w:val="24"/>
              </w:rPr>
              <w:t>拟投标人情况综合简介</w:t>
            </w:r>
          </w:p>
        </w:tc>
        <w:tc>
          <w:tcPr>
            <w:tcW w:w="2625" w:type="dxa"/>
            <w:noWrap w:val="0"/>
            <w:vAlign w:val="center"/>
          </w:tcPr>
          <w:p>
            <w:pPr>
              <w:spacing w:line="360" w:lineRule="auto"/>
              <w:jc w:val="center"/>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000000"/>
                <w:sz w:val="24"/>
              </w:rPr>
            </w:pPr>
            <w:r>
              <w:rPr>
                <w:rFonts w:hint="eastAsia"/>
                <w:color w:val="000000"/>
                <w:sz w:val="24"/>
              </w:rPr>
              <w:t>三</w:t>
            </w:r>
          </w:p>
        </w:tc>
        <w:tc>
          <w:tcPr>
            <w:tcW w:w="5376" w:type="dxa"/>
            <w:noWrap w:val="0"/>
            <w:vAlign w:val="center"/>
          </w:tcPr>
          <w:p>
            <w:pPr>
              <w:rPr>
                <w:rFonts w:hint="eastAsia"/>
                <w:bCs/>
                <w:color w:val="000000"/>
                <w:sz w:val="24"/>
              </w:rPr>
            </w:pPr>
            <w:r>
              <w:rPr>
                <w:rFonts w:hint="eastAsia"/>
                <w:bCs/>
                <w:color w:val="000000"/>
                <w:sz w:val="24"/>
              </w:rPr>
              <w:t>开标一览表</w:t>
            </w:r>
          </w:p>
        </w:tc>
        <w:tc>
          <w:tcPr>
            <w:tcW w:w="2625" w:type="dxa"/>
            <w:noWrap w:val="0"/>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000000"/>
                <w:sz w:val="24"/>
              </w:rPr>
            </w:pPr>
            <w:r>
              <w:rPr>
                <w:rFonts w:hint="eastAsia"/>
                <w:color w:val="000000"/>
                <w:sz w:val="24"/>
              </w:rPr>
              <w:t>四</w:t>
            </w:r>
          </w:p>
        </w:tc>
        <w:tc>
          <w:tcPr>
            <w:tcW w:w="5376" w:type="dxa"/>
            <w:noWrap w:val="0"/>
            <w:vAlign w:val="center"/>
          </w:tcPr>
          <w:p>
            <w:pPr>
              <w:pStyle w:val="119"/>
              <w:rPr>
                <w:rFonts w:hint="eastAsia" w:ascii="Times New Roman" w:hAnsi="Times New Roman" w:eastAsia="宋体" w:cs="Times New Roman"/>
                <w:bCs/>
                <w:color w:val="000000"/>
                <w:kern w:val="2"/>
                <w:sz w:val="24"/>
                <w:szCs w:val="20"/>
                <w:lang w:val="en-US" w:eastAsia="zh-CN" w:bidi="ar-SA"/>
              </w:rPr>
            </w:pPr>
            <w:r>
              <w:rPr>
                <w:rFonts w:hint="eastAsia" w:ascii="Times New Roman" w:hAnsi="Times New Roman"/>
                <w:bCs/>
                <w:color w:val="000000"/>
              </w:rPr>
              <w:t>投标货物及报价表</w:t>
            </w:r>
          </w:p>
        </w:tc>
        <w:tc>
          <w:tcPr>
            <w:tcW w:w="2625" w:type="dxa"/>
            <w:noWrap w:val="0"/>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000000"/>
                <w:sz w:val="24"/>
              </w:rPr>
            </w:pPr>
            <w:r>
              <w:rPr>
                <w:rFonts w:hint="eastAsia"/>
                <w:color w:val="000000"/>
                <w:sz w:val="24"/>
              </w:rPr>
              <w:t>五</w:t>
            </w:r>
          </w:p>
        </w:tc>
        <w:tc>
          <w:tcPr>
            <w:tcW w:w="5376" w:type="dxa"/>
            <w:noWrap w:val="0"/>
            <w:vAlign w:val="center"/>
          </w:tcPr>
          <w:p>
            <w:pPr>
              <w:pStyle w:val="119"/>
              <w:rPr>
                <w:rFonts w:hint="eastAsia" w:ascii="Times New Roman" w:hAnsi="Times New Roman" w:eastAsia="宋体" w:cs="Times New Roman"/>
                <w:bCs/>
                <w:color w:val="000000"/>
                <w:kern w:val="2"/>
                <w:sz w:val="24"/>
                <w:szCs w:val="20"/>
                <w:lang w:val="en-US" w:eastAsia="zh-CN" w:bidi="ar-SA"/>
              </w:rPr>
            </w:pPr>
            <w:r>
              <w:rPr>
                <w:rFonts w:hint="eastAsia" w:ascii="Times New Roman" w:hAnsi="Times New Roman"/>
                <w:bCs/>
                <w:color w:val="000000"/>
              </w:rPr>
              <w:t>投标授权书</w:t>
            </w:r>
          </w:p>
        </w:tc>
        <w:tc>
          <w:tcPr>
            <w:tcW w:w="2625" w:type="dxa"/>
            <w:noWrap w:val="0"/>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000000"/>
                <w:sz w:val="24"/>
              </w:rPr>
            </w:pPr>
            <w:r>
              <w:rPr>
                <w:rFonts w:hint="eastAsia"/>
                <w:color w:val="000000"/>
                <w:sz w:val="24"/>
              </w:rPr>
              <w:t>六</w:t>
            </w:r>
          </w:p>
        </w:tc>
        <w:tc>
          <w:tcPr>
            <w:tcW w:w="5376" w:type="dxa"/>
            <w:noWrap w:val="0"/>
            <w:vAlign w:val="center"/>
          </w:tcPr>
          <w:p>
            <w:pPr>
              <w:pStyle w:val="119"/>
              <w:rPr>
                <w:rFonts w:hint="eastAsia" w:ascii="Times New Roman" w:hAnsi="Times New Roman" w:eastAsia="宋体" w:cs="Times New Roman"/>
                <w:bCs/>
                <w:color w:val="000000"/>
                <w:kern w:val="2"/>
                <w:sz w:val="24"/>
                <w:szCs w:val="20"/>
                <w:lang w:val="en-US" w:eastAsia="zh-CN" w:bidi="ar-SA"/>
              </w:rPr>
            </w:pPr>
            <w:r>
              <w:rPr>
                <w:rFonts w:hint="eastAsia"/>
                <w:bCs/>
                <w:color w:val="000000"/>
              </w:rPr>
              <w:t>投标人信用承诺</w:t>
            </w:r>
          </w:p>
        </w:tc>
        <w:tc>
          <w:tcPr>
            <w:tcW w:w="2625" w:type="dxa"/>
            <w:noWrap w:val="0"/>
            <w:vAlign w:val="center"/>
          </w:tcPr>
          <w:p>
            <w:pPr>
              <w:spacing w:line="360" w:lineRule="auto"/>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000000"/>
                <w:sz w:val="24"/>
              </w:rPr>
            </w:pPr>
            <w:r>
              <w:rPr>
                <w:rFonts w:hint="eastAsia"/>
                <w:color w:val="000000"/>
                <w:sz w:val="24"/>
              </w:rPr>
              <w:t>七</w:t>
            </w:r>
          </w:p>
        </w:tc>
        <w:tc>
          <w:tcPr>
            <w:tcW w:w="5376" w:type="dxa"/>
            <w:noWrap w:val="0"/>
            <w:vAlign w:val="center"/>
          </w:tcPr>
          <w:p>
            <w:pPr>
              <w:rPr>
                <w:rFonts w:hint="eastAsia" w:ascii="Times New Roman" w:hAnsi="Times New Roman" w:eastAsia="宋体" w:cs="Times New Roman"/>
                <w:color w:val="000000"/>
                <w:kern w:val="2"/>
                <w:sz w:val="24"/>
                <w:szCs w:val="22"/>
                <w:lang w:val="en-US" w:eastAsia="zh-CN" w:bidi="ar-SA"/>
              </w:rPr>
            </w:pPr>
            <w:r>
              <w:rPr>
                <w:rFonts w:hint="eastAsia"/>
                <w:color w:val="000000"/>
                <w:sz w:val="24"/>
              </w:rPr>
              <w:t>投标业绩</w:t>
            </w:r>
          </w:p>
        </w:tc>
        <w:tc>
          <w:tcPr>
            <w:tcW w:w="2625" w:type="dxa"/>
            <w:noWrap w:val="0"/>
            <w:vAlign w:val="center"/>
          </w:tcPr>
          <w:p>
            <w:pPr>
              <w:spacing w:line="360" w:lineRule="auto"/>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000000"/>
                <w:sz w:val="24"/>
              </w:rPr>
            </w:pPr>
            <w:r>
              <w:rPr>
                <w:rFonts w:hint="eastAsia"/>
                <w:color w:val="000000"/>
                <w:sz w:val="24"/>
              </w:rPr>
              <w:t>八</w:t>
            </w:r>
          </w:p>
        </w:tc>
        <w:tc>
          <w:tcPr>
            <w:tcW w:w="5376" w:type="dxa"/>
            <w:noWrap w:val="0"/>
            <w:vAlign w:val="center"/>
          </w:tcPr>
          <w:p>
            <w:pPr>
              <w:rPr>
                <w:rFonts w:hint="eastAsia" w:ascii="Times New Roman" w:hAnsi="Times New Roman" w:eastAsia="宋体" w:cs="Times New Roman"/>
                <w:color w:val="000000"/>
                <w:kern w:val="2"/>
                <w:sz w:val="24"/>
                <w:szCs w:val="22"/>
                <w:lang w:val="en-US" w:eastAsia="zh-CN" w:bidi="ar-SA"/>
              </w:rPr>
            </w:pPr>
            <w:r>
              <w:rPr>
                <w:rFonts w:hint="eastAsia"/>
                <w:color w:val="000000"/>
                <w:sz w:val="24"/>
              </w:rPr>
              <w:t>有关证明文件</w:t>
            </w:r>
          </w:p>
        </w:tc>
        <w:tc>
          <w:tcPr>
            <w:tcW w:w="2625" w:type="dxa"/>
            <w:noWrap w:val="0"/>
            <w:vAlign w:val="center"/>
          </w:tcPr>
          <w:p>
            <w:pPr>
              <w:spacing w:line="360" w:lineRule="auto"/>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000000"/>
                <w:sz w:val="24"/>
              </w:rPr>
            </w:pPr>
            <w:r>
              <w:rPr>
                <w:rFonts w:hint="eastAsia"/>
                <w:color w:val="000000"/>
                <w:sz w:val="24"/>
              </w:rPr>
              <w:t>九</w:t>
            </w:r>
          </w:p>
        </w:tc>
        <w:tc>
          <w:tcPr>
            <w:tcW w:w="5376" w:type="dxa"/>
            <w:noWrap w:val="0"/>
            <w:vAlign w:val="center"/>
          </w:tcPr>
          <w:p>
            <w:pPr>
              <w:rPr>
                <w:rFonts w:hint="eastAsia" w:ascii="Times New Roman" w:hAnsi="Times New Roman" w:eastAsia="宋体" w:cs="Times New Roman"/>
                <w:color w:val="000000"/>
                <w:kern w:val="2"/>
                <w:sz w:val="24"/>
                <w:szCs w:val="22"/>
                <w:lang w:val="en-US" w:eastAsia="zh-CN" w:bidi="ar-SA"/>
              </w:rPr>
            </w:pPr>
            <w:r>
              <w:rPr>
                <w:rFonts w:hint="eastAsia"/>
                <w:color w:val="000000"/>
                <w:sz w:val="24"/>
              </w:rPr>
              <w:t>生产厂商授权书</w:t>
            </w:r>
          </w:p>
        </w:tc>
        <w:tc>
          <w:tcPr>
            <w:tcW w:w="2625" w:type="dxa"/>
            <w:noWrap w:val="0"/>
            <w:vAlign w:val="center"/>
          </w:tcPr>
          <w:p>
            <w:pPr>
              <w:spacing w:line="360" w:lineRule="auto"/>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000000"/>
                <w:sz w:val="24"/>
              </w:rPr>
            </w:pPr>
            <w:r>
              <w:rPr>
                <w:rFonts w:hint="eastAsia"/>
                <w:color w:val="000000"/>
                <w:sz w:val="24"/>
              </w:rPr>
              <w:t>十</w:t>
            </w:r>
          </w:p>
        </w:tc>
        <w:tc>
          <w:tcPr>
            <w:tcW w:w="5376" w:type="dxa"/>
            <w:noWrap w:val="0"/>
            <w:vAlign w:val="center"/>
          </w:tcPr>
          <w:p>
            <w:pPr>
              <w:rPr>
                <w:rFonts w:hint="eastAsia" w:ascii="Times New Roman" w:hAnsi="Times New Roman" w:eastAsia="宋体" w:cs="Times New Roman"/>
                <w:color w:val="000000"/>
                <w:kern w:val="2"/>
                <w:sz w:val="24"/>
                <w:szCs w:val="22"/>
                <w:lang w:val="en-US" w:eastAsia="zh-CN" w:bidi="ar-SA"/>
              </w:rPr>
            </w:pPr>
            <w:r>
              <w:rPr>
                <w:rFonts w:hint="eastAsia"/>
                <w:color w:val="000000"/>
                <w:sz w:val="24"/>
              </w:rPr>
              <w:t>相关授权或承诺书</w:t>
            </w:r>
          </w:p>
        </w:tc>
        <w:tc>
          <w:tcPr>
            <w:tcW w:w="2625" w:type="dxa"/>
            <w:noWrap w:val="0"/>
            <w:vAlign w:val="center"/>
          </w:tcPr>
          <w:p>
            <w:pPr>
              <w:spacing w:line="360" w:lineRule="auto"/>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000000"/>
                <w:sz w:val="24"/>
              </w:rPr>
            </w:pPr>
            <w:r>
              <w:rPr>
                <w:rFonts w:hint="eastAsia"/>
                <w:color w:val="000000"/>
                <w:sz w:val="24"/>
              </w:rPr>
              <w:t>十一</w:t>
            </w:r>
          </w:p>
        </w:tc>
        <w:tc>
          <w:tcPr>
            <w:tcW w:w="5376" w:type="dxa"/>
            <w:noWrap w:val="0"/>
            <w:vAlign w:val="center"/>
          </w:tcPr>
          <w:p>
            <w:pPr>
              <w:rPr>
                <w:rFonts w:hint="eastAsia" w:ascii="Times New Roman" w:hAnsi="Times New Roman" w:eastAsia="宋体" w:cs="Times New Roman"/>
                <w:color w:val="000000"/>
                <w:kern w:val="2"/>
                <w:sz w:val="24"/>
                <w:szCs w:val="22"/>
                <w:lang w:val="en-US" w:eastAsia="zh-CN" w:bidi="ar-SA"/>
              </w:rPr>
            </w:pPr>
            <w:r>
              <w:rPr>
                <w:rFonts w:hint="eastAsia"/>
                <w:color w:val="000000"/>
                <w:sz w:val="24"/>
              </w:rPr>
              <w:t>检测报告</w:t>
            </w:r>
          </w:p>
        </w:tc>
        <w:tc>
          <w:tcPr>
            <w:tcW w:w="2625" w:type="dxa"/>
            <w:noWrap w:val="0"/>
            <w:vAlign w:val="center"/>
          </w:tcPr>
          <w:p>
            <w:pPr>
              <w:spacing w:line="360" w:lineRule="auto"/>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000000"/>
                <w:sz w:val="24"/>
              </w:rPr>
            </w:pPr>
            <w:r>
              <w:rPr>
                <w:rFonts w:hint="eastAsia"/>
                <w:color w:val="000000"/>
                <w:sz w:val="24"/>
              </w:rPr>
              <w:t>十二</w:t>
            </w:r>
          </w:p>
        </w:tc>
        <w:tc>
          <w:tcPr>
            <w:tcW w:w="5376" w:type="dxa"/>
            <w:noWrap w:val="0"/>
            <w:vAlign w:val="center"/>
          </w:tcPr>
          <w:p>
            <w:pPr>
              <w:rPr>
                <w:rFonts w:hint="eastAsia" w:ascii="Times New Roman" w:hAnsi="Times New Roman" w:eastAsia="宋体" w:cs="Times New Roman"/>
                <w:color w:val="000000"/>
                <w:kern w:val="2"/>
                <w:sz w:val="24"/>
                <w:szCs w:val="22"/>
                <w:lang w:val="en-US" w:eastAsia="zh-CN" w:bidi="ar-SA"/>
              </w:rPr>
            </w:pPr>
            <w:r>
              <w:rPr>
                <w:rFonts w:hint="eastAsia"/>
                <w:color w:val="000000"/>
                <w:sz w:val="24"/>
              </w:rPr>
              <w:t>售后服务体系与维保方案</w:t>
            </w:r>
          </w:p>
        </w:tc>
        <w:tc>
          <w:tcPr>
            <w:tcW w:w="2625" w:type="dxa"/>
            <w:noWrap w:val="0"/>
            <w:vAlign w:val="center"/>
          </w:tcPr>
          <w:p>
            <w:pPr>
              <w:spacing w:line="360" w:lineRule="auto"/>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000000"/>
                <w:sz w:val="24"/>
              </w:rPr>
            </w:pPr>
            <w:r>
              <w:rPr>
                <w:rFonts w:hint="eastAsia"/>
                <w:color w:val="000000"/>
                <w:sz w:val="24"/>
              </w:rPr>
              <w:t>十三</w:t>
            </w:r>
          </w:p>
        </w:tc>
        <w:tc>
          <w:tcPr>
            <w:tcW w:w="5376" w:type="dxa"/>
            <w:noWrap w:val="0"/>
            <w:vAlign w:val="center"/>
          </w:tcPr>
          <w:p>
            <w:pPr>
              <w:rPr>
                <w:rFonts w:hint="eastAsia" w:ascii="Times New Roman" w:hAnsi="Times New Roman" w:eastAsia="宋体" w:cs="Times New Roman"/>
                <w:color w:val="000000"/>
                <w:kern w:val="2"/>
                <w:sz w:val="24"/>
                <w:szCs w:val="22"/>
                <w:lang w:val="en-US" w:eastAsia="zh-CN" w:bidi="ar-SA"/>
              </w:rPr>
            </w:pPr>
            <w:r>
              <w:rPr>
                <w:rFonts w:hint="eastAsia"/>
                <w:color w:val="000000"/>
                <w:sz w:val="24"/>
              </w:rPr>
              <w:t>所投货物的技术资料或样本等</w:t>
            </w:r>
          </w:p>
        </w:tc>
        <w:tc>
          <w:tcPr>
            <w:tcW w:w="2625" w:type="dxa"/>
            <w:noWrap w:val="0"/>
            <w:vAlign w:val="center"/>
          </w:tcPr>
          <w:p>
            <w:pPr>
              <w:spacing w:line="360" w:lineRule="auto"/>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000000"/>
                <w:sz w:val="24"/>
              </w:rPr>
            </w:pPr>
            <w:r>
              <w:rPr>
                <w:rFonts w:hint="eastAsia"/>
                <w:color w:val="000000"/>
                <w:sz w:val="24"/>
              </w:rPr>
              <w:t>十四</w:t>
            </w:r>
          </w:p>
        </w:tc>
        <w:tc>
          <w:tcPr>
            <w:tcW w:w="5376" w:type="dxa"/>
            <w:noWrap w:val="0"/>
            <w:vAlign w:val="center"/>
          </w:tcPr>
          <w:p>
            <w:pPr>
              <w:rPr>
                <w:rFonts w:hint="eastAsia" w:ascii="Times New Roman" w:hAnsi="Times New Roman" w:eastAsia="宋体" w:cs="Times New Roman"/>
                <w:color w:val="000000"/>
                <w:kern w:val="2"/>
                <w:sz w:val="24"/>
                <w:szCs w:val="22"/>
                <w:lang w:val="en-US" w:eastAsia="zh-CN" w:bidi="ar-SA"/>
              </w:rPr>
            </w:pPr>
            <w:r>
              <w:rPr>
                <w:rFonts w:hint="eastAsia"/>
                <w:color w:val="000000"/>
                <w:sz w:val="24"/>
              </w:rPr>
              <w:t>投标人认为需提供的其他资料</w:t>
            </w:r>
          </w:p>
        </w:tc>
        <w:tc>
          <w:tcPr>
            <w:tcW w:w="2625" w:type="dxa"/>
            <w:noWrap w:val="0"/>
            <w:vAlign w:val="center"/>
          </w:tcPr>
          <w:p>
            <w:pPr>
              <w:spacing w:line="360" w:lineRule="auto"/>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000000"/>
                <w:sz w:val="24"/>
              </w:rPr>
            </w:pPr>
            <w:r>
              <w:rPr>
                <w:rFonts w:hint="eastAsia"/>
                <w:color w:val="000000"/>
                <w:sz w:val="24"/>
              </w:rPr>
              <w:t>十五</w:t>
            </w:r>
          </w:p>
        </w:tc>
        <w:tc>
          <w:tcPr>
            <w:tcW w:w="5376" w:type="dxa"/>
            <w:noWrap w:val="0"/>
            <w:vAlign w:val="center"/>
          </w:tcPr>
          <w:p>
            <w:pPr>
              <w:rPr>
                <w:rFonts w:hint="eastAsia" w:ascii="Times New Roman" w:hAnsi="Times New Roman" w:eastAsia="宋体" w:cs="Times New Roman"/>
                <w:color w:val="000000"/>
                <w:kern w:val="2"/>
                <w:sz w:val="24"/>
                <w:szCs w:val="22"/>
                <w:lang w:val="en-US" w:eastAsia="zh-CN" w:bidi="ar-SA"/>
              </w:rPr>
            </w:pPr>
            <w:r>
              <w:rPr>
                <w:rFonts w:hint="eastAsia"/>
                <w:color w:val="000000"/>
                <w:sz w:val="24"/>
              </w:rPr>
              <w:t>产品质量承诺</w:t>
            </w:r>
          </w:p>
        </w:tc>
        <w:tc>
          <w:tcPr>
            <w:tcW w:w="2625" w:type="dxa"/>
            <w:noWrap w:val="0"/>
            <w:vAlign w:val="center"/>
          </w:tcPr>
          <w:p>
            <w:pPr>
              <w:spacing w:line="360" w:lineRule="auto"/>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000000"/>
                <w:sz w:val="24"/>
              </w:rPr>
            </w:pPr>
            <w:r>
              <w:rPr>
                <w:rFonts w:hint="eastAsia"/>
                <w:color w:val="000000"/>
                <w:sz w:val="24"/>
              </w:rPr>
              <w:t>十六</w:t>
            </w:r>
          </w:p>
        </w:tc>
        <w:tc>
          <w:tcPr>
            <w:tcW w:w="5376" w:type="dxa"/>
            <w:noWrap w:val="0"/>
            <w:vAlign w:val="center"/>
          </w:tcPr>
          <w:p>
            <w:pPr>
              <w:rPr>
                <w:rFonts w:hint="eastAsia" w:ascii="Times New Roman" w:hAnsi="Times New Roman" w:eastAsia="宋体" w:cs="Times New Roman"/>
                <w:color w:val="000000"/>
                <w:kern w:val="2"/>
                <w:sz w:val="24"/>
                <w:szCs w:val="22"/>
                <w:lang w:val="en-US" w:eastAsia="zh-CN" w:bidi="ar-SA"/>
              </w:rPr>
            </w:pPr>
            <w:r>
              <w:rPr>
                <w:rFonts w:hint="eastAsia"/>
                <w:color w:val="000000"/>
                <w:sz w:val="24"/>
              </w:rPr>
              <w:t>投标保证金退还声明</w:t>
            </w:r>
          </w:p>
        </w:tc>
        <w:tc>
          <w:tcPr>
            <w:tcW w:w="2625" w:type="dxa"/>
            <w:noWrap w:val="0"/>
            <w:vAlign w:val="center"/>
          </w:tcPr>
          <w:p>
            <w:pPr>
              <w:spacing w:line="360" w:lineRule="auto"/>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000000"/>
                <w:sz w:val="24"/>
              </w:rPr>
            </w:pPr>
          </w:p>
        </w:tc>
        <w:tc>
          <w:tcPr>
            <w:tcW w:w="5376" w:type="dxa"/>
            <w:noWrap w:val="0"/>
            <w:vAlign w:val="center"/>
          </w:tcPr>
          <w:p>
            <w:pPr>
              <w:rPr>
                <w:rFonts w:hint="eastAsia"/>
                <w:color w:val="000000"/>
                <w:sz w:val="24"/>
              </w:rPr>
            </w:pPr>
          </w:p>
        </w:tc>
        <w:tc>
          <w:tcPr>
            <w:tcW w:w="2625" w:type="dxa"/>
            <w:noWrap w:val="0"/>
            <w:vAlign w:val="center"/>
          </w:tcPr>
          <w:p>
            <w:pPr>
              <w:spacing w:line="500" w:lineRule="exact"/>
              <w:rPr>
                <w:rFonts w:hint="eastAsia" w:ascii="宋体" w:hAnsi="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pPr>
              <w:jc w:val="center"/>
              <w:rPr>
                <w:rFonts w:hint="eastAsia"/>
                <w:color w:val="000000"/>
                <w:sz w:val="24"/>
              </w:rPr>
            </w:pPr>
          </w:p>
        </w:tc>
        <w:tc>
          <w:tcPr>
            <w:tcW w:w="5376" w:type="dxa"/>
            <w:noWrap w:val="0"/>
            <w:vAlign w:val="center"/>
          </w:tcPr>
          <w:p>
            <w:pPr>
              <w:rPr>
                <w:rFonts w:hint="eastAsia"/>
                <w:color w:val="000000"/>
                <w:sz w:val="24"/>
              </w:rPr>
            </w:pPr>
          </w:p>
        </w:tc>
        <w:tc>
          <w:tcPr>
            <w:tcW w:w="2625" w:type="dxa"/>
            <w:noWrap w:val="0"/>
            <w:vAlign w:val="center"/>
          </w:tcPr>
          <w:p>
            <w:pPr>
              <w:spacing w:line="500" w:lineRule="exact"/>
              <w:rPr>
                <w:rFonts w:hint="eastAsia" w:ascii="宋体" w:hAnsi="宋体"/>
                <w:b/>
                <w:color w:val="000000"/>
                <w:sz w:val="28"/>
              </w:rPr>
            </w:pPr>
          </w:p>
        </w:tc>
      </w:tr>
    </w:tbl>
    <w:p>
      <w:pPr>
        <w:rPr>
          <w:rFonts w:hint="eastAsia"/>
          <w:color w:val="000000"/>
        </w:rPr>
      </w:pPr>
      <w:bookmarkStart w:id="106" w:name="_Toc197934561"/>
    </w:p>
    <w:p>
      <w:pPr>
        <w:rPr>
          <w:rFonts w:hint="eastAsia"/>
          <w:color w:val="000000"/>
        </w:rPr>
      </w:pPr>
      <w:bookmarkStart w:id="107" w:name="_Toc471736407"/>
    </w:p>
    <w:p>
      <w:pPr>
        <w:rPr>
          <w:rFonts w:hint="eastAsia"/>
          <w:color w:val="000000"/>
        </w:rPr>
      </w:pPr>
    </w:p>
    <w:p>
      <w:pPr>
        <w:rPr>
          <w:color w:val="000000"/>
        </w:rPr>
      </w:pPr>
    </w:p>
    <w:p>
      <w:pPr>
        <w:pStyle w:val="2"/>
        <w:rPr>
          <w:color w:val="000000"/>
        </w:rPr>
      </w:pPr>
    </w:p>
    <w:p>
      <w:pPr>
        <w:pStyle w:val="2"/>
        <w:rPr>
          <w:color w:val="000000"/>
        </w:rPr>
      </w:pPr>
    </w:p>
    <w:p>
      <w:pPr>
        <w:pStyle w:val="2"/>
        <w:rPr>
          <w:color w:val="000000"/>
        </w:rPr>
      </w:pPr>
    </w:p>
    <w:p>
      <w:pPr>
        <w:pStyle w:val="2"/>
        <w:rPr>
          <w:rFonts w:hint="eastAsia"/>
          <w:color w:val="000000"/>
        </w:rPr>
      </w:pPr>
    </w:p>
    <w:bookmarkEnd w:id="106"/>
    <w:bookmarkEnd w:id="107"/>
    <w:p>
      <w:pPr>
        <w:pStyle w:val="7"/>
        <w:rPr>
          <w:rFonts w:hAnsi="宋体"/>
          <w:color w:val="000000"/>
          <w:sz w:val="28"/>
        </w:rPr>
      </w:pPr>
      <w:bookmarkStart w:id="108" w:name="_Toc93302862"/>
      <w:bookmarkStart w:id="109" w:name="_Toc145486605"/>
      <w:bookmarkStart w:id="110" w:name="_Toc536542354"/>
      <w:bookmarkStart w:id="111" w:name="_Toc3271"/>
      <w:r>
        <w:rPr>
          <w:rFonts w:hint="eastAsia" w:hAnsi="宋体"/>
          <w:color w:val="000000"/>
          <w:sz w:val="28"/>
        </w:rPr>
        <w:t>一．投标函</w:t>
      </w:r>
      <w:bookmarkEnd w:id="108"/>
      <w:bookmarkEnd w:id="109"/>
      <w:bookmarkEnd w:id="110"/>
      <w:bookmarkEnd w:id="111"/>
    </w:p>
    <w:p>
      <w:pPr>
        <w:spacing w:line="360" w:lineRule="auto"/>
        <w:rPr>
          <w:rFonts w:ascii="宋体" w:hAnsi="宋体" w:cs="宋体"/>
          <w:color w:val="000000"/>
          <w:sz w:val="24"/>
          <w:szCs w:val="24"/>
        </w:rPr>
      </w:pPr>
      <w:r>
        <w:rPr>
          <w:rFonts w:hint="eastAsia" w:ascii="宋体" w:hAnsi="宋体" w:cs="宋体"/>
          <w:color w:val="000000"/>
          <w:sz w:val="24"/>
          <w:szCs w:val="24"/>
        </w:rPr>
        <w:t>致：合肥文旅博览集团有限公司</w:t>
      </w:r>
    </w:p>
    <w:p>
      <w:pPr>
        <w:spacing w:line="360" w:lineRule="auto"/>
        <w:ind w:left="101" w:leftChars="48" w:firstLine="480" w:firstLineChars="200"/>
        <w:jc w:val="left"/>
        <w:rPr>
          <w:rFonts w:ascii="宋体" w:hAnsi="宋体" w:cs="宋体"/>
          <w:color w:val="000000"/>
          <w:sz w:val="24"/>
          <w:szCs w:val="24"/>
          <w:u w:val="single"/>
        </w:rPr>
      </w:pPr>
      <w:r>
        <w:rPr>
          <w:rFonts w:hint="eastAsia" w:ascii="宋体" w:hAnsi="宋体" w:cs="宋体"/>
          <w:color w:val="000000"/>
          <w:sz w:val="24"/>
          <w:szCs w:val="24"/>
        </w:rPr>
        <w:t>根据贵方“</w:t>
      </w:r>
      <w:r>
        <w:rPr>
          <w:rFonts w:hint="eastAsia" w:ascii="宋体" w:hAnsi="宋体" w:cs="宋体"/>
          <w:b/>
          <w:bCs/>
          <w:color w:val="000000"/>
          <w:sz w:val="24"/>
          <w:szCs w:val="24"/>
          <w:u w:val="single"/>
        </w:rPr>
        <w:t xml:space="preserve">                   项目</w:t>
      </w:r>
      <w:r>
        <w:rPr>
          <w:rFonts w:hint="eastAsia" w:ascii="宋体" w:hAnsi="宋体" w:cs="宋体"/>
          <w:color w:val="000000"/>
          <w:sz w:val="24"/>
          <w:szCs w:val="24"/>
        </w:rPr>
        <w:t>”的第号招标邀请书，正式授权</w:t>
      </w:r>
      <w:r>
        <w:rPr>
          <w:rFonts w:hint="eastAsia" w:ascii="宋体" w:hAnsi="宋体" w:cs="宋体"/>
          <w:color w:val="000000"/>
          <w:sz w:val="24"/>
          <w:szCs w:val="24"/>
          <w:u w:val="single"/>
        </w:rPr>
        <w:t xml:space="preserve">        </w:t>
      </w:r>
    </w:p>
    <w:p>
      <w:pPr>
        <w:spacing w:line="360" w:lineRule="auto"/>
        <w:ind w:left="101" w:leftChars="48" w:firstLine="480" w:firstLineChars="200"/>
        <w:jc w:val="left"/>
        <w:rPr>
          <w:rFonts w:ascii="宋体" w:hAnsi="宋体" w:cs="宋体"/>
          <w:dstrike/>
          <w:color w:val="000000"/>
          <w:sz w:val="24"/>
          <w:szCs w:val="24"/>
        </w:rPr>
      </w:pPr>
      <w:r>
        <w:rPr>
          <w:rFonts w:hint="eastAsia" w:ascii="宋体" w:hAnsi="宋体" w:cs="宋体"/>
          <w:color w:val="000000"/>
          <w:sz w:val="24"/>
          <w:szCs w:val="24"/>
        </w:rPr>
        <w:t>（姓名、身份证号）代表投标人</w:t>
      </w:r>
      <w:r>
        <w:rPr>
          <w:rFonts w:hint="eastAsia" w:ascii="宋体" w:hAnsi="宋体" w:cs="宋体"/>
          <w:color w:val="000000"/>
          <w:sz w:val="24"/>
          <w:szCs w:val="24"/>
          <w:u w:val="single"/>
        </w:rPr>
        <w:t xml:space="preserve">        　   </w:t>
      </w:r>
      <w:r>
        <w:rPr>
          <w:rFonts w:hint="eastAsia" w:ascii="宋体" w:hAnsi="宋体" w:cs="宋体"/>
          <w:color w:val="000000"/>
          <w:sz w:val="24"/>
          <w:szCs w:val="24"/>
        </w:rPr>
        <w:t>（投标人全称），提交规定形式的投标文件。</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据此函，我方兹宣布同意如下：</w:t>
      </w:r>
    </w:p>
    <w:p>
      <w:pPr>
        <w:spacing w:line="360" w:lineRule="auto"/>
        <w:ind w:firstLine="480" w:firstLineChars="200"/>
        <w:rPr>
          <w:rFonts w:ascii="宋体" w:hAnsi="宋体"/>
          <w:color w:val="000000"/>
          <w:sz w:val="24"/>
        </w:rPr>
      </w:pPr>
      <w:r>
        <w:rPr>
          <w:rFonts w:hint="eastAsia" w:ascii="宋体" w:hAnsi="宋体"/>
          <w:color w:val="000000"/>
          <w:sz w:val="24"/>
        </w:rPr>
        <w:t>1.按招标文件规定提供交付的货物（包括安装调试、质保等工作）的最终投标报价详见开标一览表，如我公司中标，我公司承诺愿意按招标文件规定交纳履约保证金、工程量清单和控制价编制费（如有）。</w:t>
      </w:r>
    </w:p>
    <w:p>
      <w:pPr>
        <w:spacing w:line="360" w:lineRule="auto"/>
        <w:ind w:firstLine="480" w:firstLineChars="200"/>
        <w:rPr>
          <w:rFonts w:ascii="宋体" w:hAnsi="宋体"/>
          <w:color w:val="000000"/>
          <w:sz w:val="24"/>
        </w:rPr>
      </w:pPr>
      <w:r>
        <w:rPr>
          <w:rFonts w:hint="eastAsia" w:ascii="宋体" w:hAnsi="宋体"/>
          <w:color w:val="000000"/>
          <w:sz w:val="24"/>
        </w:rPr>
        <w:t>2.我方根据招标文件的规定，严格履行合同的责任和义务</w:t>
      </w:r>
      <w:r>
        <w:rPr>
          <w:rFonts w:ascii="宋体" w:hAnsi="宋体"/>
          <w:color w:val="000000"/>
          <w:sz w:val="24"/>
        </w:rPr>
        <w:t>,</w:t>
      </w:r>
      <w:r>
        <w:rPr>
          <w:rFonts w:hint="eastAsia" w:ascii="宋体" w:hAnsi="宋体"/>
          <w:color w:val="000000"/>
          <w:sz w:val="24"/>
        </w:rPr>
        <w:t>并保证于买方要求的日期内完成供货、安装及服务，并通过买方验收。</w:t>
      </w:r>
    </w:p>
    <w:p>
      <w:pPr>
        <w:spacing w:line="360" w:lineRule="auto"/>
        <w:ind w:firstLine="480" w:firstLineChars="200"/>
        <w:rPr>
          <w:rFonts w:ascii="宋体" w:hAnsi="宋体"/>
          <w:color w:val="000000"/>
          <w:sz w:val="24"/>
        </w:rPr>
      </w:pPr>
      <w:r>
        <w:rPr>
          <w:rFonts w:hint="eastAsia" w:ascii="宋体" w:hAnsi="宋体"/>
          <w:color w:val="000000"/>
          <w:sz w:val="24"/>
        </w:rPr>
        <w:t>3.我方承诺报价低于</w:t>
      </w:r>
      <w:r>
        <w:rPr>
          <w:rFonts w:ascii="宋体" w:hAnsi="宋体"/>
          <w:color w:val="000000"/>
          <w:sz w:val="24"/>
        </w:rPr>
        <w:t>同类货物和服务的市场平均价格。</w:t>
      </w:r>
    </w:p>
    <w:p>
      <w:pPr>
        <w:spacing w:line="360" w:lineRule="auto"/>
        <w:ind w:firstLine="480" w:firstLineChars="200"/>
        <w:rPr>
          <w:rFonts w:ascii="宋体" w:hAnsi="宋体"/>
          <w:color w:val="000000"/>
          <w:sz w:val="24"/>
        </w:rPr>
      </w:pPr>
      <w:r>
        <w:rPr>
          <w:rFonts w:hint="eastAsia" w:ascii="宋体" w:hAnsi="宋体"/>
          <w:color w:val="000000"/>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360" w:lineRule="auto"/>
        <w:ind w:firstLine="480" w:firstLineChars="200"/>
        <w:rPr>
          <w:rFonts w:ascii="宋体" w:hAnsi="宋体"/>
          <w:color w:val="000000"/>
          <w:sz w:val="24"/>
        </w:rPr>
      </w:pPr>
      <w:r>
        <w:rPr>
          <w:rFonts w:hint="eastAsia" w:ascii="宋体" w:hAnsi="宋体"/>
          <w:color w:val="000000"/>
          <w:sz w:val="24"/>
        </w:rPr>
        <w:t>5.我方同意从招标文件规定的开标日期起遵循本投标文件，并在招标文件规定的投标有效期之前均具有约束力。</w:t>
      </w:r>
    </w:p>
    <w:p>
      <w:pPr>
        <w:spacing w:line="360" w:lineRule="auto"/>
        <w:ind w:firstLine="480" w:firstLineChars="200"/>
        <w:rPr>
          <w:rFonts w:ascii="宋体" w:hAnsi="宋体"/>
          <w:color w:val="000000"/>
          <w:sz w:val="24"/>
        </w:rPr>
      </w:pPr>
      <w:r>
        <w:rPr>
          <w:rFonts w:hint="eastAsia" w:ascii="宋体" w:hAnsi="宋体"/>
          <w:color w:val="000000"/>
          <w:sz w:val="24"/>
        </w:rPr>
        <w:t>6、我方声明投标文件所提供的一切资料均真实无误、及时、有效。企业运营正常（</w:t>
      </w:r>
      <w:r>
        <w:rPr>
          <w:rFonts w:ascii="宋体" w:hAnsi="宋体"/>
          <w:color w:val="000000"/>
          <w:sz w:val="24"/>
        </w:rPr>
        <w:t>注册登记信息、年报信息</w:t>
      </w:r>
      <w:r>
        <w:rPr>
          <w:rFonts w:hint="eastAsia" w:ascii="宋体" w:hAnsi="宋体"/>
          <w:color w:val="000000"/>
          <w:sz w:val="24"/>
        </w:rPr>
        <w:t>可查）。由于我方提供资料不实而造成的责任和后果由我方承担。我方同意按照贵方提出的要求，提供与投标有关的任何证据、数据或资料。</w:t>
      </w:r>
    </w:p>
    <w:p>
      <w:pPr>
        <w:spacing w:line="360" w:lineRule="auto"/>
        <w:ind w:firstLine="480" w:firstLineChars="200"/>
        <w:rPr>
          <w:rFonts w:ascii="宋体" w:hAnsi="宋体"/>
          <w:color w:val="000000"/>
          <w:sz w:val="24"/>
        </w:rPr>
      </w:pPr>
      <w:r>
        <w:rPr>
          <w:rFonts w:hint="eastAsia" w:ascii="宋体" w:hAnsi="宋体"/>
          <w:color w:val="000000"/>
          <w:sz w:val="24"/>
        </w:rPr>
        <w:t>7.我方承诺若中标，按招标文件要求提供本地化服务。</w:t>
      </w:r>
    </w:p>
    <w:p>
      <w:pPr>
        <w:spacing w:line="360" w:lineRule="auto"/>
        <w:ind w:firstLine="480" w:firstLineChars="200"/>
        <w:rPr>
          <w:rFonts w:ascii="宋体" w:hAnsi="宋体"/>
          <w:color w:val="000000"/>
          <w:sz w:val="24"/>
        </w:rPr>
      </w:pPr>
      <w:r>
        <w:rPr>
          <w:rFonts w:hint="eastAsia" w:ascii="宋体" w:hAnsi="宋体"/>
          <w:color w:val="000000"/>
          <w:sz w:val="24"/>
        </w:rPr>
        <w:t>8.我方完全理解贵方不一定接受最低报价的投标。</w:t>
      </w:r>
    </w:p>
    <w:p>
      <w:pPr>
        <w:spacing w:line="360" w:lineRule="auto"/>
        <w:ind w:firstLine="480" w:firstLineChars="200"/>
        <w:rPr>
          <w:rFonts w:ascii="宋体" w:hAnsi="宋体"/>
          <w:color w:val="000000"/>
          <w:sz w:val="24"/>
        </w:rPr>
      </w:pPr>
      <w:r>
        <w:rPr>
          <w:rFonts w:hint="eastAsia" w:ascii="宋体" w:hAnsi="宋体"/>
          <w:color w:val="000000"/>
          <w:sz w:val="24"/>
        </w:rPr>
        <w:t>9.我方同意招标文件规定的付款方式。</w:t>
      </w:r>
    </w:p>
    <w:p>
      <w:pPr>
        <w:spacing w:line="360" w:lineRule="auto"/>
        <w:ind w:firstLine="480" w:firstLineChars="200"/>
        <w:rPr>
          <w:rFonts w:ascii="宋体" w:hAnsi="宋体"/>
          <w:color w:val="000000"/>
          <w:sz w:val="24"/>
          <w:u w:val="single"/>
        </w:rPr>
      </w:pPr>
      <w:r>
        <w:rPr>
          <w:rFonts w:hint="eastAsia" w:ascii="宋体" w:hAnsi="宋体"/>
          <w:color w:val="000000"/>
          <w:sz w:val="24"/>
        </w:rPr>
        <w:t>10.与本投标有关的通讯地址：</w:t>
      </w:r>
    </w:p>
    <w:p>
      <w:pPr>
        <w:spacing w:line="360" w:lineRule="auto"/>
        <w:ind w:firstLine="480" w:firstLineChars="200"/>
        <w:rPr>
          <w:rFonts w:ascii="宋体" w:hAnsi="宋体"/>
          <w:color w:val="000000"/>
          <w:sz w:val="24"/>
          <w:u w:val="single"/>
        </w:rPr>
      </w:pPr>
      <w:r>
        <w:rPr>
          <w:rFonts w:hint="eastAsia" w:ascii="宋体" w:hAnsi="宋体"/>
          <w:color w:val="000000"/>
          <w:sz w:val="24"/>
        </w:rPr>
        <w:t xml:space="preserve">电    话： </w:t>
      </w:r>
      <w:r>
        <w:rPr>
          <w:rFonts w:ascii="宋体" w:hAnsi="宋体"/>
          <w:color w:val="000000"/>
          <w:sz w:val="24"/>
        </w:rPr>
        <w:t xml:space="preserve">                                   </w:t>
      </w:r>
      <w:r>
        <w:rPr>
          <w:rFonts w:hint="eastAsia" w:ascii="宋体" w:hAnsi="宋体"/>
          <w:color w:val="000000"/>
          <w:sz w:val="24"/>
        </w:rPr>
        <w:t>传    真：</w:t>
      </w:r>
    </w:p>
    <w:p>
      <w:pPr>
        <w:spacing w:line="360" w:lineRule="auto"/>
        <w:ind w:firstLine="480" w:firstLineChars="200"/>
        <w:rPr>
          <w:rFonts w:ascii="宋体" w:hAnsi="宋体"/>
          <w:color w:val="000000"/>
          <w:sz w:val="24"/>
        </w:rPr>
      </w:pPr>
      <w:r>
        <w:rPr>
          <w:rFonts w:hint="eastAsia" w:ascii="宋体" w:hAnsi="宋体"/>
          <w:color w:val="000000"/>
          <w:sz w:val="24"/>
        </w:rPr>
        <w:t>投标人基本账户开户名： 账号： 开户行：</w:t>
      </w:r>
    </w:p>
    <w:p>
      <w:pPr>
        <w:spacing w:line="360" w:lineRule="auto"/>
        <w:ind w:firstLine="480" w:firstLineChars="200"/>
        <w:rPr>
          <w:rFonts w:ascii="宋体" w:hAnsi="宋体"/>
          <w:color w:val="000000"/>
          <w:sz w:val="24"/>
        </w:rPr>
      </w:pPr>
      <w:r>
        <w:rPr>
          <w:rFonts w:hint="eastAsia" w:ascii="宋体" w:hAnsi="宋体"/>
          <w:color w:val="000000"/>
          <w:sz w:val="24"/>
        </w:rPr>
        <w:t>投标人公章：日    期：</w:t>
      </w:r>
    </w:p>
    <w:p>
      <w:pPr>
        <w:widowControl/>
        <w:spacing w:line="520" w:lineRule="exact"/>
        <w:ind w:firstLine="480"/>
        <w:jc w:val="left"/>
        <w:rPr>
          <w:rFonts w:ascii="宋体" w:hAnsi="宋体" w:cs="宋体"/>
          <w:color w:val="000000"/>
          <w:kern w:val="0"/>
          <w:sz w:val="24"/>
          <w:szCs w:val="24"/>
        </w:rPr>
      </w:pPr>
      <w:r>
        <w:rPr>
          <w:rFonts w:hint="eastAsia" w:ascii="宋体" w:hAnsi="宋体" w:cs="宋体"/>
          <w:color w:val="000000"/>
          <w:kern w:val="0"/>
          <w:sz w:val="24"/>
          <w:szCs w:val="24"/>
        </w:rPr>
        <w:t>特此承诺</w:t>
      </w:r>
    </w:p>
    <w:p>
      <w:pPr>
        <w:widowControl/>
        <w:spacing w:line="360" w:lineRule="exact"/>
        <w:ind w:left="840" w:leftChars="400"/>
        <w:jc w:val="left"/>
        <w:rPr>
          <w:rFonts w:ascii="宋体" w:hAnsi="宋体" w:cs="宋体"/>
          <w:color w:val="000000"/>
          <w:kern w:val="0"/>
          <w:sz w:val="24"/>
          <w:szCs w:val="24"/>
        </w:rPr>
      </w:pPr>
    </w:p>
    <w:p>
      <w:pPr>
        <w:widowControl/>
        <w:spacing w:line="520" w:lineRule="exact"/>
        <w:ind w:left="480"/>
        <w:jc w:val="left"/>
        <w:rPr>
          <w:rFonts w:ascii="宋体" w:hAnsi="宋体" w:cs="宋体"/>
          <w:color w:val="000000"/>
          <w:kern w:val="0"/>
          <w:sz w:val="24"/>
          <w:szCs w:val="24"/>
        </w:rPr>
      </w:pPr>
      <w:r>
        <w:rPr>
          <w:rFonts w:hint="eastAsia" w:ascii="宋体" w:hAnsi="宋体" w:cs="宋体"/>
          <w:color w:val="000000"/>
          <w:kern w:val="0"/>
          <w:sz w:val="24"/>
          <w:szCs w:val="24"/>
        </w:rPr>
        <w:t xml:space="preserve">                                        投标人（公章）：</w:t>
      </w:r>
    </w:p>
    <w:p>
      <w:pPr>
        <w:widowControl/>
        <w:spacing w:line="520" w:lineRule="exact"/>
        <w:ind w:left="480"/>
        <w:jc w:val="left"/>
        <w:rPr>
          <w:rFonts w:ascii="宋体" w:hAnsi="宋体" w:cs="宋体"/>
          <w:color w:val="000000"/>
          <w:kern w:val="0"/>
          <w:sz w:val="24"/>
          <w:szCs w:val="24"/>
        </w:rPr>
      </w:pPr>
      <w:r>
        <w:rPr>
          <w:rFonts w:hint="eastAsia" w:ascii="宋体" w:hAnsi="宋体" w:cs="宋体"/>
          <w:color w:val="000000"/>
          <w:kern w:val="0"/>
          <w:sz w:val="24"/>
          <w:szCs w:val="24"/>
        </w:rPr>
        <w:t xml:space="preserve">                                        企业法人（签字）：</w:t>
      </w:r>
    </w:p>
    <w:p>
      <w:pPr>
        <w:widowControl/>
        <w:spacing w:line="520" w:lineRule="exact"/>
        <w:ind w:left="480"/>
        <w:jc w:val="left"/>
        <w:rPr>
          <w:rFonts w:ascii="宋体" w:hAnsi="宋体" w:cs="宋体"/>
          <w:color w:val="000000"/>
          <w:kern w:val="0"/>
          <w:sz w:val="24"/>
          <w:szCs w:val="24"/>
        </w:rPr>
      </w:pPr>
      <w:r>
        <w:rPr>
          <w:rFonts w:hint="eastAsia" w:ascii="宋体" w:hAnsi="宋体" w:cs="宋体"/>
          <w:color w:val="000000"/>
          <w:kern w:val="0"/>
          <w:sz w:val="24"/>
          <w:szCs w:val="24"/>
        </w:rPr>
        <w:t xml:space="preserve">                                        授权代表（签字）：</w:t>
      </w:r>
    </w:p>
    <w:p>
      <w:pPr>
        <w:widowControl/>
        <w:spacing w:line="520" w:lineRule="exact"/>
        <w:ind w:left="480" w:firstLine="5040" w:firstLineChars="2100"/>
        <w:jc w:val="left"/>
        <w:rPr>
          <w:rFonts w:ascii="宋体" w:hAnsi="宋体" w:cs="宋体"/>
          <w:color w:val="000000"/>
          <w:kern w:val="0"/>
          <w:sz w:val="24"/>
          <w:szCs w:val="24"/>
        </w:rPr>
      </w:pPr>
      <w:r>
        <w:rPr>
          <w:rFonts w:hint="eastAsia" w:ascii="宋体" w:hAnsi="宋体" w:cs="宋体"/>
          <w:color w:val="000000"/>
          <w:kern w:val="0"/>
          <w:sz w:val="24"/>
          <w:szCs w:val="24"/>
        </w:rPr>
        <w:t>年     月     日</w:t>
      </w:r>
    </w:p>
    <w:p>
      <w:pPr>
        <w:rPr>
          <w:rFonts w:ascii="宋体" w:hAnsi="宋体" w:cs="宋体"/>
          <w:color w:val="000000"/>
          <w:sz w:val="24"/>
          <w:szCs w:val="24"/>
        </w:rPr>
      </w:pPr>
    </w:p>
    <w:p>
      <w:pPr>
        <w:rPr>
          <w:color w:val="000000"/>
        </w:rPr>
      </w:pPr>
      <w:bookmarkStart w:id="112" w:name="_Toc536542355"/>
      <w:bookmarkStart w:id="113" w:name="_Toc516969097"/>
      <w:bookmarkStart w:id="114" w:name="_Toc471736409"/>
    </w:p>
    <w:p>
      <w:pPr>
        <w:pStyle w:val="68"/>
        <w:rPr>
          <w:color w:val="000000"/>
        </w:rPr>
      </w:pPr>
    </w:p>
    <w:p>
      <w:pPr>
        <w:pStyle w:val="68"/>
        <w:rPr>
          <w:color w:val="000000"/>
        </w:rPr>
      </w:pPr>
    </w:p>
    <w:p>
      <w:pPr>
        <w:pStyle w:val="68"/>
        <w:rPr>
          <w:color w:val="000000"/>
        </w:rPr>
      </w:pPr>
    </w:p>
    <w:p>
      <w:pPr>
        <w:pStyle w:val="68"/>
        <w:rPr>
          <w:color w:val="000000"/>
        </w:rPr>
      </w:pPr>
    </w:p>
    <w:p>
      <w:pPr>
        <w:pStyle w:val="68"/>
        <w:rPr>
          <w:color w:val="000000"/>
        </w:rPr>
      </w:pPr>
    </w:p>
    <w:p>
      <w:pPr>
        <w:pStyle w:val="68"/>
        <w:rPr>
          <w:color w:val="000000"/>
        </w:rPr>
      </w:pPr>
    </w:p>
    <w:p>
      <w:pPr>
        <w:pStyle w:val="68"/>
        <w:rPr>
          <w:color w:val="000000"/>
        </w:rPr>
      </w:pPr>
    </w:p>
    <w:p>
      <w:pPr>
        <w:pStyle w:val="68"/>
        <w:rPr>
          <w:color w:val="000000"/>
        </w:rPr>
      </w:pPr>
    </w:p>
    <w:p>
      <w:pPr>
        <w:pStyle w:val="68"/>
        <w:rPr>
          <w:color w:val="000000"/>
        </w:rPr>
      </w:pPr>
    </w:p>
    <w:p>
      <w:pPr>
        <w:pStyle w:val="68"/>
        <w:rPr>
          <w:color w:val="000000"/>
        </w:rPr>
      </w:pPr>
    </w:p>
    <w:p>
      <w:pPr>
        <w:pStyle w:val="68"/>
        <w:rPr>
          <w:color w:val="000000"/>
        </w:rPr>
      </w:pPr>
    </w:p>
    <w:p>
      <w:pPr>
        <w:pStyle w:val="68"/>
        <w:rPr>
          <w:color w:val="000000"/>
        </w:rPr>
      </w:pPr>
    </w:p>
    <w:p>
      <w:pPr>
        <w:pStyle w:val="68"/>
        <w:rPr>
          <w:color w:val="000000"/>
        </w:rPr>
      </w:pPr>
    </w:p>
    <w:p>
      <w:pPr>
        <w:pStyle w:val="68"/>
        <w:rPr>
          <w:color w:val="000000"/>
        </w:rPr>
      </w:pPr>
    </w:p>
    <w:p>
      <w:pPr>
        <w:pStyle w:val="68"/>
        <w:rPr>
          <w:color w:val="000000"/>
        </w:rPr>
      </w:pPr>
    </w:p>
    <w:p>
      <w:pPr>
        <w:pStyle w:val="68"/>
        <w:rPr>
          <w:color w:val="000000"/>
        </w:rPr>
      </w:pPr>
    </w:p>
    <w:p>
      <w:pPr>
        <w:pStyle w:val="68"/>
        <w:rPr>
          <w:color w:val="000000"/>
        </w:rPr>
      </w:pPr>
    </w:p>
    <w:p>
      <w:pPr>
        <w:pStyle w:val="68"/>
        <w:rPr>
          <w:color w:val="000000"/>
        </w:rPr>
      </w:pPr>
    </w:p>
    <w:p>
      <w:pPr>
        <w:pStyle w:val="68"/>
        <w:rPr>
          <w:color w:val="000000"/>
        </w:rPr>
      </w:pPr>
    </w:p>
    <w:p>
      <w:pPr>
        <w:pStyle w:val="68"/>
        <w:rPr>
          <w:color w:val="000000"/>
        </w:rPr>
      </w:pPr>
    </w:p>
    <w:p>
      <w:pPr>
        <w:pStyle w:val="68"/>
        <w:rPr>
          <w:color w:val="000000"/>
        </w:rPr>
      </w:pPr>
    </w:p>
    <w:p>
      <w:pPr>
        <w:pStyle w:val="68"/>
        <w:rPr>
          <w:color w:val="000000"/>
        </w:rPr>
      </w:pPr>
    </w:p>
    <w:p>
      <w:pPr>
        <w:pStyle w:val="68"/>
        <w:rPr>
          <w:color w:val="000000"/>
        </w:rPr>
      </w:pPr>
    </w:p>
    <w:p>
      <w:pPr>
        <w:pStyle w:val="68"/>
        <w:rPr>
          <w:color w:val="000000"/>
        </w:rPr>
      </w:pPr>
    </w:p>
    <w:p>
      <w:pPr>
        <w:pStyle w:val="68"/>
        <w:rPr>
          <w:color w:val="000000"/>
        </w:rPr>
      </w:pPr>
    </w:p>
    <w:p>
      <w:pPr>
        <w:pStyle w:val="68"/>
        <w:rPr>
          <w:color w:val="000000"/>
        </w:rPr>
      </w:pPr>
    </w:p>
    <w:p>
      <w:pPr>
        <w:pStyle w:val="68"/>
        <w:rPr>
          <w:color w:val="000000"/>
        </w:rPr>
      </w:pPr>
    </w:p>
    <w:p>
      <w:pPr>
        <w:rPr>
          <w:color w:val="000000"/>
        </w:rPr>
      </w:pPr>
    </w:p>
    <w:p>
      <w:pPr>
        <w:rPr>
          <w:color w:val="000000"/>
        </w:rPr>
      </w:pPr>
      <w:r>
        <w:rPr>
          <w:color w:val="000000"/>
        </w:rPr>
        <w:br w:type="page"/>
      </w:r>
    </w:p>
    <w:p>
      <w:pPr>
        <w:pStyle w:val="68"/>
        <w:rPr>
          <w:color w:val="000000"/>
        </w:rPr>
      </w:pPr>
    </w:p>
    <w:p>
      <w:pPr>
        <w:pStyle w:val="7"/>
        <w:rPr>
          <w:rFonts w:hAnsi="宋体"/>
          <w:color w:val="000000"/>
          <w:sz w:val="28"/>
        </w:rPr>
      </w:pPr>
      <w:bookmarkStart w:id="115" w:name="_Toc145486606"/>
      <w:bookmarkStart w:id="116" w:name="_Toc93302863"/>
      <w:bookmarkStart w:id="117" w:name="_Toc10681"/>
      <w:r>
        <w:rPr>
          <w:rFonts w:hint="eastAsia" w:hAnsi="宋体"/>
          <w:color w:val="000000"/>
          <w:sz w:val="28"/>
        </w:rPr>
        <w:t>二．投标人情况综合简介</w:t>
      </w:r>
      <w:bookmarkEnd w:id="112"/>
      <w:bookmarkEnd w:id="113"/>
      <w:bookmarkEnd w:id="114"/>
      <w:bookmarkEnd w:id="115"/>
      <w:bookmarkEnd w:id="116"/>
      <w:bookmarkEnd w:id="117"/>
    </w:p>
    <w:p>
      <w:pPr>
        <w:spacing w:line="500" w:lineRule="exact"/>
        <w:jc w:val="center"/>
        <w:rPr>
          <w:rFonts w:ascii="宋体" w:hAnsi="宋体" w:cs="宋体"/>
          <w:color w:val="000000"/>
          <w:sz w:val="24"/>
          <w:szCs w:val="24"/>
        </w:rPr>
      </w:pPr>
      <w:r>
        <w:rPr>
          <w:rFonts w:hint="eastAsia" w:ascii="宋体" w:hAnsi="宋体" w:cs="宋体"/>
          <w:color w:val="000000"/>
          <w:sz w:val="24"/>
          <w:szCs w:val="24"/>
        </w:rPr>
        <w:t>(投标人可自行制作格式</w:t>
      </w:r>
      <w:bookmarkStart w:id="118" w:name="_Toc536542356"/>
      <w:r>
        <w:rPr>
          <w:rFonts w:hint="eastAsia" w:ascii="宋体" w:hAnsi="宋体" w:cs="宋体"/>
          <w:color w:val="000000"/>
          <w:sz w:val="24"/>
          <w:szCs w:val="24"/>
        </w:rPr>
        <w:t>)</w:t>
      </w:r>
    </w:p>
    <w:p>
      <w:pPr>
        <w:pStyle w:val="7"/>
        <w:rPr>
          <w:rFonts w:hAnsi="宋体"/>
          <w:color w:val="000000"/>
          <w:sz w:val="28"/>
        </w:rPr>
      </w:pPr>
      <w:bookmarkStart w:id="119" w:name="_Toc145486607"/>
      <w:bookmarkStart w:id="120" w:name="_Toc93302864"/>
      <w:bookmarkStart w:id="121" w:name="_Toc11600"/>
      <w:r>
        <w:rPr>
          <w:rFonts w:hint="eastAsia" w:hAnsi="宋体"/>
          <w:color w:val="000000"/>
          <w:sz w:val="28"/>
        </w:rPr>
        <w:t>三．开标一览表</w:t>
      </w:r>
      <w:bookmarkEnd w:id="118"/>
      <w:bookmarkEnd w:id="119"/>
      <w:bookmarkEnd w:id="120"/>
      <w:bookmarkEnd w:id="121"/>
    </w:p>
    <w:tbl>
      <w:tblPr>
        <w:tblStyle w:val="51"/>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b/>
                <w:color w:val="000000"/>
                <w:sz w:val="24"/>
                <w:szCs w:val="24"/>
              </w:rPr>
            </w:pPr>
            <w:r>
              <w:rPr>
                <w:rFonts w:hint="eastAsia" w:ascii="宋体" w:hAnsi="宋体" w:cs="宋体"/>
                <w:b/>
                <w:color w:val="000000"/>
                <w:sz w:val="24"/>
                <w:szCs w:val="24"/>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ascii="宋体" w:hAnsi="宋体" w:cs="宋体"/>
                <w:bCs/>
                <w:color w:val="00000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cs="宋体"/>
                <w:b/>
                <w:color w:val="000000"/>
                <w:sz w:val="24"/>
                <w:szCs w:val="24"/>
              </w:rPr>
            </w:pPr>
            <w:r>
              <w:rPr>
                <w:rFonts w:hint="eastAsia" w:ascii="宋体" w:hAnsi="宋体" w:cs="宋体"/>
                <w:b/>
                <w:color w:val="000000"/>
                <w:sz w:val="24"/>
                <w:szCs w:val="24"/>
              </w:rPr>
              <w:t>投标人全称</w:t>
            </w:r>
          </w:p>
        </w:tc>
        <w:tc>
          <w:tcPr>
            <w:tcW w:w="6667" w:type="dxa"/>
            <w:tcBorders>
              <w:top w:val="nil"/>
            </w:tcBorders>
            <w:noWrap w:val="0"/>
            <w:vAlign w:val="center"/>
          </w:tcPr>
          <w:p>
            <w:pPr>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cs="宋体"/>
                <w:b/>
                <w:color w:val="000000"/>
                <w:sz w:val="24"/>
                <w:szCs w:val="24"/>
              </w:rPr>
            </w:pPr>
            <w:r>
              <w:rPr>
                <w:rFonts w:hint="eastAsia" w:ascii="宋体" w:hAnsi="宋体" w:cs="宋体"/>
                <w:b/>
                <w:color w:val="000000"/>
                <w:sz w:val="24"/>
                <w:szCs w:val="24"/>
              </w:rPr>
              <w:t>投标范围</w:t>
            </w:r>
          </w:p>
        </w:tc>
        <w:tc>
          <w:tcPr>
            <w:tcW w:w="6667" w:type="dxa"/>
            <w:tcBorders>
              <w:top w:val="nil"/>
            </w:tcBorders>
            <w:noWrap w:val="0"/>
            <w:vAlign w:val="center"/>
          </w:tcPr>
          <w:p>
            <w:pPr>
              <w:widowControl/>
              <w:spacing w:line="360" w:lineRule="exact"/>
              <w:rPr>
                <w:rFonts w:ascii="宋体" w:hAnsi="宋体" w:cs="宋体"/>
                <w:b/>
                <w:color w:val="000000"/>
                <w:sz w:val="24"/>
                <w:szCs w:val="24"/>
              </w:rPr>
            </w:pPr>
            <w:r>
              <w:rPr>
                <w:rFonts w:hint="eastAsia" w:ascii="宋体" w:hAnsi="宋体" w:cs="宋体"/>
                <w:color w:val="000000"/>
                <w:sz w:val="24"/>
                <w:szCs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cs="宋体"/>
                <w:b/>
                <w:color w:val="000000"/>
                <w:sz w:val="24"/>
                <w:szCs w:val="24"/>
              </w:rPr>
            </w:pPr>
            <w:r>
              <w:rPr>
                <w:rFonts w:hint="eastAsia" w:ascii="宋体" w:hAnsi="宋体" w:cs="宋体"/>
                <w:b/>
                <w:color w:val="000000"/>
                <w:sz w:val="24"/>
                <w:szCs w:val="24"/>
              </w:rPr>
              <w:t>最终投标报价</w:t>
            </w:r>
          </w:p>
          <w:p>
            <w:pPr>
              <w:spacing w:line="360" w:lineRule="exact"/>
              <w:jc w:val="center"/>
              <w:rPr>
                <w:rFonts w:ascii="宋体" w:hAnsi="宋体" w:cs="宋体"/>
                <w:b/>
                <w:color w:val="000000"/>
                <w:sz w:val="24"/>
                <w:szCs w:val="24"/>
              </w:rPr>
            </w:pPr>
            <w:r>
              <w:rPr>
                <w:rFonts w:hint="eastAsia" w:ascii="宋体" w:hAnsi="宋体" w:cs="宋体"/>
                <w:b/>
                <w:color w:val="000000"/>
                <w:sz w:val="24"/>
                <w:szCs w:val="24"/>
              </w:rPr>
              <w:t>（人民币）</w:t>
            </w:r>
          </w:p>
        </w:tc>
        <w:tc>
          <w:tcPr>
            <w:tcW w:w="6667" w:type="dxa"/>
            <w:tcBorders>
              <w:top w:val="nil"/>
            </w:tcBorders>
            <w:noWrap w:val="0"/>
            <w:vAlign w:val="center"/>
          </w:tcPr>
          <w:p>
            <w:pPr>
              <w:spacing w:line="360" w:lineRule="auto"/>
              <w:ind w:right="-670" w:firstLine="1680" w:firstLineChars="700"/>
              <w:rPr>
                <w:rFonts w:ascii="宋体" w:hAnsi="宋体" w:cs="宋体"/>
                <w:color w:val="000000"/>
                <w:sz w:val="24"/>
                <w:szCs w:val="24"/>
              </w:rPr>
            </w:pPr>
            <w:r>
              <w:rPr>
                <w:rFonts w:hint="eastAsia" w:ascii="宋体" w:hAnsi="宋体" w:cs="宋体"/>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noWrap w:val="0"/>
            <w:vAlign w:val="center"/>
          </w:tcPr>
          <w:p>
            <w:pPr>
              <w:spacing w:line="360" w:lineRule="auto"/>
              <w:jc w:val="center"/>
              <w:rPr>
                <w:rFonts w:ascii="宋体" w:hAnsi="宋体" w:cs="宋体"/>
                <w:b/>
                <w:color w:val="000000"/>
                <w:sz w:val="24"/>
                <w:szCs w:val="24"/>
              </w:rPr>
            </w:pPr>
            <w:r>
              <w:rPr>
                <w:rFonts w:hint="eastAsia" w:ascii="宋体" w:hAnsi="宋体" w:cs="宋体"/>
                <w:b/>
                <w:color w:val="000000"/>
                <w:sz w:val="24"/>
                <w:szCs w:val="24"/>
              </w:rPr>
              <w:t>备注</w:t>
            </w:r>
          </w:p>
        </w:tc>
        <w:tc>
          <w:tcPr>
            <w:tcW w:w="6667" w:type="dxa"/>
            <w:tcBorders>
              <w:top w:val="nil"/>
            </w:tcBorders>
            <w:noWrap w:val="0"/>
            <w:vAlign w:val="center"/>
          </w:tcPr>
          <w:p>
            <w:pPr>
              <w:spacing w:line="360" w:lineRule="auto"/>
              <w:jc w:val="left"/>
              <w:rPr>
                <w:rFonts w:ascii="宋体" w:hAnsi="宋体" w:cs="宋体"/>
                <w:color w:val="000000"/>
                <w:sz w:val="24"/>
                <w:szCs w:val="24"/>
              </w:rPr>
            </w:pPr>
          </w:p>
        </w:tc>
      </w:tr>
    </w:tbl>
    <w:p>
      <w:pPr>
        <w:spacing w:before="100" w:beforeAutospacing="1" w:after="100" w:afterAutospacing="1" w:line="360" w:lineRule="auto"/>
        <w:rPr>
          <w:rFonts w:ascii="宋体" w:hAnsi="宋体" w:cs="宋体"/>
          <w:b/>
          <w:color w:val="000000"/>
          <w:sz w:val="24"/>
          <w:szCs w:val="24"/>
        </w:rPr>
      </w:pPr>
      <w:r>
        <w:rPr>
          <w:rFonts w:hint="eastAsia" w:ascii="宋体" w:hAnsi="宋体" w:cs="宋体"/>
          <w:b/>
          <w:color w:val="000000"/>
          <w:sz w:val="24"/>
          <w:szCs w:val="24"/>
        </w:rPr>
        <w:t xml:space="preserve">投标人(公章)：                                           </w:t>
      </w:r>
    </w:p>
    <w:p>
      <w:pPr>
        <w:spacing w:line="360" w:lineRule="auto"/>
        <w:rPr>
          <w:rFonts w:ascii="宋体" w:hAnsi="宋体" w:cs="宋体"/>
          <w:b/>
          <w:color w:val="000000"/>
          <w:sz w:val="24"/>
          <w:szCs w:val="24"/>
        </w:rPr>
      </w:pPr>
      <w:r>
        <w:rPr>
          <w:rFonts w:hint="eastAsia" w:ascii="宋体" w:hAnsi="宋体" w:cs="宋体"/>
          <w:b/>
          <w:color w:val="000000"/>
          <w:sz w:val="24"/>
          <w:szCs w:val="24"/>
        </w:rPr>
        <w:t>备注：表中最终投标报价即为优惠后报价，并作为评审及定标依据。任何有选择或有条件的最终投标报价，或者表中某一标段填写多个报价，均为无效报价</w:t>
      </w:r>
    </w:p>
    <w:p>
      <w:pPr>
        <w:spacing w:line="360" w:lineRule="auto"/>
        <w:rPr>
          <w:rFonts w:ascii="宋体" w:hAnsi="宋体" w:cs="宋体"/>
          <w:b/>
          <w:color w:val="000000"/>
          <w:sz w:val="24"/>
          <w:szCs w:val="24"/>
        </w:rPr>
      </w:pPr>
    </w:p>
    <w:p>
      <w:pPr>
        <w:spacing w:line="360" w:lineRule="auto"/>
        <w:rPr>
          <w:rFonts w:ascii="宋体" w:hAnsi="宋体" w:cs="宋体"/>
          <w:b/>
          <w:color w:val="000000"/>
          <w:sz w:val="24"/>
          <w:szCs w:val="24"/>
        </w:rPr>
      </w:pPr>
    </w:p>
    <w:p>
      <w:pPr>
        <w:pStyle w:val="68"/>
        <w:rPr>
          <w:color w:val="000000"/>
        </w:rPr>
      </w:pPr>
    </w:p>
    <w:p>
      <w:pPr>
        <w:pStyle w:val="68"/>
        <w:ind w:firstLine="0" w:firstLineChars="0"/>
        <w:rPr>
          <w:color w:val="000000"/>
        </w:rPr>
      </w:pPr>
    </w:p>
    <w:p>
      <w:pPr>
        <w:pStyle w:val="7"/>
        <w:rPr>
          <w:rFonts w:hAnsi="宋体"/>
          <w:color w:val="000000"/>
          <w:sz w:val="28"/>
          <w:szCs w:val="36"/>
        </w:rPr>
      </w:pPr>
      <w:bookmarkStart w:id="122" w:name="_Hlt509739007"/>
      <w:bookmarkEnd w:id="122"/>
      <w:bookmarkStart w:id="123" w:name="_Toc536542357"/>
      <w:bookmarkStart w:id="124" w:name="_Toc93302865"/>
      <w:bookmarkStart w:id="125" w:name="_Toc145486608"/>
      <w:bookmarkStart w:id="126" w:name="_Toc3833"/>
      <w:r>
        <w:rPr>
          <w:rFonts w:hint="eastAsia" w:hAnsi="宋体"/>
          <w:color w:val="000000"/>
          <w:sz w:val="28"/>
        </w:rPr>
        <w:t>四．</w:t>
      </w:r>
      <w:bookmarkEnd w:id="123"/>
      <w:bookmarkEnd w:id="124"/>
      <w:bookmarkEnd w:id="125"/>
      <w:bookmarkStart w:id="127" w:name="_Toc145486609"/>
      <w:bookmarkStart w:id="128" w:name="_Toc220232409"/>
      <w:bookmarkStart w:id="129" w:name="_Toc27108"/>
      <w:bookmarkStart w:id="130" w:name="_Toc29288"/>
      <w:bookmarkStart w:id="131" w:name="_Toc471736413"/>
      <w:bookmarkStart w:id="132" w:name="_Toc20723"/>
      <w:bookmarkStart w:id="133" w:name="_Toc93302866"/>
      <w:bookmarkStart w:id="134" w:name="_Toc528276345"/>
      <w:bookmarkStart w:id="135" w:name="_Toc536542358"/>
      <w:bookmarkStart w:id="136" w:name="_Toc471736411"/>
      <w:bookmarkStart w:id="137" w:name="_Toc461103234"/>
      <w:bookmarkStart w:id="138" w:name="_Toc197934563"/>
      <w:r>
        <w:rPr>
          <w:rFonts w:hint="eastAsia" w:hAnsi="宋体"/>
          <w:color w:val="000000"/>
          <w:sz w:val="28"/>
        </w:rPr>
        <w:t>报价表</w:t>
      </w:r>
      <w:bookmarkEnd w:id="126"/>
      <w:bookmarkEnd w:id="127"/>
      <w:bookmarkEnd w:id="128"/>
      <w:bookmarkEnd w:id="129"/>
      <w:bookmarkEnd w:id="130"/>
      <w:bookmarkEnd w:id="131"/>
      <w:bookmarkEnd w:id="132"/>
      <w:bookmarkEnd w:id="133"/>
      <w:bookmarkEnd w:id="134"/>
      <w:bookmarkEnd w:id="135"/>
    </w:p>
    <w:tbl>
      <w:tblPr>
        <w:tblStyle w:val="51"/>
        <w:tblW w:w="9099" w:type="dxa"/>
        <w:tblInd w:w="0" w:type="dxa"/>
        <w:tblLayout w:type="fixed"/>
        <w:tblCellMar>
          <w:top w:w="0" w:type="dxa"/>
          <w:left w:w="0" w:type="dxa"/>
          <w:bottom w:w="0" w:type="dxa"/>
          <w:right w:w="0" w:type="dxa"/>
        </w:tblCellMar>
      </w:tblPr>
      <w:tblGrid>
        <w:gridCol w:w="1663"/>
        <w:gridCol w:w="720"/>
        <w:gridCol w:w="855"/>
        <w:gridCol w:w="1305"/>
        <w:gridCol w:w="1485"/>
        <w:gridCol w:w="3071"/>
      </w:tblGrid>
      <w:tr>
        <w:tblPrEx>
          <w:tblCellMar>
            <w:top w:w="0" w:type="dxa"/>
            <w:left w:w="0" w:type="dxa"/>
            <w:bottom w:w="0" w:type="dxa"/>
            <w:right w:w="0" w:type="dxa"/>
          </w:tblCellMar>
        </w:tblPrEx>
        <w:trPr>
          <w:trHeight w:val="709" w:hRule="atLeast"/>
        </w:trPr>
        <w:tc>
          <w:tcPr>
            <w:tcW w:w="9099"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北京烤鸭报价清单</w:t>
            </w:r>
          </w:p>
        </w:tc>
      </w:tr>
      <w:tr>
        <w:tblPrEx>
          <w:tblCellMar>
            <w:top w:w="0" w:type="dxa"/>
            <w:left w:w="0" w:type="dxa"/>
            <w:bottom w:w="0" w:type="dxa"/>
            <w:right w:w="0" w:type="dxa"/>
          </w:tblCellMar>
        </w:tblPrEx>
        <w:trPr>
          <w:trHeight w:val="408" w:hRule="atLeast"/>
        </w:trPr>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品名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val="en-US" w:eastAsia="zh-CN"/>
              </w:rPr>
              <w:t>综合</w:t>
            </w:r>
            <w:r>
              <w:rPr>
                <w:rFonts w:hint="eastAsia" w:ascii="宋体" w:hAnsi="宋体" w:eastAsia="宋体" w:cs="宋体"/>
                <w:color w:val="auto"/>
                <w:kern w:val="0"/>
                <w:sz w:val="24"/>
                <w:szCs w:val="24"/>
                <w:highlight w:val="none"/>
              </w:rPr>
              <w:t>单价</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元</w:t>
            </w:r>
            <w:r>
              <w:rPr>
                <w:rFonts w:hint="eastAsia" w:ascii="宋体" w:hAnsi="宋体" w:cs="宋体"/>
                <w:color w:val="auto"/>
                <w:kern w:val="0"/>
                <w:sz w:val="24"/>
                <w:szCs w:val="24"/>
                <w:highlight w:val="none"/>
                <w:lang w:eastAsia="zh-CN"/>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总价</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元</w:t>
            </w:r>
            <w:r>
              <w:rPr>
                <w:rFonts w:hint="eastAsia" w:ascii="宋体" w:hAnsi="宋体" w:cs="宋体"/>
                <w:color w:val="auto"/>
                <w:kern w:val="0"/>
                <w:sz w:val="24"/>
                <w:szCs w:val="24"/>
                <w:highlight w:val="none"/>
                <w:lang w:eastAsia="zh-CN"/>
              </w:rPr>
              <w:t>）</w:t>
            </w: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备注</w:t>
            </w:r>
          </w:p>
        </w:tc>
      </w:tr>
      <w:tr>
        <w:tblPrEx>
          <w:tblCellMar>
            <w:top w:w="0" w:type="dxa"/>
            <w:left w:w="0" w:type="dxa"/>
            <w:bottom w:w="0" w:type="dxa"/>
            <w:right w:w="0" w:type="dxa"/>
          </w:tblCellMar>
        </w:tblPrEx>
        <w:trPr>
          <w:trHeight w:val="408" w:hRule="atLeast"/>
        </w:trPr>
        <w:tc>
          <w:tcPr>
            <w:tcW w:w="16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包厢烤鸭</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只</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3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鸭胚不低于2.1kg/只</w:t>
            </w:r>
          </w:p>
        </w:tc>
      </w:tr>
      <w:tr>
        <w:tblPrEx>
          <w:tblCellMar>
            <w:top w:w="0" w:type="dxa"/>
            <w:left w:w="0" w:type="dxa"/>
            <w:bottom w:w="0" w:type="dxa"/>
            <w:right w:w="0" w:type="dxa"/>
          </w:tblCellMar>
        </w:tblPrEx>
        <w:trPr>
          <w:trHeight w:val="408" w:hRule="atLeast"/>
        </w:trPr>
        <w:tc>
          <w:tcPr>
            <w:tcW w:w="16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宴会/西餐烤鸭</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只</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3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鸭胚不低于1.6kg/只</w:t>
            </w:r>
          </w:p>
        </w:tc>
      </w:tr>
      <w:tr>
        <w:tblPrEx>
          <w:tblCellMar>
            <w:top w:w="0" w:type="dxa"/>
            <w:left w:w="0" w:type="dxa"/>
            <w:bottom w:w="0" w:type="dxa"/>
            <w:right w:w="0" w:type="dxa"/>
          </w:tblCellMar>
        </w:tblPrEx>
        <w:trPr>
          <w:trHeight w:val="408" w:hRule="atLeast"/>
        </w:trPr>
        <w:tc>
          <w:tcPr>
            <w:tcW w:w="16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auto"/>
                <w:sz w:val="24"/>
                <w:szCs w:val="24"/>
                <w:highlight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auto"/>
                <w:sz w:val="24"/>
                <w:szCs w:val="24"/>
                <w:highlight w:val="none"/>
              </w:rPr>
            </w:pPr>
          </w:p>
        </w:tc>
        <w:tc>
          <w:tcPr>
            <w:tcW w:w="3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333" w:hRule="atLeast"/>
        </w:trPr>
        <w:tc>
          <w:tcPr>
            <w:tcW w:w="166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color w:val="auto"/>
                <w:sz w:val="24"/>
                <w:szCs w:val="24"/>
                <w:highlight w:val="none"/>
              </w:rPr>
            </w:pPr>
          </w:p>
        </w:tc>
        <w:tc>
          <w:tcPr>
            <w:tcW w:w="72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color w:val="auto"/>
                <w:sz w:val="24"/>
                <w:szCs w:val="24"/>
                <w:highlight w:val="none"/>
              </w:rPr>
            </w:pPr>
          </w:p>
        </w:tc>
        <w:tc>
          <w:tcPr>
            <w:tcW w:w="8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color w:val="auto"/>
                <w:sz w:val="24"/>
                <w:szCs w:val="24"/>
                <w:highlight w:val="none"/>
              </w:rPr>
            </w:pPr>
          </w:p>
        </w:tc>
        <w:tc>
          <w:tcPr>
            <w:tcW w:w="130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color w:val="auto"/>
                <w:sz w:val="24"/>
                <w:szCs w:val="24"/>
                <w:highlight w:val="none"/>
              </w:rPr>
            </w:pPr>
          </w:p>
        </w:tc>
        <w:tc>
          <w:tcPr>
            <w:tcW w:w="148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color w:val="auto"/>
                <w:sz w:val="24"/>
                <w:szCs w:val="24"/>
                <w:highlight w:val="none"/>
              </w:rPr>
            </w:pPr>
          </w:p>
        </w:tc>
        <w:tc>
          <w:tcPr>
            <w:tcW w:w="307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333" w:hRule="atLeast"/>
        </w:trPr>
        <w:tc>
          <w:tcPr>
            <w:tcW w:w="1663"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其中</w:t>
            </w:r>
            <w:r>
              <w:rPr>
                <w:rFonts w:hint="eastAsia" w:ascii="宋体" w:hAnsi="宋体" w:eastAsia="宋体" w:cs="宋体"/>
                <w:color w:val="auto"/>
                <w:kern w:val="0"/>
                <w:sz w:val="24"/>
                <w:szCs w:val="24"/>
                <w:highlight w:val="none"/>
              </w:rPr>
              <w:t>税率：</w:t>
            </w:r>
          </w:p>
        </w:tc>
        <w:tc>
          <w:tcPr>
            <w:tcW w:w="72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color w:val="auto"/>
                <w:sz w:val="24"/>
                <w:szCs w:val="24"/>
                <w:highlight w:val="none"/>
              </w:rPr>
            </w:pPr>
          </w:p>
        </w:tc>
        <w:tc>
          <w:tcPr>
            <w:tcW w:w="855"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highlight w:val="none"/>
              </w:rPr>
            </w:pPr>
          </w:p>
        </w:tc>
        <w:tc>
          <w:tcPr>
            <w:tcW w:w="130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color w:val="auto"/>
                <w:sz w:val="24"/>
                <w:szCs w:val="24"/>
                <w:highlight w:val="none"/>
              </w:rPr>
            </w:pPr>
          </w:p>
        </w:tc>
        <w:tc>
          <w:tcPr>
            <w:tcW w:w="1485"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auto"/>
                <w:sz w:val="24"/>
                <w:szCs w:val="24"/>
                <w:highlight w:val="none"/>
              </w:rPr>
            </w:pPr>
          </w:p>
        </w:tc>
        <w:tc>
          <w:tcPr>
            <w:tcW w:w="3071"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auto"/>
                <w:kern w:val="0"/>
                <w:sz w:val="24"/>
                <w:szCs w:val="24"/>
                <w:highlight w:val="none"/>
              </w:rPr>
            </w:pPr>
          </w:p>
        </w:tc>
      </w:tr>
    </w:tbl>
    <w:p>
      <w:pPr>
        <w:pStyle w:val="30"/>
        <w:spacing w:line="360" w:lineRule="auto"/>
        <w:rPr>
          <w:rFonts w:ascii="宋体" w:hAnsi="宋体"/>
          <w:b w:val="0"/>
          <w:bCs/>
          <w:color w:val="000000"/>
          <w:sz w:val="24"/>
          <w:szCs w:val="28"/>
        </w:rPr>
      </w:pPr>
      <w:r>
        <w:rPr>
          <w:rFonts w:hint="eastAsia" w:ascii="宋体" w:hAnsi="宋体"/>
          <w:color w:val="000000"/>
          <w:sz w:val="24"/>
        </w:rPr>
        <w:t>投标人公章：</w:t>
      </w:r>
    </w:p>
    <w:p>
      <w:pPr>
        <w:adjustRightInd w:val="0"/>
        <w:snapToGrid w:val="0"/>
        <w:spacing w:line="360" w:lineRule="auto"/>
        <w:rPr>
          <w:rFonts w:ascii="宋体" w:hAnsi="宋体"/>
          <w:b/>
          <w:bCs/>
          <w:color w:val="000000"/>
          <w:sz w:val="24"/>
          <w:szCs w:val="28"/>
        </w:rPr>
      </w:pPr>
    </w:p>
    <w:p>
      <w:pPr>
        <w:spacing w:line="360" w:lineRule="auto"/>
        <w:rPr>
          <w:rFonts w:ascii="宋体" w:hAnsi="宋体" w:cs="宋体"/>
          <w:b/>
          <w:color w:val="000000"/>
          <w:sz w:val="24"/>
          <w:szCs w:val="24"/>
        </w:rPr>
      </w:pPr>
    </w:p>
    <w:p>
      <w:pPr>
        <w:adjustRightInd w:val="0"/>
        <w:snapToGrid w:val="0"/>
        <w:spacing w:line="360" w:lineRule="auto"/>
        <w:rPr>
          <w:rFonts w:ascii="宋体" w:hAnsi="宋体" w:cs="宋体"/>
          <w:b/>
          <w:bCs/>
          <w:color w:val="000000"/>
          <w:sz w:val="24"/>
          <w:szCs w:val="24"/>
        </w:rPr>
      </w:pPr>
    </w:p>
    <w:p>
      <w:pPr>
        <w:pStyle w:val="7"/>
        <w:rPr>
          <w:rFonts w:hAnsi="宋体"/>
          <w:color w:val="000000"/>
          <w:sz w:val="28"/>
        </w:rPr>
      </w:pPr>
      <w:bookmarkStart w:id="139" w:name="_Toc93302867"/>
      <w:bookmarkStart w:id="140" w:name="_Toc508363611"/>
      <w:bookmarkStart w:id="141" w:name="_Toc536542359"/>
      <w:bookmarkStart w:id="142" w:name="_Toc145486610"/>
      <w:bookmarkStart w:id="143" w:name="_Toc29089"/>
      <w:r>
        <w:rPr>
          <w:rFonts w:hint="eastAsia" w:hAnsi="宋体"/>
          <w:color w:val="000000"/>
          <w:sz w:val="28"/>
          <w:lang w:val="en-US" w:eastAsia="zh-CN"/>
        </w:rPr>
        <w:t>五</w:t>
      </w:r>
      <w:r>
        <w:rPr>
          <w:rFonts w:hint="eastAsia" w:hAnsi="宋体"/>
          <w:color w:val="000000"/>
          <w:sz w:val="28"/>
        </w:rPr>
        <w:t>．投标授权书</w:t>
      </w:r>
      <w:bookmarkEnd w:id="139"/>
      <w:bookmarkEnd w:id="140"/>
      <w:bookmarkEnd w:id="141"/>
      <w:bookmarkEnd w:id="142"/>
      <w:bookmarkEnd w:id="143"/>
    </w:p>
    <w:p>
      <w:pPr>
        <w:pStyle w:val="27"/>
        <w:snapToGrid w:val="0"/>
        <w:spacing w:line="360" w:lineRule="auto"/>
        <w:ind w:firstLine="480" w:firstLineChars="200"/>
        <w:jc w:val="left"/>
        <w:rPr>
          <w:rFonts w:hAnsi="宋体"/>
          <w:color w:val="000000"/>
          <w:sz w:val="24"/>
          <w:szCs w:val="28"/>
        </w:rPr>
      </w:pPr>
      <w:r>
        <w:rPr>
          <w:rFonts w:hint="eastAsia" w:hAnsi="宋体"/>
          <w:color w:val="000000"/>
          <w:sz w:val="24"/>
          <w:szCs w:val="28"/>
        </w:rPr>
        <w:t>本授权书声明：公司授权（投标人授权代表姓名、职务，手机号码）代表本公司参加合肥文旅博览集团有限公司</w:t>
      </w:r>
      <w:r>
        <w:rPr>
          <w:rFonts w:hint="eastAsia" w:hAnsi="宋体"/>
          <w:bCs/>
          <w:color w:val="000000"/>
          <w:sz w:val="24"/>
          <w:szCs w:val="28"/>
        </w:rPr>
        <w:t>招标活动（项目编号：）</w:t>
      </w:r>
      <w:r>
        <w:rPr>
          <w:rFonts w:hint="eastAsia" w:hAnsi="宋体"/>
          <w:color w:val="000000"/>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27"/>
        <w:snapToGrid w:val="0"/>
        <w:spacing w:line="360" w:lineRule="auto"/>
        <w:ind w:firstLine="480" w:firstLineChars="200"/>
        <w:jc w:val="left"/>
        <w:rPr>
          <w:rFonts w:hAnsi="宋体"/>
          <w:color w:val="000000"/>
          <w:sz w:val="24"/>
          <w:szCs w:val="28"/>
        </w:rPr>
      </w:pPr>
      <w:r>
        <w:rPr>
          <w:rFonts w:hint="eastAsia" w:hAnsi="宋体"/>
          <w:color w:val="000000"/>
          <w:sz w:val="24"/>
          <w:szCs w:val="28"/>
        </w:rPr>
        <w:t>本授权书自出具之日起生效。</w:t>
      </w:r>
    </w:p>
    <w:p>
      <w:pPr>
        <w:spacing w:line="360" w:lineRule="auto"/>
        <w:rPr>
          <w:rFonts w:ascii="宋体" w:hAnsi="宋体"/>
          <w:color w:val="000000"/>
          <w:sz w:val="24"/>
          <w:szCs w:val="28"/>
        </w:rPr>
      </w:pPr>
      <w:r>
        <w:rPr>
          <w:rFonts w:ascii="宋体" w:hAnsi="宋体"/>
          <w:color w:val="000000"/>
          <w:sz w:val="24"/>
          <w:szCs w:val="28"/>
        </w:rPr>
        <mc:AlternateContent>
          <mc:Choice Requires="wpg">
            <w:drawing>
              <wp:anchor distT="0" distB="0" distL="114300" distR="114300" simplePos="0" relativeHeight="251659264" behindDoc="0" locked="0" layoutInCell="1" allowOverlap="1">
                <wp:simplePos x="0" y="0"/>
                <wp:positionH relativeFrom="column">
                  <wp:posOffset>1160780</wp:posOffset>
                </wp:positionH>
                <wp:positionV relativeFrom="paragraph">
                  <wp:posOffset>255270</wp:posOffset>
                </wp:positionV>
                <wp:extent cx="3860165" cy="727710"/>
                <wp:effectExtent l="4445" t="4445" r="21590" b="10795"/>
                <wp:wrapNone/>
                <wp:docPr id="4" name="组合 4"/>
                <wp:cNvGraphicFramePr/>
                <a:graphic xmlns:a="http://schemas.openxmlformats.org/drawingml/2006/main">
                  <a:graphicData uri="http://schemas.microsoft.com/office/word/2010/wordprocessingGroup">
                    <wpg:wgp>
                      <wpg:cNvGrpSpPr/>
                      <wpg:grpSpPr>
                        <a:xfrm>
                          <a:off x="0" y="0"/>
                          <a:ext cx="3860165" cy="727710"/>
                          <a:chOff x="3270" y="5789"/>
                          <a:chExt cx="6079" cy="1525"/>
                        </a:xfrm>
                        <a:effectLst/>
                      </wpg:grpSpPr>
                      <wps:wsp>
                        <wps:cNvPr id="5" name="自选图形 67"/>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a:effectLst/>
                        </wps:spPr>
                        <wps:txb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wps:txbx>
                        <wps:bodyPr rot="0" vert="horz" wrap="square" lIns="91440" tIns="45720" rIns="91440" bIns="45720" anchor="t" anchorCtr="0" upright="1">
                          <a:noAutofit/>
                        </wps:bodyPr>
                      </wps:wsp>
                      <wps:wsp>
                        <wps:cNvPr id="6" name="自选图形 68"/>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a:effectLst/>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1.4pt;margin-top:20.1pt;height:57.3pt;width:303.95pt;z-index:251659264;mso-width-relative:page;mso-height-relative:page;" coordorigin="3270,5789" coordsize="6079,1525" o:gfxdata="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fkG2w9kAAAAKAQAADwAAAAAAAAABACAA&#10;AAAiAAAAZHJzL2Rvd25yZXYueG1sUEsBAhQAFAAAAAgAh07iQO5P89XwAgAAyAgAAA4AAAAAAAAA&#10;AQAgAAAAKAEAAGRycy9lMm9Eb2MueG1sUEsFBgAAAAAGAAYAWQEAAIoGAAAAAA==&#10;">
                <o:lock v:ext="edit" aspectratio="f"/>
                <v:roundrect id="自选图形 67" o:spid="_x0000_s1026" o:spt="2" style="position:absolute;left:3270;top:5789;height:1525;width:2794;" fillcolor="#FFFFFF" filled="t" stroked="t" coordsize="21600,21600" arcsize="0.166666666666667" o:gfxdata="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M0KW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v:textbox>
                </v:roundrect>
                <v:roundrect id="自选图形 68" o:spid="_x0000_s1026" o:spt="2" style="position:absolute;left:6555;top:5789;height:1525;width:2794;" fillcolor="#FFFFFF" filled="t" stroked="t" coordsize="21600,21600" arcsize="0.166666666666667" o:gfxdata="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eTtK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v:textbox>
                </v:roundrect>
              </v:group>
            </w:pict>
          </mc:Fallback>
        </mc:AlternateContent>
      </w:r>
    </w:p>
    <w:p>
      <w:pPr>
        <w:spacing w:line="360" w:lineRule="auto"/>
        <w:ind w:firstLine="645"/>
        <w:rPr>
          <w:rFonts w:ascii="宋体" w:hAnsi="宋体"/>
          <w:color w:val="000000"/>
          <w:sz w:val="24"/>
          <w:szCs w:val="28"/>
        </w:rPr>
      </w:pPr>
      <w:r>
        <w:rPr>
          <w:rFonts w:hint="eastAsia" w:ascii="宋体" w:hAnsi="宋体"/>
          <w:color w:val="000000"/>
          <w:sz w:val="24"/>
          <w:szCs w:val="28"/>
        </w:rPr>
        <w:t>特此声明。</w:t>
      </w:r>
    </w:p>
    <w:p>
      <w:pPr>
        <w:spacing w:line="360" w:lineRule="auto"/>
        <w:rPr>
          <w:rFonts w:ascii="宋体" w:hAnsi="宋体"/>
          <w:color w:val="000000"/>
          <w:sz w:val="24"/>
          <w:szCs w:val="28"/>
        </w:rPr>
      </w:pPr>
    </w:p>
    <w:p>
      <w:pPr>
        <w:spacing w:line="360" w:lineRule="auto"/>
        <w:rPr>
          <w:rFonts w:ascii="宋体" w:hAnsi="宋体"/>
          <w:color w:val="000000"/>
          <w:sz w:val="24"/>
          <w:szCs w:val="28"/>
        </w:rPr>
      </w:pPr>
    </w:p>
    <w:p>
      <w:pPr>
        <w:spacing w:line="360" w:lineRule="auto"/>
        <w:rPr>
          <w:rFonts w:ascii="宋体" w:hAnsi="宋体"/>
          <w:color w:val="000000"/>
          <w:sz w:val="24"/>
          <w:szCs w:val="28"/>
        </w:rPr>
      </w:pPr>
    </w:p>
    <w:p>
      <w:pPr>
        <w:spacing w:line="360" w:lineRule="auto"/>
        <w:rPr>
          <w:rFonts w:ascii="宋体" w:hAnsi="宋体"/>
          <w:b/>
          <w:bCs/>
          <w:color w:val="000000"/>
          <w:sz w:val="24"/>
          <w:szCs w:val="28"/>
        </w:rPr>
      </w:pPr>
      <w:r>
        <w:rPr>
          <w:rFonts w:hint="eastAsia" w:ascii="宋体" w:hAnsi="宋体"/>
          <w:b/>
          <w:bCs/>
          <w:color w:val="000000"/>
          <w:sz w:val="24"/>
          <w:szCs w:val="28"/>
        </w:rPr>
        <w:t>投标人(公章)：</w:t>
      </w:r>
    </w:p>
    <w:p>
      <w:pPr>
        <w:spacing w:line="360" w:lineRule="auto"/>
        <w:rPr>
          <w:rFonts w:ascii="宋体" w:hAnsi="宋体"/>
          <w:color w:val="000000"/>
          <w:sz w:val="24"/>
          <w:szCs w:val="28"/>
        </w:rPr>
      </w:pPr>
      <w:r>
        <w:rPr>
          <w:rFonts w:hint="eastAsia" w:ascii="宋体" w:hAnsi="宋体"/>
          <w:color w:val="000000"/>
          <w:sz w:val="24"/>
          <w:szCs w:val="28"/>
        </w:rPr>
        <w:t xml:space="preserve">日        期： </w:t>
      </w:r>
    </w:p>
    <w:p>
      <w:pPr>
        <w:rPr>
          <w:rFonts w:ascii="宋体" w:hAnsi="宋体"/>
          <w:color w:val="000000"/>
          <w:sz w:val="28"/>
          <w:szCs w:val="28"/>
        </w:rPr>
      </w:pPr>
    </w:p>
    <w:p>
      <w:pPr>
        <w:pStyle w:val="27"/>
        <w:snapToGrid w:val="0"/>
        <w:spacing w:line="360" w:lineRule="auto"/>
        <w:jc w:val="left"/>
        <w:rPr>
          <w:rFonts w:hAnsi="宋体"/>
          <w:color w:val="000000"/>
          <w:sz w:val="24"/>
          <w:szCs w:val="28"/>
        </w:rPr>
      </w:pPr>
      <w:r>
        <w:rPr>
          <w:rFonts w:hint="eastAsia" w:hAnsi="宋体"/>
          <w:color w:val="000000"/>
          <w:sz w:val="24"/>
          <w:szCs w:val="28"/>
        </w:rPr>
        <w:t>注：</w:t>
      </w:r>
    </w:p>
    <w:p>
      <w:pPr>
        <w:pStyle w:val="27"/>
        <w:snapToGrid w:val="0"/>
        <w:spacing w:line="360" w:lineRule="auto"/>
        <w:jc w:val="left"/>
        <w:rPr>
          <w:rFonts w:hAnsi="宋体"/>
          <w:color w:val="000000"/>
          <w:sz w:val="24"/>
          <w:szCs w:val="28"/>
        </w:rPr>
      </w:pPr>
      <w:r>
        <w:rPr>
          <w:rFonts w:hint="eastAsia" w:hAnsi="宋体"/>
          <w:color w:val="000000"/>
          <w:sz w:val="24"/>
          <w:szCs w:val="28"/>
        </w:rPr>
        <w:t>1.本项目只允许有唯一的投标人授权代表（须与投标函中授权代表为同一人，否则投标无效），投标文件中提供授权代表身份证</w:t>
      </w:r>
      <w:r>
        <w:rPr>
          <w:rFonts w:hint="eastAsia" w:hAnsi="宋体"/>
          <w:color w:val="000000"/>
          <w:sz w:val="24"/>
        </w:rPr>
        <w:t>扫描件</w:t>
      </w:r>
      <w:r>
        <w:rPr>
          <w:rFonts w:hint="eastAsia" w:hAnsi="宋体"/>
          <w:color w:val="000000"/>
          <w:sz w:val="24"/>
          <w:szCs w:val="28"/>
        </w:rPr>
        <w:t>。</w:t>
      </w:r>
    </w:p>
    <w:p>
      <w:pPr>
        <w:pStyle w:val="27"/>
        <w:snapToGrid w:val="0"/>
        <w:spacing w:line="360" w:lineRule="auto"/>
        <w:jc w:val="left"/>
        <w:rPr>
          <w:rFonts w:hAnsi="宋体"/>
          <w:color w:val="000000"/>
          <w:sz w:val="24"/>
          <w:szCs w:val="24"/>
        </w:rPr>
      </w:pPr>
      <w:r>
        <w:rPr>
          <w:rFonts w:hint="eastAsia" w:hAnsi="宋体"/>
          <w:color w:val="000000"/>
          <w:sz w:val="24"/>
          <w:szCs w:val="28"/>
        </w:rPr>
        <w:t>2.法定代表人参加投标的无需此件，</w:t>
      </w:r>
      <w:r>
        <w:rPr>
          <w:rFonts w:hint="eastAsia" w:hAnsi="宋体"/>
          <w:color w:val="000000"/>
          <w:sz w:val="24"/>
        </w:rPr>
        <w:t>但投标文件中须提供身份证扫描件。</w:t>
      </w:r>
    </w:p>
    <w:p>
      <w:pPr>
        <w:pStyle w:val="7"/>
        <w:rPr>
          <w:rFonts w:hAnsi="宋体" w:cs="宋体"/>
          <w:color w:val="000000"/>
          <w:sz w:val="28"/>
          <w:szCs w:val="28"/>
        </w:rPr>
      </w:pPr>
      <w:bookmarkStart w:id="144" w:name="_Toc145486611"/>
      <w:bookmarkStart w:id="145" w:name="_Toc93302868"/>
      <w:bookmarkStart w:id="146" w:name="_Toc536542360"/>
      <w:bookmarkStart w:id="147" w:name="_Toc3053"/>
      <w:r>
        <w:rPr>
          <w:rFonts w:hint="eastAsia" w:hAnsi="宋体" w:cs="宋体"/>
          <w:color w:val="000000"/>
          <w:sz w:val="28"/>
          <w:szCs w:val="28"/>
          <w:lang w:val="en-US" w:eastAsia="zh-CN"/>
        </w:rPr>
        <w:t>六</w:t>
      </w:r>
      <w:r>
        <w:rPr>
          <w:rFonts w:hint="eastAsia" w:hAnsi="宋体" w:cs="宋体"/>
          <w:color w:val="000000"/>
          <w:sz w:val="28"/>
          <w:szCs w:val="28"/>
        </w:rPr>
        <w:t>．投标人信用承诺</w:t>
      </w:r>
      <w:bookmarkEnd w:id="136"/>
      <w:bookmarkEnd w:id="137"/>
      <w:bookmarkEnd w:id="144"/>
      <w:bookmarkEnd w:id="145"/>
      <w:bookmarkEnd w:id="146"/>
      <w:bookmarkEnd w:id="147"/>
    </w:p>
    <w:p>
      <w:pPr>
        <w:spacing w:line="360" w:lineRule="auto"/>
        <w:ind w:firstLine="630"/>
        <w:rPr>
          <w:rFonts w:ascii="宋体" w:hAnsi="宋体" w:cs="宋体"/>
          <w:color w:val="000000"/>
          <w:sz w:val="24"/>
          <w:szCs w:val="24"/>
        </w:rPr>
      </w:pPr>
      <w:r>
        <w:rPr>
          <w:rFonts w:hint="eastAsia" w:ascii="宋体" w:hAnsi="宋体" w:cs="宋体"/>
          <w:color w:val="000000"/>
          <w:sz w:val="24"/>
          <w:szCs w:val="24"/>
        </w:rPr>
        <w:t>我公司申明，我公司无以下不良信用记录情形：</w:t>
      </w:r>
    </w:p>
    <w:p>
      <w:pPr>
        <w:spacing w:line="360" w:lineRule="auto"/>
        <w:ind w:firstLine="630"/>
        <w:rPr>
          <w:rFonts w:ascii="宋体" w:hAnsi="宋体" w:cs="宋体"/>
          <w:color w:val="000000"/>
          <w:sz w:val="24"/>
          <w:szCs w:val="24"/>
        </w:rPr>
      </w:pPr>
      <w:r>
        <w:rPr>
          <w:rFonts w:hint="eastAsia" w:ascii="宋体" w:hAnsi="宋体" w:cs="宋体"/>
          <w:color w:val="000000"/>
          <w:sz w:val="24"/>
          <w:szCs w:val="24"/>
        </w:rPr>
        <w:t>1.公司被人民法院列入失信被执行人；</w:t>
      </w:r>
    </w:p>
    <w:p>
      <w:pPr>
        <w:spacing w:line="360" w:lineRule="auto"/>
        <w:ind w:firstLine="630"/>
        <w:rPr>
          <w:rFonts w:ascii="宋体" w:hAnsi="宋体" w:cs="宋体"/>
          <w:color w:val="000000"/>
          <w:sz w:val="24"/>
          <w:szCs w:val="24"/>
        </w:rPr>
      </w:pPr>
      <w:r>
        <w:rPr>
          <w:rFonts w:hint="eastAsia" w:ascii="宋体" w:hAnsi="宋体" w:cs="宋体"/>
          <w:color w:val="000000"/>
          <w:sz w:val="24"/>
          <w:szCs w:val="24"/>
        </w:rPr>
        <w:t>2.公司、公司法定代表人被人民检察院列入行贿犯罪档案；</w:t>
      </w:r>
    </w:p>
    <w:p>
      <w:pPr>
        <w:spacing w:line="360" w:lineRule="auto"/>
        <w:ind w:firstLine="630"/>
        <w:rPr>
          <w:rFonts w:ascii="宋体" w:hAnsi="宋体" w:cs="宋体"/>
          <w:color w:val="000000"/>
          <w:sz w:val="24"/>
          <w:szCs w:val="24"/>
        </w:rPr>
      </w:pPr>
      <w:r>
        <w:rPr>
          <w:rFonts w:hint="eastAsia" w:ascii="宋体" w:hAnsi="宋体" w:cs="宋体"/>
          <w:color w:val="000000"/>
          <w:sz w:val="24"/>
          <w:szCs w:val="24"/>
        </w:rPr>
        <w:t>3.公司被工商行政管理部门列入企业经营异常名录；</w:t>
      </w:r>
    </w:p>
    <w:p>
      <w:pPr>
        <w:spacing w:line="360" w:lineRule="auto"/>
        <w:ind w:firstLine="630"/>
        <w:rPr>
          <w:rFonts w:ascii="宋体" w:hAnsi="宋体" w:cs="宋体"/>
          <w:color w:val="000000"/>
          <w:sz w:val="24"/>
          <w:szCs w:val="24"/>
        </w:rPr>
      </w:pPr>
      <w:r>
        <w:rPr>
          <w:rFonts w:hint="eastAsia" w:ascii="宋体" w:hAnsi="宋体" w:cs="宋体"/>
          <w:color w:val="000000"/>
          <w:sz w:val="24"/>
          <w:szCs w:val="24"/>
        </w:rPr>
        <w:t>4.公司被税务部门列入重大税收违法案件当事人名单的；</w:t>
      </w:r>
    </w:p>
    <w:p>
      <w:pPr>
        <w:spacing w:line="360" w:lineRule="auto"/>
        <w:ind w:firstLine="630"/>
        <w:rPr>
          <w:rFonts w:ascii="宋体" w:hAnsi="宋体" w:cs="宋体"/>
          <w:color w:val="000000"/>
          <w:sz w:val="24"/>
          <w:szCs w:val="24"/>
        </w:rPr>
      </w:pPr>
      <w:r>
        <w:rPr>
          <w:rFonts w:hint="eastAsia" w:ascii="宋体" w:hAnsi="宋体" w:cs="宋体"/>
          <w:color w:val="000000"/>
          <w:sz w:val="24"/>
          <w:szCs w:val="24"/>
        </w:rPr>
        <w:t>5. 参加本次投标活动前三年内，在服务活动中没有重大违法及安全事故记录。</w:t>
      </w:r>
    </w:p>
    <w:p>
      <w:pPr>
        <w:spacing w:line="360" w:lineRule="auto"/>
        <w:ind w:firstLine="630"/>
        <w:rPr>
          <w:rFonts w:ascii="宋体" w:hAnsi="宋体" w:cs="宋体"/>
          <w:color w:val="000000"/>
          <w:sz w:val="24"/>
          <w:szCs w:val="24"/>
        </w:rPr>
      </w:pPr>
      <w:r>
        <w:rPr>
          <w:rFonts w:hint="eastAsia" w:ascii="宋体" w:hAnsi="宋体" w:cs="宋体"/>
          <w:color w:val="000000"/>
          <w:sz w:val="24"/>
          <w:szCs w:val="24"/>
        </w:rPr>
        <w:t xml:space="preserve">我公司已就上述不良信用行为按照招标文件规定进行了查询，我公司承诺：合同签订前，若我公司具有不良信用记录情形，贵方可取消我公司中标资格或者不授予合同，所有责任由我公司自行承担。同时，我公司愿意无条件接受监管部门的调查处理。 </w:t>
      </w:r>
    </w:p>
    <w:p>
      <w:pPr>
        <w:spacing w:line="360" w:lineRule="auto"/>
        <w:ind w:firstLine="630"/>
        <w:rPr>
          <w:rFonts w:ascii="宋体" w:hAnsi="宋体" w:cs="宋体"/>
          <w:b/>
          <w:color w:val="000000"/>
          <w:sz w:val="24"/>
          <w:szCs w:val="24"/>
        </w:rPr>
      </w:pPr>
    </w:p>
    <w:p>
      <w:pPr>
        <w:spacing w:line="360" w:lineRule="auto"/>
        <w:ind w:firstLine="630"/>
        <w:rPr>
          <w:rFonts w:ascii="宋体" w:hAnsi="宋体" w:cs="宋体"/>
          <w:b/>
          <w:color w:val="000000"/>
          <w:sz w:val="24"/>
          <w:szCs w:val="24"/>
        </w:rPr>
      </w:pPr>
      <w:r>
        <w:rPr>
          <w:rFonts w:hint="eastAsia" w:ascii="宋体" w:hAnsi="宋体" w:cs="宋体"/>
          <w:b/>
          <w:color w:val="000000"/>
          <w:sz w:val="24"/>
          <w:szCs w:val="24"/>
        </w:rPr>
        <w:t>投标人（公章）：</w:t>
      </w:r>
    </w:p>
    <w:p>
      <w:pPr>
        <w:spacing w:line="360" w:lineRule="auto"/>
        <w:ind w:firstLine="630"/>
        <w:rPr>
          <w:rFonts w:ascii="宋体" w:hAnsi="宋体" w:cs="宋体"/>
          <w:b/>
          <w:color w:val="000000"/>
          <w:sz w:val="24"/>
          <w:szCs w:val="24"/>
        </w:rPr>
      </w:pPr>
    </w:p>
    <w:p>
      <w:pPr>
        <w:spacing w:line="360" w:lineRule="auto"/>
        <w:ind w:firstLine="630"/>
        <w:rPr>
          <w:rFonts w:ascii="宋体" w:hAnsi="宋体" w:cs="宋体"/>
          <w:b/>
          <w:color w:val="000000"/>
          <w:sz w:val="24"/>
          <w:szCs w:val="24"/>
        </w:rPr>
      </w:pPr>
    </w:p>
    <w:p>
      <w:pPr>
        <w:spacing w:line="360" w:lineRule="auto"/>
        <w:ind w:firstLine="630"/>
        <w:rPr>
          <w:rFonts w:ascii="宋体" w:hAnsi="宋体" w:cs="宋体"/>
          <w:b/>
          <w:color w:val="000000"/>
          <w:sz w:val="24"/>
          <w:szCs w:val="24"/>
        </w:rPr>
      </w:pPr>
    </w:p>
    <w:p>
      <w:pPr>
        <w:pStyle w:val="2"/>
        <w:rPr>
          <w:rFonts w:ascii="宋体" w:hAnsi="宋体" w:cs="宋体"/>
          <w:b/>
          <w:color w:val="000000"/>
          <w:sz w:val="24"/>
          <w:szCs w:val="24"/>
        </w:rPr>
      </w:pPr>
    </w:p>
    <w:p>
      <w:pPr>
        <w:pStyle w:val="2"/>
        <w:rPr>
          <w:rFonts w:ascii="宋体" w:hAnsi="宋体" w:cs="宋体"/>
          <w:b/>
          <w:color w:val="000000"/>
          <w:sz w:val="24"/>
          <w:szCs w:val="24"/>
        </w:rPr>
      </w:pPr>
    </w:p>
    <w:p>
      <w:pPr>
        <w:pStyle w:val="2"/>
        <w:rPr>
          <w:rFonts w:ascii="宋体" w:hAnsi="宋体" w:cs="宋体"/>
          <w:b/>
          <w:color w:val="000000"/>
          <w:sz w:val="24"/>
          <w:szCs w:val="24"/>
        </w:rPr>
      </w:pPr>
    </w:p>
    <w:p>
      <w:pPr>
        <w:pStyle w:val="2"/>
        <w:rPr>
          <w:rFonts w:ascii="宋体" w:hAnsi="宋体" w:cs="宋体"/>
          <w:b/>
          <w:color w:val="000000"/>
          <w:sz w:val="24"/>
          <w:szCs w:val="24"/>
        </w:rPr>
      </w:pPr>
    </w:p>
    <w:p>
      <w:pPr>
        <w:spacing w:line="360" w:lineRule="auto"/>
        <w:ind w:firstLine="630"/>
        <w:rPr>
          <w:rFonts w:ascii="宋体" w:hAnsi="宋体" w:cs="宋体"/>
          <w:b/>
          <w:color w:val="000000"/>
          <w:sz w:val="24"/>
          <w:szCs w:val="24"/>
        </w:rPr>
      </w:pPr>
    </w:p>
    <w:bookmarkEnd w:id="138"/>
    <w:p>
      <w:pPr>
        <w:pStyle w:val="7"/>
        <w:rPr>
          <w:rFonts w:hAnsi="宋体" w:cs="宋体"/>
          <w:color w:val="000000"/>
          <w:sz w:val="28"/>
          <w:szCs w:val="28"/>
        </w:rPr>
      </w:pPr>
      <w:bookmarkStart w:id="148" w:name="_Hlt509738950"/>
      <w:bookmarkEnd w:id="148"/>
      <w:bookmarkStart w:id="149" w:name="_Toc496587831"/>
      <w:bookmarkStart w:id="150" w:name="_Toc145486612"/>
      <w:bookmarkStart w:id="151" w:name="_Toc93302869"/>
      <w:bookmarkStart w:id="152" w:name="_Toc536542361"/>
      <w:bookmarkStart w:id="153" w:name="_Toc10931"/>
      <w:r>
        <w:rPr>
          <w:rFonts w:hint="eastAsia" w:hAnsi="宋体" w:cs="宋体"/>
          <w:color w:val="000000"/>
          <w:sz w:val="28"/>
          <w:szCs w:val="28"/>
          <w:lang w:val="en-US" w:eastAsia="zh-CN"/>
        </w:rPr>
        <w:t>七</w:t>
      </w:r>
      <w:r>
        <w:rPr>
          <w:rFonts w:hint="eastAsia" w:hAnsi="宋体" w:cs="宋体"/>
          <w:color w:val="000000"/>
          <w:sz w:val="28"/>
          <w:szCs w:val="28"/>
        </w:rPr>
        <w:t>.</w:t>
      </w:r>
      <w:bookmarkEnd w:id="149"/>
      <w:r>
        <w:rPr>
          <w:rFonts w:hint="eastAsia" w:hAnsi="宋体" w:cs="宋体"/>
          <w:color w:val="000000"/>
          <w:sz w:val="28"/>
          <w:szCs w:val="28"/>
        </w:rPr>
        <w:t xml:space="preserve"> 投标业绩</w:t>
      </w:r>
      <w:bookmarkEnd w:id="150"/>
      <w:bookmarkEnd w:id="151"/>
      <w:bookmarkEnd w:id="152"/>
      <w:bookmarkEnd w:id="153"/>
    </w:p>
    <w:p>
      <w:pPr>
        <w:jc w:val="center"/>
        <w:rPr>
          <w:rFonts w:ascii="宋体" w:hAnsi="宋体" w:cs="宋体"/>
          <w:b/>
          <w:color w:val="000000"/>
          <w:sz w:val="24"/>
          <w:szCs w:val="24"/>
        </w:rPr>
      </w:pPr>
      <w:r>
        <w:rPr>
          <w:rFonts w:hint="eastAsia" w:ascii="宋体" w:hAnsi="宋体" w:cs="宋体"/>
          <w:b/>
          <w:color w:val="000000"/>
          <w:sz w:val="24"/>
          <w:szCs w:val="24"/>
        </w:rPr>
        <w:t>（一）业绩表</w:t>
      </w:r>
    </w:p>
    <w:p>
      <w:pPr>
        <w:jc w:val="center"/>
        <w:rPr>
          <w:rFonts w:ascii="宋体" w:hAnsi="宋体" w:cs="宋体"/>
          <w:color w:val="000000"/>
          <w:sz w:val="24"/>
          <w:szCs w:val="24"/>
        </w:rPr>
      </w:pPr>
      <w:r>
        <w:rPr>
          <w:rFonts w:hint="eastAsia" w:ascii="宋体" w:hAnsi="宋体" w:cs="宋体"/>
          <w:color w:val="000000"/>
          <w:sz w:val="24"/>
          <w:szCs w:val="24"/>
        </w:rPr>
        <w:t>（格式仅供参考）</w:t>
      </w:r>
    </w:p>
    <w:tbl>
      <w:tblPr>
        <w:tblStyle w:val="51"/>
        <w:tblW w:w="10059"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25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序号</w:t>
            </w:r>
          </w:p>
        </w:tc>
        <w:tc>
          <w:tcPr>
            <w:tcW w:w="1559"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项目名称</w:t>
            </w:r>
          </w:p>
        </w:tc>
        <w:tc>
          <w:tcPr>
            <w:tcW w:w="2410" w:type="dxa"/>
            <w:noWrap w:val="0"/>
            <w:vAlign w:val="center"/>
          </w:tcPr>
          <w:p>
            <w:pPr>
              <w:widowControl/>
              <w:jc w:val="center"/>
              <w:rPr>
                <w:rFonts w:ascii="宋体" w:hAnsi="宋体" w:cs="宋体"/>
                <w:color w:val="000000"/>
                <w:sz w:val="24"/>
                <w:szCs w:val="24"/>
              </w:rPr>
            </w:pPr>
            <w:r>
              <w:rPr>
                <w:rFonts w:hint="eastAsia" w:ascii="宋体" w:hAnsi="宋体" w:cs="宋体"/>
                <w:color w:val="000000"/>
                <w:sz w:val="24"/>
                <w:szCs w:val="24"/>
              </w:rPr>
              <w:t>服务内容</w:t>
            </w:r>
          </w:p>
        </w:tc>
        <w:tc>
          <w:tcPr>
            <w:tcW w:w="1559"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合同总金额</w:t>
            </w:r>
          </w:p>
        </w:tc>
        <w:tc>
          <w:tcPr>
            <w:tcW w:w="2551"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业主单位及联系电话</w:t>
            </w:r>
          </w:p>
        </w:tc>
        <w:tc>
          <w:tcPr>
            <w:tcW w:w="1134"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w:t>
            </w:r>
          </w:p>
        </w:tc>
        <w:tc>
          <w:tcPr>
            <w:tcW w:w="1559" w:type="dxa"/>
            <w:noWrap w:val="0"/>
            <w:vAlign w:val="center"/>
          </w:tcPr>
          <w:p>
            <w:pPr>
              <w:spacing w:line="360" w:lineRule="auto"/>
              <w:rPr>
                <w:rFonts w:ascii="宋体" w:hAnsi="宋体" w:cs="宋体"/>
                <w:color w:val="000000"/>
                <w:sz w:val="24"/>
                <w:szCs w:val="24"/>
              </w:rPr>
            </w:pPr>
          </w:p>
        </w:tc>
        <w:tc>
          <w:tcPr>
            <w:tcW w:w="2410" w:type="dxa"/>
            <w:noWrap w:val="0"/>
            <w:vAlign w:val="center"/>
          </w:tcPr>
          <w:p>
            <w:pPr>
              <w:spacing w:line="360" w:lineRule="auto"/>
              <w:rPr>
                <w:rFonts w:ascii="宋体" w:hAnsi="宋体" w:cs="宋体"/>
                <w:color w:val="000000"/>
                <w:sz w:val="24"/>
                <w:szCs w:val="24"/>
              </w:rPr>
            </w:pPr>
          </w:p>
        </w:tc>
        <w:tc>
          <w:tcPr>
            <w:tcW w:w="1559" w:type="dxa"/>
            <w:noWrap w:val="0"/>
            <w:vAlign w:val="center"/>
          </w:tcPr>
          <w:p>
            <w:pPr>
              <w:spacing w:line="360" w:lineRule="auto"/>
              <w:rPr>
                <w:rFonts w:ascii="宋体" w:hAnsi="宋体" w:cs="宋体"/>
                <w:color w:val="000000"/>
                <w:sz w:val="24"/>
                <w:szCs w:val="24"/>
              </w:rPr>
            </w:pPr>
          </w:p>
        </w:tc>
        <w:tc>
          <w:tcPr>
            <w:tcW w:w="2551" w:type="dxa"/>
            <w:noWrap w:val="0"/>
            <w:vAlign w:val="center"/>
          </w:tcPr>
          <w:p>
            <w:pPr>
              <w:spacing w:line="360" w:lineRule="auto"/>
              <w:rPr>
                <w:rFonts w:ascii="宋体" w:hAnsi="宋体" w:cs="宋体"/>
                <w:color w:val="000000"/>
                <w:sz w:val="24"/>
                <w:szCs w:val="24"/>
              </w:rPr>
            </w:pPr>
          </w:p>
        </w:tc>
        <w:tc>
          <w:tcPr>
            <w:tcW w:w="1134" w:type="dxa"/>
            <w:noWrap w:val="0"/>
            <w:vAlign w:val="center"/>
          </w:tcPr>
          <w:p>
            <w:pPr>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2</w:t>
            </w:r>
          </w:p>
        </w:tc>
        <w:tc>
          <w:tcPr>
            <w:tcW w:w="1559" w:type="dxa"/>
            <w:noWrap w:val="0"/>
            <w:vAlign w:val="center"/>
          </w:tcPr>
          <w:p>
            <w:pPr>
              <w:spacing w:line="360" w:lineRule="auto"/>
              <w:rPr>
                <w:rFonts w:ascii="宋体" w:hAnsi="宋体" w:cs="宋体"/>
                <w:color w:val="000000"/>
                <w:sz w:val="24"/>
                <w:szCs w:val="24"/>
              </w:rPr>
            </w:pPr>
          </w:p>
        </w:tc>
        <w:tc>
          <w:tcPr>
            <w:tcW w:w="2410" w:type="dxa"/>
            <w:noWrap w:val="0"/>
            <w:vAlign w:val="center"/>
          </w:tcPr>
          <w:p>
            <w:pPr>
              <w:spacing w:line="360" w:lineRule="auto"/>
              <w:rPr>
                <w:rFonts w:ascii="宋体" w:hAnsi="宋体" w:cs="宋体"/>
                <w:color w:val="000000"/>
                <w:sz w:val="24"/>
                <w:szCs w:val="24"/>
              </w:rPr>
            </w:pPr>
          </w:p>
        </w:tc>
        <w:tc>
          <w:tcPr>
            <w:tcW w:w="1559" w:type="dxa"/>
            <w:noWrap w:val="0"/>
            <w:vAlign w:val="center"/>
          </w:tcPr>
          <w:p>
            <w:pPr>
              <w:spacing w:line="360" w:lineRule="auto"/>
              <w:rPr>
                <w:rFonts w:ascii="宋体" w:hAnsi="宋体" w:cs="宋体"/>
                <w:color w:val="000000"/>
                <w:sz w:val="24"/>
                <w:szCs w:val="24"/>
              </w:rPr>
            </w:pPr>
          </w:p>
        </w:tc>
        <w:tc>
          <w:tcPr>
            <w:tcW w:w="2551" w:type="dxa"/>
            <w:noWrap w:val="0"/>
            <w:vAlign w:val="center"/>
          </w:tcPr>
          <w:p>
            <w:pPr>
              <w:spacing w:line="360" w:lineRule="auto"/>
              <w:rPr>
                <w:rFonts w:ascii="宋体" w:hAnsi="宋体" w:cs="宋体"/>
                <w:color w:val="000000"/>
                <w:sz w:val="24"/>
                <w:szCs w:val="24"/>
              </w:rPr>
            </w:pPr>
          </w:p>
        </w:tc>
        <w:tc>
          <w:tcPr>
            <w:tcW w:w="1134" w:type="dxa"/>
            <w:noWrap w:val="0"/>
            <w:vAlign w:val="center"/>
          </w:tcPr>
          <w:p>
            <w:pPr>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w:t>
            </w:r>
          </w:p>
        </w:tc>
        <w:tc>
          <w:tcPr>
            <w:tcW w:w="1559" w:type="dxa"/>
            <w:noWrap w:val="0"/>
            <w:vAlign w:val="center"/>
          </w:tcPr>
          <w:p>
            <w:pPr>
              <w:spacing w:line="360" w:lineRule="auto"/>
              <w:rPr>
                <w:rFonts w:ascii="宋体" w:hAnsi="宋体" w:cs="宋体"/>
                <w:color w:val="000000"/>
                <w:sz w:val="24"/>
                <w:szCs w:val="24"/>
              </w:rPr>
            </w:pPr>
          </w:p>
        </w:tc>
        <w:tc>
          <w:tcPr>
            <w:tcW w:w="2410" w:type="dxa"/>
            <w:noWrap w:val="0"/>
            <w:vAlign w:val="center"/>
          </w:tcPr>
          <w:p>
            <w:pPr>
              <w:spacing w:line="360" w:lineRule="auto"/>
              <w:rPr>
                <w:rFonts w:ascii="宋体" w:hAnsi="宋体" w:cs="宋体"/>
                <w:color w:val="000000"/>
                <w:sz w:val="24"/>
                <w:szCs w:val="24"/>
              </w:rPr>
            </w:pPr>
          </w:p>
        </w:tc>
        <w:tc>
          <w:tcPr>
            <w:tcW w:w="1559" w:type="dxa"/>
            <w:noWrap w:val="0"/>
            <w:vAlign w:val="center"/>
          </w:tcPr>
          <w:p>
            <w:pPr>
              <w:spacing w:line="360" w:lineRule="auto"/>
              <w:rPr>
                <w:rFonts w:ascii="宋体" w:hAnsi="宋体" w:cs="宋体"/>
                <w:color w:val="000000"/>
                <w:sz w:val="24"/>
                <w:szCs w:val="24"/>
              </w:rPr>
            </w:pPr>
          </w:p>
        </w:tc>
        <w:tc>
          <w:tcPr>
            <w:tcW w:w="2551" w:type="dxa"/>
            <w:noWrap w:val="0"/>
            <w:vAlign w:val="center"/>
          </w:tcPr>
          <w:p>
            <w:pPr>
              <w:spacing w:line="360" w:lineRule="auto"/>
              <w:rPr>
                <w:rFonts w:ascii="宋体" w:hAnsi="宋体" w:cs="宋体"/>
                <w:color w:val="000000"/>
                <w:sz w:val="24"/>
                <w:szCs w:val="24"/>
              </w:rPr>
            </w:pPr>
          </w:p>
        </w:tc>
        <w:tc>
          <w:tcPr>
            <w:tcW w:w="1134" w:type="dxa"/>
            <w:noWrap w:val="0"/>
            <w:vAlign w:val="center"/>
          </w:tcPr>
          <w:p>
            <w:pPr>
              <w:spacing w:line="360"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spacing w:line="360" w:lineRule="auto"/>
              <w:jc w:val="center"/>
              <w:rPr>
                <w:rFonts w:ascii="宋体" w:hAnsi="宋体" w:cs="宋体"/>
                <w:color w:val="000000"/>
                <w:sz w:val="24"/>
                <w:szCs w:val="24"/>
              </w:rPr>
            </w:pPr>
          </w:p>
        </w:tc>
        <w:tc>
          <w:tcPr>
            <w:tcW w:w="1559" w:type="dxa"/>
            <w:noWrap w:val="0"/>
            <w:vAlign w:val="center"/>
          </w:tcPr>
          <w:p>
            <w:pPr>
              <w:spacing w:line="360" w:lineRule="auto"/>
              <w:rPr>
                <w:rFonts w:ascii="宋体" w:hAnsi="宋体" w:cs="宋体"/>
                <w:color w:val="000000"/>
                <w:sz w:val="24"/>
                <w:szCs w:val="24"/>
              </w:rPr>
            </w:pPr>
          </w:p>
        </w:tc>
        <w:tc>
          <w:tcPr>
            <w:tcW w:w="2410" w:type="dxa"/>
            <w:noWrap w:val="0"/>
            <w:vAlign w:val="center"/>
          </w:tcPr>
          <w:p>
            <w:pPr>
              <w:spacing w:line="360" w:lineRule="auto"/>
              <w:rPr>
                <w:rFonts w:ascii="宋体" w:hAnsi="宋体" w:cs="宋体"/>
                <w:color w:val="000000"/>
                <w:sz w:val="24"/>
                <w:szCs w:val="24"/>
              </w:rPr>
            </w:pPr>
          </w:p>
        </w:tc>
        <w:tc>
          <w:tcPr>
            <w:tcW w:w="1559" w:type="dxa"/>
            <w:noWrap w:val="0"/>
            <w:vAlign w:val="center"/>
          </w:tcPr>
          <w:p>
            <w:pPr>
              <w:spacing w:line="360" w:lineRule="auto"/>
              <w:rPr>
                <w:rFonts w:ascii="宋体" w:hAnsi="宋体" w:cs="宋体"/>
                <w:color w:val="000000"/>
                <w:sz w:val="24"/>
                <w:szCs w:val="24"/>
              </w:rPr>
            </w:pPr>
          </w:p>
        </w:tc>
        <w:tc>
          <w:tcPr>
            <w:tcW w:w="2551" w:type="dxa"/>
            <w:noWrap w:val="0"/>
            <w:vAlign w:val="center"/>
          </w:tcPr>
          <w:p>
            <w:pPr>
              <w:spacing w:line="360" w:lineRule="auto"/>
              <w:rPr>
                <w:rFonts w:ascii="宋体" w:hAnsi="宋体" w:cs="宋体"/>
                <w:color w:val="000000"/>
                <w:sz w:val="24"/>
                <w:szCs w:val="24"/>
              </w:rPr>
            </w:pPr>
          </w:p>
        </w:tc>
        <w:tc>
          <w:tcPr>
            <w:tcW w:w="1134" w:type="dxa"/>
            <w:noWrap w:val="0"/>
            <w:vAlign w:val="center"/>
          </w:tcPr>
          <w:p>
            <w:pPr>
              <w:spacing w:line="360" w:lineRule="auto"/>
              <w:rPr>
                <w:rFonts w:ascii="宋体" w:hAnsi="宋体" w:cs="宋体"/>
                <w:color w:val="000000"/>
                <w:sz w:val="24"/>
                <w:szCs w:val="24"/>
              </w:rPr>
            </w:pPr>
          </w:p>
        </w:tc>
      </w:tr>
    </w:tbl>
    <w:p>
      <w:pPr>
        <w:spacing w:before="48" w:beforeLines="20" w:after="48" w:afterLines="20" w:line="360" w:lineRule="auto"/>
        <w:rPr>
          <w:rFonts w:ascii="宋体" w:hAnsi="宋体" w:cs="宋体"/>
          <w:color w:val="000000"/>
          <w:sz w:val="24"/>
          <w:szCs w:val="24"/>
        </w:rPr>
      </w:pPr>
    </w:p>
    <w:p>
      <w:pPr>
        <w:spacing w:before="48" w:beforeLines="20" w:after="48" w:afterLines="20" w:line="360" w:lineRule="auto"/>
        <w:jc w:val="center"/>
        <w:rPr>
          <w:rFonts w:ascii="宋体" w:hAnsi="宋体" w:cs="宋体"/>
          <w:b/>
          <w:color w:val="000000"/>
          <w:sz w:val="24"/>
          <w:szCs w:val="24"/>
        </w:rPr>
      </w:pPr>
      <w:r>
        <w:rPr>
          <w:rFonts w:hint="eastAsia" w:ascii="宋体" w:hAnsi="宋体" w:cs="宋体"/>
          <w:b/>
          <w:color w:val="000000"/>
          <w:sz w:val="24"/>
          <w:szCs w:val="24"/>
        </w:rPr>
        <w:t>（二）业绩证明材料</w:t>
      </w:r>
    </w:p>
    <w:p>
      <w:pPr>
        <w:spacing w:before="48" w:beforeLines="20" w:after="48" w:afterLines="20" w:line="360" w:lineRule="auto"/>
        <w:jc w:val="center"/>
        <w:rPr>
          <w:rFonts w:ascii="宋体" w:hAnsi="宋体" w:cs="宋体"/>
          <w:color w:val="000000"/>
          <w:sz w:val="24"/>
          <w:szCs w:val="24"/>
        </w:rPr>
      </w:pPr>
      <w:r>
        <w:rPr>
          <w:rFonts w:hint="eastAsia" w:ascii="宋体" w:hAnsi="宋体" w:cs="宋体"/>
          <w:color w:val="000000"/>
          <w:sz w:val="24"/>
          <w:szCs w:val="24"/>
        </w:rPr>
        <w:t>（建议与上述“（一）业绩表”填写的业绩一一对应提供）</w:t>
      </w:r>
    </w:p>
    <w:p>
      <w:pPr>
        <w:spacing w:before="48" w:beforeLines="20" w:after="48" w:afterLines="20" w:line="360" w:lineRule="auto"/>
        <w:jc w:val="center"/>
        <w:rPr>
          <w:rFonts w:ascii="宋体" w:hAnsi="宋体" w:cs="宋体"/>
          <w:color w:val="000000"/>
          <w:sz w:val="24"/>
          <w:szCs w:val="24"/>
        </w:rPr>
      </w:pPr>
    </w:p>
    <w:p>
      <w:pPr>
        <w:spacing w:before="48" w:beforeLines="20" w:after="48" w:afterLines="20" w:line="360" w:lineRule="auto"/>
        <w:rPr>
          <w:rFonts w:ascii="宋体" w:hAnsi="宋体" w:cs="宋体"/>
          <w:color w:val="000000"/>
          <w:sz w:val="24"/>
          <w:szCs w:val="24"/>
        </w:rPr>
      </w:pPr>
    </w:p>
    <w:p>
      <w:pPr>
        <w:spacing w:before="48" w:beforeLines="20" w:after="48" w:afterLines="20" w:line="360" w:lineRule="auto"/>
        <w:jc w:val="center"/>
        <w:rPr>
          <w:rFonts w:ascii="宋体" w:hAnsi="宋体" w:cs="宋体"/>
          <w:color w:val="000000"/>
          <w:sz w:val="24"/>
          <w:szCs w:val="24"/>
        </w:rPr>
      </w:pPr>
    </w:p>
    <w:p>
      <w:pPr>
        <w:spacing w:before="48" w:beforeLines="20" w:after="48" w:afterLines="20" w:line="360" w:lineRule="auto"/>
        <w:jc w:val="center"/>
        <w:rPr>
          <w:rFonts w:ascii="宋体" w:hAnsi="宋体" w:cs="宋体"/>
          <w:color w:val="000000"/>
          <w:sz w:val="24"/>
          <w:szCs w:val="24"/>
        </w:rPr>
      </w:pPr>
    </w:p>
    <w:p>
      <w:pPr>
        <w:spacing w:before="48" w:beforeLines="20" w:after="48" w:afterLines="20" w:line="360" w:lineRule="auto"/>
        <w:jc w:val="center"/>
        <w:rPr>
          <w:rFonts w:ascii="宋体" w:hAnsi="宋体" w:cs="宋体"/>
          <w:color w:val="000000"/>
          <w:sz w:val="24"/>
          <w:szCs w:val="24"/>
        </w:rPr>
      </w:pPr>
    </w:p>
    <w:p>
      <w:pPr>
        <w:pStyle w:val="7"/>
        <w:rPr>
          <w:rFonts w:hAnsi="宋体"/>
          <w:color w:val="000000"/>
          <w:sz w:val="28"/>
          <w:szCs w:val="36"/>
        </w:rPr>
      </w:pPr>
      <w:bookmarkStart w:id="154" w:name="_Toc471736419"/>
      <w:bookmarkStart w:id="155" w:name="_Toc220232402"/>
      <w:bookmarkStart w:id="156" w:name="_Toc536542362"/>
      <w:bookmarkStart w:id="157" w:name="_Toc508363610"/>
      <w:bookmarkStart w:id="158" w:name="_Toc145486613"/>
      <w:bookmarkStart w:id="159" w:name="_Toc516969105"/>
      <w:bookmarkStart w:id="160" w:name="_Toc93302870"/>
      <w:bookmarkStart w:id="161" w:name="_Toc10262"/>
      <w:r>
        <w:rPr>
          <w:rFonts w:hint="eastAsia" w:hAnsi="宋体"/>
          <w:color w:val="000000"/>
          <w:sz w:val="28"/>
          <w:lang w:val="en-US" w:eastAsia="zh-CN"/>
        </w:rPr>
        <w:t>八</w:t>
      </w:r>
      <w:r>
        <w:rPr>
          <w:rFonts w:hint="eastAsia" w:hAnsi="宋体"/>
          <w:color w:val="000000"/>
          <w:sz w:val="28"/>
        </w:rPr>
        <w:t>．有关证明文件</w:t>
      </w:r>
      <w:bookmarkEnd w:id="154"/>
      <w:bookmarkEnd w:id="155"/>
      <w:bookmarkEnd w:id="156"/>
      <w:bookmarkEnd w:id="157"/>
      <w:bookmarkEnd w:id="158"/>
      <w:bookmarkEnd w:id="159"/>
      <w:bookmarkEnd w:id="160"/>
      <w:bookmarkEnd w:id="161"/>
    </w:p>
    <w:p>
      <w:pPr>
        <w:tabs>
          <w:tab w:val="left" w:pos="4620"/>
        </w:tabs>
        <w:spacing w:line="360" w:lineRule="auto"/>
        <w:ind w:firstLine="480" w:firstLineChars="200"/>
        <w:rPr>
          <w:rFonts w:ascii="宋体" w:hAnsi="宋体"/>
          <w:color w:val="000000"/>
          <w:sz w:val="24"/>
        </w:rPr>
      </w:pPr>
      <w:r>
        <w:rPr>
          <w:rFonts w:hint="eastAsia" w:ascii="宋体" w:hAnsi="宋体"/>
          <w:color w:val="000000"/>
          <w:sz w:val="24"/>
        </w:rPr>
        <w:t>提供符合投标邀请、招标需求及评标办法规定的相关证明文件（制作成扫描件）。</w:t>
      </w:r>
    </w:p>
    <w:p>
      <w:pPr>
        <w:pStyle w:val="27"/>
        <w:snapToGrid w:val="0"/>
        <w:spacing w:before="120" w:after="120" w:line="360" w:lineRule="auto"/>
        <w:ind w:firstLine="480"/>
        <w:jc w:val="left"/>
        <w:rPr>
          <w:rFonts w:hAnsi="宋体"/>
          <w:color w:val="000000"/>
          <w:sz w:val="24"/>
        </w:rPr>
      </w:pPr>
      <w:r>
        <w:rPr>
          <w:rFonts w:hint="eastAsia" w:hAnsi="宋体"/>
          <w:color w:val="000000"/>
          <w:sz w:val="24"/>
        </w:rPr>
        <w:t>特别提示：</w:t>
      </w:r>
    </w:p>
    <w:p>
      <w:pPr>
        <w:pStyle w:val="27"/>
        <w:snapToGrid w:val="0"/>
        <w:spacing w:line="360" w:lineRule="auto"/>
        <w:ind w:firstLine="482"/>
        <w:jc w:val="left"/>
        <w:rPr>
          <w:rFonts w:hAnsi="宋体"/>
          <w:color w:val="000000"/>
          <w:sz w:val="24"/>
        </w:rPr>
      </w:pPr>
      <w:r>
        <w:rPr>
          <w:rFonts w:hint="eastAsia" w:hAnsi="宋体"/>
          <w:color w:val="000000"/>
          <w:sz w:val="24"/>
        </w:rPr>
        <w:t>投标人在投标文件制作时，提供下列材料（包括但不限于）：</w:t>
      </w:r>
    </w:p>
    <w:p>
      <w:pPr>
        <w:tabs>
          <w:tab w:val="left" w:pos="4620"/>
        </w:tabs>
        <w:spacing w:line="360" w:lineRule="auto"/>
        <w:ind w:firstLine="482" w:firstLineChars="200"/>
        <w:rPr>
          <w:rFonts w:ascii="宋体" w:hAnsi="宋体"/>
          <w:color w:val="000000"/>
          <w:sz w:val="24"/>
        </w:rPr>
      </w:pPr>
      <w:r>
        <w:rPr>
          <w:rFonts w:hint="eastAsia" w:ascii="宋体" w:hAnsi="宋体"/>
          <w:b/>
          <w:color w:val="000000"/>
          <w:sz w:val="24"/>
        </w:rPr>
        <w:t>招标文件要求的其他证明资料</w:t>
      </w:r>
      <w:r>
        <w:rPr>
          <w:rFonts w:hint="eastAsia" w:ascii="宋体" w:hAnsi="宋体" w:cs="Cambria"/>
          <w:b/>
          <w:color w:val="000000"/>
          <w:sz w:val="24"/>
        </w:rPr>
        <w:t>（根据项目要求编辑）</w:t>
      </w:r>
      <w:r>
        <w:rPr>
          <w:rFonts w:hint="eastAsia" w:ascii="宋体" w:hAnsi="宋体"/>
          <w:b/>
          <w:color w:val="000000"/>
          <w:sz w:val="24"/>
          <w:szCs w:val="24"/>
        </w:rPr>
        <w:t>，</w:t>
      </w:r>
      <w:r>
        <w:rPr>
          <w:rFonts w:ascii="宋体" w:hAnsi="宋体"/>
          <w:b/>
          <w:color w:val="000000"/>
          <w:sz w:val="24"/>
          <w:szCs w:val="24"/>
        </w:rPr>
        <w:t>如</w:t>
      </w:r>
      <w:r>
        <w:rPr>
          <w:rFonts w:hint="eastAsia" w:ascii="宋体" w:hAnsi="宋体"/>
          <w:b/>
          <w:color w:val="000000"/>
          <w:sz w:val="24"/>
          <w:szCs w:val="24"/>
        </w:rPr>
        <w:t>营业执照</w:t>
      </w:r>
      <w:r>
        <w:rPr>
          <w:rFonts w:ascii="宋体" w:hAnsi="宋体"/>
          <w:b/>
          <w:color w:val="000000"/>
          <w:sz w:val="24"/>
          <w:szCs w:val="24"/>
        </w:rPr>
        <w:t>、税务登记证</w:t>
      </w:r>
      <w:r>
        <w:rPr>
          <w:rFonts w:hint="eastAsia" w:ascii="宋体" w:hAnsi="宋体"/>
          <w:b/>
          <w:color w:val="000000"/>
          <w:sz w:val="24"/>
          <w:szCs w:val="24"/>
        </w:rPr>
        <w:t>、业绩、相关证书、证明资料</w:t>
      </w:r>
      <w:r>
        <w:rPr>
          <w:rFonts w:ascii="宋体" w:hAnsi="宋体"/>
          <w:b/>
          <w:color w:val="000000"/>
          <w:sz w:val="24"/>
          <w:szCs w:val="24"/>
        </w:rPr>
        <w:t>等</w:t>
      </w:r>
      <w:r>
        <w:rPr>
          <w:rFonts w:hint="eastAsia" w:ascii="宋体" w:hAnsi="宋体"/>
          <w:b/>
          <w:color w:val="000000"/>
          <w:sz w:val="24"/>
          <w:szCs w:val="24"/>
        </w:rPr>
        <w:t>，</w:t>
      </w:r>
      <w:r>
        <w:rPr>
          <w:rFonts w:hint="eastAsia" w:ascii="宋体" w:hAnsi="宋体"/>
          <w:color w:val="000000"/>
          <w:sz w:val="24"/>
        </w:rPr>
        <w:t>应将上述证明材料制作成扫描件。</w:t>
      </w:r>
    </w:p>
    <w:p>
      <w:pPr>
        <w:tabs>
          <w:tab w:val="left" w:pos="4620"/>
        </w:tabs>
        <w:spacing w:line="360" w:lineRule="auto"/>
        <w:ind w:firstLine="480" w:firstLineChars="200"/>
        <w:rPr>
          <w:rFonts w:ascii="宋体" w:hAnsi="宋体"/>
          <w:color w:val="000000"/>
          <w:sz w:val="24"/>
        </w:rPr>
      </w:pPr>
    </w:p>
    <w:p>
      <w:pPr>
        <w:pStyle w:val="7"/>
        <w:rPr>
          <w:rFonts w:hAnsi="宋体"/>
          <w:color w:val="000000"/>
          <w:sz w:val="28"/>
        </w:rPr>
      </w:pPr>
      <w:bookmarkStart w:id="162" w:name="_Toc145486614"/>
      <w:bookmarkStart w:id="163" w:name="_Toc93302871"/>
      <w:bookmarkStart w:id="164" w:name="_Toc515390551"/>
      <w:bookmarkStart w:id="165" w:name="_Toc31421"/>
      <w:r>
        <w:rPr>
          <w:rFonts w:hint="eastAsia" w:hAnsi="宋体"/>
          <w:color w:val="000000"/>
          <w:sz w:val="28"/>
          <w:lang w:val="en-US" w:eastAsia="zh-CN"/>
        </w:rPr>
        <w:t>九</w:t>
      </w:r>
      <w:r>
        <w:rPr>
          <w:rFonts w:hint="eastAsia" w:hAnsi="宋体"/>
          <w:color w:val="000000"/>
          <w:sz w:val="28"/>
        </w:rPr>
        <w:t>．</w:t>
      </w:r>
      <w:bookmarkStart w:id="166" w:name="_Toc420342105"/>
      <w:r>
        <w:rPr>
          <w:rFonts w:hint="eastAsia" w:hAnsi="宋体"/>
          <w:color w:val="000000"/>
          <w:sz w:val="28"/>
        </w:rPr>
        <w:t>生产厂商授权书</w:t>
      </w:r>
      <w:bookmarkEnd w:id="162"/>
      <w:bookmarkEnd w:id="163"/>
      <w:bookmarkEnd w:id="164"/>
      <w:bookmarkEnd w:id="165"/>
      <w:bookmarkEnd w:id="166"/>
    </w:p>
    <w:p>
      <w:pPr>
        <w:spacing w:before="48" w:beforeLines="20" w:after="48" w:afterLines="20" w:line="360" w:lineRule="auto"/>
        <w:ind w:firstLine="482" w:firstLineChars="200"/>
        <w:jc w:val="center"/>
        <w:rPr>
          <w:rFonts w:ascii="宋体" w:hAnsi="宋体"/>
          <w:color w:val="000000"/>
          <w:sz w:val="24"/>
        </w:rPr>
      </w:pPr>
      <w:r>
        <w:rPr>
          <w:rFonts w:ascii="宋体" w:hAnsi="宋体"/>
          <w:b/>
          <w:color w:val="000000"/>
          <w:sz w:val="24"/>
        </w:rPr>
        <w:t>（</w:t>
      </w:r>
      <w:r>
        <w:rPr>
          <w:rFonts w:hint="eastAsia"/>
          <w:b/>
          <w:color w:val="000000"/>
          <w:sz w:val="24"/>
          <w:szCs w:val="24"/>
          <w:shd w:val="pct10" w:color="auto" w:fill="FFFFFF"/>
        </w:rPr>
        <w:t>（如招标文件无相关产品厂家授权或承诺书要求，不需此件）</w:t>
      </w:r>
    </w:p>
    <w:p>
      <w:pPr>
        <w:spacing w:line="360" w:lineRule="auto"/>
        <w:jc w:val="center"/>
        <w:rPr>
          <w:rFonts w:ascii="宋体" w:hAnsi="宋体"/>
          <w:color w:val="000000"/>
          <w:sz w:val="24"/>
        </w:rPr>
      </w:pPr>
    </w:p>
    <w:p>
      <w:pPr>
        <w:pStyle w:val="30"/>
        <w:spacing w:line="360" w:lineRule="auto"/>
        <w:rPr>
          <w:rFonts w:ascii="宋体" w:hAnsi="宋体"/>
          <w:color w:val="000000"/>
          <w:sz w:val="24"/>
        </w:rPr>
      </w:pPr>
      <w:r>
        <w:rPr>
          <w:rFonts w:hint="eastAsia" w:ascii="宋体" w:hAnsi="宋体"/>
          <w:color w:val="000000"/>
          <w:sz w:val="24"/>
        </w:rPr>
        <w:t>致：合肥文旅博览集团有限公司</w:t>
      </w:r>
    </w:p>
    <w:p>
      <w:pPr>
        <w:pStyle w:val="30"/>
        <w:spacing w:line="360" w:lineRule="auto"/>
        <w:rPr>
          <w:rFonts w:ascii="宋体" w:hAnsi="宋体"/>
          <w:color w:val="000000"/>
          <w:sz w:val="24"/>
        </w:rPr>
      </w:pPr>
      <w:r>
        <w:rPr>
          <w:rFonts w:hint="eastAsia" w:ascii="宋体" w:hAnsi="宋体"/>
          <w:color w:val="000000"/>
          <w:sz w:val="24"/>
        </w:rPr>
        <w:t>某业主单位</w:t>
      </w:r>
    </w:p>
    <w:p>
      <w:pPr>
        <w:pStyle w:val="30"/>
        <w:spacing w:line="360" w:lineRule="auto"/>
        <w:rPr>
          <w:rFonts w:ascii="宋体" w:hAnsi="宋体"/>
          <w:color w:val="000000"/>
          <w:sz w:val="24"/>
        </w:rPr>
      </w:pPr>
      <w:r>
        <w:rPr>
          <w:rFonts w:hint="eastAsia" w:ascii="宋体" w:hAnsi="宋体"/>
          <w:color w:val="000000"/>
          <w:sz w:val="24"/>
        </w:rPr>
        <w:t>（生产厂商名称）是根据依法正式成立的，主营业地点在 （生产厂商地址）。公司是我公司正式授权经营我公司（产品名称）的商家，它有权提供合肥文旅博览集团有限公司第</w:t>
      </w:r>
      <w:r>
        <w:rPr>
          <w:rFonts w:hint="eastAsia" w:ascii="宋体" w:hAnsi="宋体"/>
          <w:b w:val="0"/>
          <w:color w:val="000000"/>
          <w:sz w:val="24"/>
          <w:u w:val="single"/>
        </w:rPr>
        <w:t>某编号</w:t>
      </w:r>
      <w:r>
        <w:rPr>
          <w:rFonts w:hint="eastAsia" w:ascii="宋体" w:hAnsi="宋体"/>
          <w:color w:val="000000"/>
          <w:sz w:val="24"/>
        </w:rPr>
        <w:t>号</w:t>
      </w:r>
      <w:r>
        <w:rPr>
          <w:rFonts w:hint="eastAsia" w:ascii="宋体" w:hAnsi="宋体"/>
          <w:b w:val="0"/>
          <w:bCs/>
          <w:color w:val="000000"/>
          <w:sz w:val="24"/>
          <w:u w:val="single"/>
        </w:rPr>
        <w:t>某项目</w:t>
      </w:r>
      <w:r>
        <w:rPr>
          <w:rFonts w:hint="eastAsia" w:ascii="宋体" w:hAnsi="宋体"/>
          <w:color w:val="000000"/>
          <w:sz w:val="24"/>
        </w:rPr>
        <w:t>所需的由我公司生产或制造的货物。</w:t>
      </w:r>
    </w:p>
    <w:p>
      <w:pPr>
        <w:spacing w:line="360" w:lineRule="auto"/>
        <w:ind w:firstLine="630"/>
        <w:rPr>
          <w:rFonts w:ascii="宋体" w:hAnsi="宋体"/>
          <w:color w:val="000000"/>
          <w:sz w:val="24"/>
        </w:rPr>
      </w:pPr>
      <w:r>
        <w:rPr>
          <w:rFonts w:hint="eastAsia" w:ascii="宋体" w:hAnsi="宋体"/>
          <w:color w:val="000000"/>
          <w:sz w:val="24"/>
        </w:rPr>
        <w:t>我公司保证与投标人共同承担该项目的相关法律责任及义务。</w:t>
      </w:r>
    </w:p>
    <w:p>
      <w:pPr>
        <w:spacing w:line="360" w:lineRule="auto"/>
        <w:ind w:firstLine="630"/>
        <w:rPr>
          <w:rFonts w:ascii="宋体" w:hAnsi="宋体"/>
          <w:color w:val="000000"/>
          <w:sz w:val="24"/>
          <w:u w:val="single"/>
        </w:rPr>
      </w:pPr>
      <w:r>
        <w:rPr>
          <w:rFonts w:hint="eastAsia" w:ascii="宋体" w:hAnsi="宋体"/>
          <w:color w:val="000000"/>
          <w:sz w:val="24"/>
        </w:rPr>
        <w:t>贸易公司名称(</w:t>
      </w:r>
      <w:r>
        <w:rPr>
          <w:rFonts w:hint="eastAsia" w:ascii="宋体" w:hAnsi="宋体"/>
          <w:b/>
          <w:bCs/>
          <w:color w:val="000000"/>
          <w:sz w:val="24"/>
        </w:rPr>
        <w:t>如涉及进口产品</w:t>
      </w:r>
      <w:r>
        <w:rPr>
          <w:rFonts w:hint="eastAsia" w:ascii="宋体" w:hAnsi="宋体"/>
          <w:color w:val="000000"/>
          <w:sz w:val="24"/>
        </w:rPr>
        <w:t>)：</w:t>
      </w:r>
    </w:p>
    <w:p>
      <w:pPr>
        <w:spacing w:line="360" w:lineRule="auto"/>
        <w:ind w:firstLine="630"/>
        <w:rPr>
          <w:rFonts w:ascii="宋体" w:hAnsi="宋体"/>
          <w:color w:val="000000"/>
          <w:sz w:val="24"/>
          <w:u w:val="single"/>
        </w:rPr>
      </w:pPr>
      <w:r>
        <w:rPr>
          <w:rFonts w:hint="eastAsia" w:ascii="宋体" w:hAnsi="宋体"/>
          <w:color w:val="000000"/>
          <w:sz w:val="24"/>
        </w:rPr>
        <w:t>出具授权书的生产厂商名称：</w:t>
      </w:r>
    </w:p>
    <w:p>
      <w:pPr>
        <w:spacing w:line="360" w:lineRule="auto"/>
        <w:ind w:firstLine="630"/>
        <w:rPr>
          <w:rFonts w:ascii="宋体" w:hAnsi="宋体"/>
          <w:color w:val="000000"/>
          <w:sz w:val="24"/>
        </w:rPr>
      </w:pPr>
      <w:r>
        <w:rPr>
          <w:rFonts w:hint="eastAsia" w:ascii="宋体" w:hAnsi="宋体"/>
          <w:color w:val="000000"/>
          <w:sz w:val="24"/>
        </w:rPr>
        <w:t>授权人公章：</w:t>
      </w:r>
    </w:p>
    <w:p>
      <w:pPr>
        <w:spacing w:line="360" w:lineRule="auto"/>
        <w:ind w:firstLine="630"/>
        <w:rPr>
          <w:rFonts w:ascii="宋体" w:hAnsi="宋体"/>
          <w:color w:val="000000"/>
          <w:sz w:val="24"/>
          <w:u w:val="single"/>
        </w:rPr>
      </w:pPr>
      <w:r>
        <w:rPr>
          <w:rFonts w:hint="eastAsia" w:ascii="宋体" w:hAnsi="宋体"/>
          <w:color w:val="000000"/>
          <w:sz w:val="24"/>
        </w:rPr>
        <w:t>日      期：</w:t>
      </w:r>
    </w:p>
    <w:p>
      <w:pPr>
        <w:ind w:firstLine="630"/>
        <w:rPr>
          <w:rFonts w:ascii="宋体" w:hAnsi="宋体"/>
          <w:color w:val="000000"/>
          <w:sz w:val="24"/>
          <w:u w:val="single"/>
        </w:rPr>
      </w:pPr>
    </w:p>
    <w:p>
      <w:pPr>
        <w:spacing w:line="360" w:lineRule="auto"/>
        <w:rPr>
          <w:color w:val="000000"/>
        </w:rPr>
      </w:pPr>
    </w:p>
    <w:p>
      <w:pPr>
        <w:pStyle w:val="7"/>
        <w:rPr>
          <w:rFonts w:hAnsi="宋体"/>
          <w:color w:val="000000"/>
          <w:sz w:val="28"/>
        </w:rPr>
      </w:pPr>
      <w:bookmarkStart w:id="167" w:name="_Toc93302872"/>
      <w:bookmarkStart w:id="168" w:name="_Toc145486615"/>
      <w:bookmarkStart w:id="169" w:name="_Toc515390552"/>
      <w:bookmarkStart w:id="170" w:name="_Toc23174"/>
      <w:r>
        <w:rPr>
          <w:rFonts w:hint="eastAsia" w:hAnsi="宋体"/>
          <w:color w:val="000000"/>
          <w:sz w:val="28"/>
        </w:rPr>
        <w:t>十．相关授权或承诺书</w:t>
      </w:r>
      <w:bookmarkEnd w:id="167"/>
      <w:bookmarkEnd w:id="168"/>
      <w:bookmarkEnd w:id="169"/>
      <w:bookmarkEnd w:id="170"/>
    </w:p>
    <w:p>
      <w:pPr>
        <w:spacing w:before="48" w:beforeLines="20" w:after="48" w:afterLines="20" w:line="360" w:lineRule="auto"/>
        <w:ind w:firstLine="482" w:firstLineChars="200"/>
        <w:jc w:val="center"/>
        <w:rPr>
          <w:rFonts w:ascii="宋体" w:hAnsi="宋体"/>
          <w:color w:val="000000"/>
          <w:sz w:val="24"/>
        </w:rPr>
      </w:pPr>
      <w:r>
        <w:rPr>
          <w:rFonts w:hint="eastAsia"/>
          <w:b/>
          <w:color w:val="000000"/>
          <w:sz w:val="24"/>
          <w:szCs w:val="24"/>
          <w:shd w:val="pct10" w:color="auto" w:fill="FFFFFF"/>
        </w:rPr>
        <w:t>（如招标文件无相关产品厂家授权或承诺书要求，不需此件）</w:t>
      </w:r>
    </w:p>
    <w:p>
      <w:pPr>
        <w:pStyle w:val="30"/>
        <w:spacing w:line="360" w:lineRule="auto"/>
        <w:rPr>
          <w:rFonts w:ascii="宋体" w:hAnsi="宋体"/>
          <w:color w:val="000000"/>
          <w:sz w:val="24"/>
        </w:rPr>
      </w:pPr>
      <w:r>
        <w:rPr>
          <w:rFonts w:hint="eastAsia" w:ascii="宋体" w:hAnsi="宋体"/>
          <w:color w:val="000000"/>
          <w:sz w:val="24"/>
        </w:rPr>
        <w:t>致：合肥文旅博览集团有限公司</w:t>
      </w:r>
    </w:p>
    <w:p>
      <w:pPr>
        <w:pStyle w:val="30"/>
        <w:spacing w:line="360" w:lineRule="auto"/>
        <w:rPr>
          <w:color w:val="000000"/>
        </w:rPr>
      </w:pPr>
      <w:r>
        <w:rPr>
          <w:rFonts w:hint="eastAsia" w:ascii="宋体" w:hAnsi="宋体"/>
          <w:b w:val="0"/>
          <w:color w:val="000000"/>
          <w:sz w:val="24"/>
        </w:rPr>
        <w:t>某业主单位</w:t>
      </w:r>
    </w:p>
    <w:p>
      <w:pPr>
        <w:spacing w:line="480" w:lineRule="auto"/>
        <w:ind w:firstLine="482" w:firstLineChars="200"/>
        <w:rPr>
          <w:rFonts w:ascii="宋体" w:hAnsi="宋体"/>
          <w:color w:val="000000"/>
          <w:sz w:val="24"/>
        </w:rPr>
      </w:pPr>
      <w:r>
        <w:rPr>
          <w:rFonts w:hint="eastAsia" w:ascii="宋体" w:hAnsi="宋体"/>
          <w:b/>
          <w:color w:val="000000"/>
          <w:sz w:val="24"/>
          <w:szCs w:val="24"/>
        </w:rPr>
        <w:t>若</w:t>
      </w:r>
      <w:r>
        <w:rPr>
          <w:rFonts w:ascii="宋体" w:hAnsi="宋体"/>
          <w:b/>
          <w:color w:val="000000"/>
          <w:sz w:val="24"/>
          <w:szCs w:val="24"/>
        </w:rPr>
        <w:t>我公司中标，我公司将在</w:t>
      </w:r>
      <w:r>
        <w:rPr>
          <w:rFonts w:hint="eastAsia" w:ascii="宋体" w:hAnsi="宋体"/>
          <w:b/>
          <w:color w:val="000000"/>
          <w:sz w:val="24"/>
          <w:szCs w:val="24"/>
        </w:rPr>
        <w:t>供货前</w:t>
      </w:r>
      <w:r>
        <w:rPr>
          <w:rFonts w:ascii="宋体" w:hAnsi="宋体"/>
          <w:b/>
          <w:color w:val="000000"/>
          <w:sz w:val="24"/>
          <w:szCs w:val="24"/>
        </w:rPr>
        <w:t>向</w:t>
      </w:r>
      <w:r>
        <w:rPr>
          <w:rFonts w:hint="eastAsia" w:ascii="宋体" w:hAnsi="宋体"/>
          <w:b/>
          <w:color w:val="000000"/>
          <w:sz w:val="24"/>
          <w:szCs w:val="24"/>
        </w:rPr>
        <w:t>委托</w:t>
      </w:r>
      <w:r>
        <w:rPr>
          <w:rFonts w:ascii="宋体" w:hAnsi="宋体"/>
          <w:b/>
          <w:color w:val="000000"/>
          <w:sz w:val="24"/>
          <w:szCs w:val="24"/>
        </w:rPr>
        <w:t>人提供</w:t>
      </w:r>
      <w:r>
        <w:rPr>
          <w:rFonts w:hint="eastAsia" w:ascii="宋体" w:hAnsi="宋体"/>
          <w:b/>
          <w:color w:val="000000"/>
          <w:sz w:val="24"/>
          <w:szCs w:val="24"/>
        </w:rPr>
        <w:t>招标文件要求的产品原厂授权、原厂售后服务承诺函、原厂</w:t>
      </w:r>
      <w:r>
        <w:rPr>
          <w:rFonts w:ascii="宋体" w:hAnsi="宋体"/>
          <w:b/>
          <w:color w:val="000000"/>
          <w:sz w:val="24"/>
          <w:szCs w:val="24"/>
        </w:rPr>
        <w:t>技术服务承诺书</w:t>
      </w:r>
      <w:r>
        <w:rPr>
          <w:rFonts w:hint="eastAsia" w:ascii="宋体" w:hAnsi="宋体"/>
          <w:b/>
          <w:color w:val="000000"/>
          <w:sz w:val="24"/>
          <w:szCs w:val="24"/>
        </w:rPr>
        <w:t>（项目负责人可根据项目编制）</w:t>
      </w:r>
      <w:r>
        <w:rPr>
          <w:rFonts w:ascii="宋体" w:hAnsi="宋体"/>
          <w:b/>
          <w:color w:val="000000"/>
          <w:sz w:val="24"/>
          <w:szCs w:val="24"/>
        </w:rPr>
        <w:t>，逾期未提供</w:t>
      </w:r>
      <w:r>
        <w:rPr>
          <w:rFonts w:hint="eastAsia" w:ascii="宋体" w:hAnsi="宋体"/>
          <w:b/>
          <w:color w:val="000000"/>
          <w:sz w:val="24"/>
          <w:szCs w:val="24"/>
        </w:rPr>
        <w:t>或提供不符合要求</w:t>
      </w:r>
      <w:r>
        <w:rPr>
          <w:rFonts w:ascii="宋体" w:hAnsi="宋体"/>
          <w:b/>
          <w:color w:val="000000"/>
          <w:sz w:val="24"/>
          <w:szCs w:val="24"/>
        </w:rPr>
        <w:t>的，</w:t>
      </w:r>
      <w:r>
        <w:rPr>
          <w:rFonts w:hint="eastAsia" w:ascii="宋体" w:hAnsi="宋体"/>
          <w:b/>
          <w:color w:val="000000"/>
          <w:sz w:val="24"/>
          <w:szCs w:val="24"/>
        </w:rPr>
        <w:t>均按我公司</w:t>
      </w:r>
      <w:r>
        <w:rPr>
          <w:rFonts w:ascii="宋体" w:hAnsi="宋体"/>
          <w:b/>
          <w:color w:val="000000"/>
          <w:sz w:val="24"/>
          <w:szCs w:val="24"/>
        </w:rPr>
        <w:t>自</w:t>
      </w:r>
      <w:r>
        <w:rPr>
          <w:rFonts w:hint="eastAsia" w:ascii="宋体" w:hAnsi="宋体"/>
          <w:b/>
          <w:color w:val="000000"/>
          <w:sz w:val="24"/>
          <w:szCs w:val="24"/>
        </w:rPr>
        <w:t>愿</w:t>
      </w:r>
      <w:r>
        <w:rPr>
          <w:rFonts w:ascii="宋体" w:hAnsi="宋体"/>
          <w:b/>
          <w:color w:val="000000"/>
          <w:sz w:val="24"/>
          <w:szCs w:val="24"/>
        </w:rPr>
        <w:t>放弃中标资格处理，由此产生的一切相关责任</w:t>
      </w:r>
      <w:r>
        <w:rPr>
          <w:rFonts w:hint="eastAsia" w:ascii="宋体" w:hAnsi="宋体"/>
          <w:b/>
          <w:color w:val="000000"/>
          <w:sz w:val="24"/>
          <w:szCs w:val="24"/>
        </w:rPr>
        <w:t>和后果</w:t>
      </w:r>
      <w:r>
        <w:rPr>
          <w:rFonts w:ascii="宋体" w:hAnsi="宋体"/>
          <w:b/>
          <w:color w:val="000000"/>
          <w:sz w:val="24"/>
          <w:szCs w:val="24"/>
        </w:rPr>
        <w:t>由</w:t>
      </w:r>
      <w:r>
        <w:rPr>
          <w:rFonts w:hint="eastAsia" w:ascii="宋体" w:hAnsi="宋体"/>
          <w:b/>
          <w:color w:val="000000"/>
          <w:sz w:val="24"/>
          <w:szCs w:val="24"/>
        </w:rPr>
        <w:t>我</w:t>
      </w:r>
      <w:r>
        <w:rPr>
          <w:rFonts w:ascii="宋体" w:hAnsi="宋体"/>
          <w:b/>
          <w:color w:val="000000"/>
          <w:sz w:val="24"/>
          <w:szCs w:val="24"/>
        </w:rPr>
        <w:t>公司</w:t>
      </w:r>
      <w:r>
        <w:rPr>
          <w:rFonts w:hint="eastAsia" w:ascii="宋体" w:hAnsi="宋体"/>
          <w:b/>
          <w:color w:val="000000"/>
          <w:sz w:val="24"/>
          <w:szCs w:val="24"/>
        </w:rPr>
        <w:t>自行</w:t>
      </w:r>
      <w:r>
        <w:rPr>
          <w:rFonts w:ascii="宋体" w:hAnsi="宋体"/>
          <w:b/>
          <w:color w:val="000000"/>
          <w:sz w:val="24"/>
          <w:szCs w:val="24"/>
        </w:rPr>
        <w:t>承担</w:t>
      </w:r>
      <w:r>
        <w:rPr>
          <w:rFonts w:hint="eastAsia" w:ascii="宋体" w:hAnsi="宋体"/>
          <w:color w:val="000000"/>
          <w:sz w:val="24"/>
          <w:szCs w:val="24"/>
        </w:rPr>
        <w:t>。</w:t>
      </w:r>
    </w:p>
    <w:p>
      <w:pPr>
        <w:spacing w:line="360" w:lineRule="auto"/>
        <w:jc w:val="center"/>
        <w:rPr>
          <w:rFonts w:ascii="宋体" w:hAnsi="宋体"/>
          <w:color w:val="000000"/>
          <w:sz w:val="28"/>
          <w:u w:val="single"/>
        </w:rPr>
      </w:pPr>
    </w:p>
    <w:p>
      <w:pPr>
        <w:spacing w:line="360" w:lineRule="auto"/>
        <w:ind w:firstLine="4245" w:firstLineChars="1762"/>
        <w:rPr>
          <w:rFonts w:ascii="宋体"/>
          <w:b/>
          <w:color w:val="000000"/>
          <w:sz w:val="24"/>
          <w:u w:val="single"/>
        </w:rPr>
      </w:pPr>
      <w:r>
        <w:rPr>
          <w:rFonts w:hint="eastAsia" w:ascii="宋体" w:hAnsi="宋体"/>
          <w:b/>
          <w:color w:val="000000"/>
          <w:sz w:val="24"/>
        </w:rPr>
        <w:t>投标人公章：</w:t>
      </w:r>
    </w:p>
    <w:p>
      <w:pPr>
        <w:tabs>
          <w:tab w:val="left" w:pos="4620"/>
        </w:tabs>
        <w:spacing w:line="360" w:lineRule="auto"/>
        <w:ind w:firstLine="4252" w:firstLineChars="1772"/>
        <w:rPr>
          <w:rFonts w:ascii="宋体"/>
          <w:color w:val="000000"/>
          <w:sz w:val="24"/>
          <w:u w:val="single"/>
        </w:rPr>
      </w:pPr>
      <w:r>
        <w:rPr>
          <w:rFonts w:hint="eastAsia" w:ascii="宋体" w:hAnsi="宋体"/>
          <w:color w:val="000000"/>
          <w:sz w:val="24"/>
        </w:rPr>
        <w:t>日期：</w:t>
      </w:r>
    </w:p>
    <w:p>
      <w:pPr>
        <w:pStyle w:val="7"/>
        <w:rPr>
          <w:rFonts w:hAnsi="宋体"/>
          <w:color w:val="000000"/>
          <w:sz w:val="28"/>
        </w:rPr>
      </w:pPr>
      <w:bookmarkStart w:id="171" w:name="_Toc515390554"/>
      <w:bookmarkStart w:id="172" w:name="_Toc93302873"/>
      <w:bookmarkStart w:id="173" w:name="_Toc145486616"/>
      <w:bookmarkStart w:id="174" w:name="_Toc19293"/>
      <w:r>
        <w:rPr>
          <w:rFonts w:hint="eastAsia" w:hAnsi="宋体"/>
          <w:color w:val="000000"/>
          <w:sz w:val="28"/>
        </w:rPr>
        <w:t>十</w:t>
      </w:r>
      <w:r>
        <w:rPr>
          <w:rFonts w:hint="eastAsia" w:hAnsi="宋体"/>
          <w:color w:val="000000"/>
          <w:sz w:val="28"/>
          <w:lang w:val="en-US" w:eastAsia="zh-CN"/>
        </w:rPr>
        <w:t>一</w:t>
      </w:r>
      <w:r>
        <w:rPr>
          <w:rFonts w:hint="eastAsia" w:hAnsi="宋体"/>
          <w:color w:val="000000"/>
          <w:sz w:val="28"/>
        </w:rPr>
        <w:t>．</w:t>
      </w:r>
      <w:bookmarkEnd w:id="171"/>
      <w:bookmarkEnd w:id="172"/>
      <w:bookmarkEnd w:id="173"/>
      <w:r>
        <w:rPr>
          <w:rFonts w:hint="eastAsia" w:hAnsi="宋体"/>
          <w:color w:val="000000"/>
          <w:sz w:val="28"/>
        </w:rPr>
        <w:t>检测报告</w:t>
      </w:r>
      <w:bookmarkEnd w:id="174"/>
    </w:p>
    <w:p>
      <w:pPr>
        <w:jc w:val="center"/>
        <w:rPr>
          <w:rFonts w:ascii="宋体" w:hAnsi="宋体"/>
          <w:color w:val="000000"/>
          <w:sz w:val="24"/>
        </w:rPr>
      </w:pPr>
      <w:r>
        <w:rPr>
          <w:rFonts w:hint="eastAsia" w:ascii="宋体" w:hAnsi="宋体"/>
          <w:color w:val="000000"/>
          <w:sz w:val="24"/>
        </w:rPr>
        <w:t>(投标人可自行制作格式)</w:t>
      </w:r>
    </w:p>
    <w:p>
      <w:pPr>
        <w:jc w:val="center"/>
        <w:rPr>
          <w:rFonts w:ascii="宋体" w:hAnsi="宋体"/>
          <w:color w:val="000000"/>
          <w:sz w:val="24"/>
        </w:rPr>
      </w:pPr>
    </w:p>
    <w:p>
      <w:pPr>
        <w:jc w:val="center"/>
        <w:rPr>
          <w:rFonts w:ascii="宋体" w:hAnsi="宋体"/>
          <w:color w:val="000000"/>
          <w:sz w:val="24"/>
        </w:rPr>
      </w:pPr>
    </w:p>
    <w:p>
      <w:pPr>
        <w:rPr>
          <w:color w:val="000000"/>
        </w:rPr>
      </w:pPr>
      <w:bookmarkStart w:id="175" w:name="_Toc390243257"/>
      <w:bookmarkStart w:id="176" w:name="_Toc391040780"/>
      <w:bookmarkStart w:id="177" w:name="_Toc420342107"/>
      <w:bookmarkStart w:id="178" w:name="_Toc459990156"/>
      <w:bookmarkStart w:id="179" w:name="_Toc471736426"/>
      <w:bookmarkStart w:id="180" w:name="_Toc508363612"/>
    </w:p>
    <w:p>
      <w:pPr>
        <w:rPr>
          <w:color w:val="000000"/>
        </w:rPr>
      </w:pPr>
    </w:p>
    <w:bookmarkEnd w:id="175"/>
    <w:bookmarkEnd w:id="176"/>
    <w:bookmarkEnd w:id="177"/>
    <w:bookmarkEnd w:id="178"/>
    <w:bookmarkEnd w:id="179"/>
    <w:bookmarkEnd w:id="180"/>
    <w:p>
      <w:pPr>
        <w:jc w:val="center"/>
        <w:rPr>
          <w:rFonts w:ascii="宋体" w:hAnsi="宋体"/>
          <w:color w:val="000000"/>
          <w:sz w:val="24"/>
        </w:rPr>
      </w:pPr>
    </w:p>
    <w:p>
      <w:pPr>
        <w:jc w:val="center"/>
        <w:rPr>
          <w:rFonts w:ascii="宋体" w:hAnsi="宋体"/>
          <w:color w:val="000000"/>
          <w:sz w:val="24"/>
        </w:rPr>
      </w:pPr>
    </w:p>
    <w:p>
      <w:pPr>
        <w:pStyle w:val="7"/>
        <w:rPr>
          <w:rFonts w:hAnsi="宋体"/>
          <w:color w:val="000000"/>
          <w:sz w:val="36"/>
          <w:szCs w:val="36"/>
        </w:rPr>
      </w:pPr>
      <w:bookmarkStart w:id="181" w:name="_Toc93302874"/>
      <w:bookmarkStart w:id="182" w:name="_Toc508363613"/>
      <w:bookmarkStart w:id="183" w:name="_Toc145486617"/>
      <w:bookmarkStart w:id="184" w:name="_Toc536542364"/>
      <w:bookmarkStart w:id="185" w:name="_Toc16880"/>
      <w:r>
        <w:rPr>
          <w:rFonts w:hint="eastAsia" w:hAnsi="宋体"/>
          <w:color w:val="000000"/>
          <w:sz w:val="28"/>
        </w:rPr>
        <w:t>十</w:t>
      </w:r>
      <w:r>
        <w:rPr>
          <w:rFonts w:hint="eastAsia" w:hAnsi="宋体"/>
          <w:color w:val="000000"/>
          <w:sz w:val="28"/>
          <w:lang w:val="en-US" w:eastAsia="zh-CN"/>
        </w:rPr>
        <w:t>二</w:t>
      </w:r>
      <w:r>
        <w:rPr>
          <w:rFonts w:hint="eastAsia" w:hAnsi="宋体"/>
          <w:color w:val="000000"/>
          <w:sz w:val="28"/>
        </w:rPr>
        <w:t>．</w:t>
      </w:r>
      <w:bookmarkEnd w:id="181"/>
      <w:bookmarkEnd w:id="182"/>
      <w:bookmarkEnd w:id="183"/>
      <w:bookmarkEnd w:id="184"/>
      <w:r>
        <w:rPr>
          <w:rFonts w:hint="eastAsia" w:hAnsi="宋体"/>
          <w:color w:val="000000"/>
          <w:sz w:val="28"/>
        </w:rPr>
        <w:t>售后服务体系与维保方案</w:t>
      </w:r>
      <w:bookmarkEnd w:id="185"/>
    </w:p>
    <w:p>
      <w:pPr>
        <w:jc w:val="center"/>
        <w:rPr>
          <w:rFonts w:ascii="宋体" w:hAnsi="宋体"/>
          <w:color w:val="000000"/>
          <w:sz w:val="24"/>
        </w:rPr>
      </w:pPr>
      <w:r>
        <w:rPr>
          <w:rFonts w:hint="eastAsia" w:ascii="宋体" w:hAnsi="宋体"/>
          <w:color w:val="000000"/>
          <w:sz w:val="24"/>
        </w:rPr>
        <w:t>(投标人可自行制作格式)</w:t>
      </w:r>
    </w:p>
    <w:p>
      <w:pPr>
        <w:jc w:val="center"/>
        <w:rPr>
          <w:rFonts w:ascii="宋体" w:hAnsi="宋体"/>
          <w:color w:val="000000"/>
          <w:sz w:val="24"/>
        </w:rPr>
      </w:pPr>
    </w:p>
    <w:p>
      <w:pPr>
        <w:jc w:val="center"/>
        <w:rPr>
          <w:rFonts w:ascii="宋体" w:hAnsi="宋体"/>
          <w:color w:val="000000"/>
          <w:sz w:val="24"/>
        </w:rPr>
      </w:pPr>
    </w:p>
    <w:p>
      <w:pPr>
        <w:jc w:val="center"/>
        <w:rPr>
          <w:color w:val="000000"/>
        </w:rPr>
      </w:pPr>
    </w:p>
    <w:p>
      <w:pPr>
        <w:pStyle w:val="7"/>
        <w:rPr>
          <w:rFonts w:hAnsi="宋体"/>
          <w:color w:val="000000"/>
          <w:sz w:val="44"/>
        </w:rPr>
      </w:pPr>
      <w:bookmarkStart w:id="186" w:name="_Toc508363614"/>
      <w:bookmarkStart w:id="187" w:name="_Toc145486618"/>
      <w:bookmarkStart w:id="188" w:name="_Toc93302875"/>
      <w:bookmarkStart w:id="189" w:name="_Toc536542365"/>
      <w:bookmarkStart w:id="190" w:name="_Toc21984"/>
      <w:r>
        <w:rPr>
          <w:rFonts w:hint="eastAsia" w:hAnsi="宋体"/>
          <w:color w:val="000000"/>
          <w:sz w:val="28"/>
        </w:rPr>
        <w:t>十</w:t>
      </w:r>
      <w:r>
        <w:rPr>
          <w:rFonts w:hint="eastAsia" w:hAnsi="宋体"/>
          <w:color w:val="000000"/>
          <w:sz w:val="28"/>
          <w:lang w:val="en-US" w:eastAsia="zh-CN"/>
        </w:rPr>
        <w:t>三</w:t>
      </w:r>
      <w:r>
        <w:rPr>
          <w:rFonts w:hint="eastAsia" w:hAnsi="宋体"/>
          <w:color w:val="000000"/>
          <w:sz w:val="28"/>
        </w:rPr>
        <w:t>．</w:t>
      </w:r>
      <w:bookmarkEnd w:id="186"/>
      <w:bookmarkEnd w:id="187"/>
      <w:bookmarkEnd w:id="188"/>
      <w:bookmarkEnd w:id="189"/>
      <w:r>
        <w:rPr>
          <w:rFonts w:hint="eastAsia" w:hAnsi="宋体"/>
          <w:color w:val="000000"/>
          <w:sz w:val="28"/>
        </w:rPr>
        <w:t>所投货物的技术资料或样本等</w:t>
      </w:r>
      <w:bookmarkEnd w:id="190"/>
    </w:p>
    <w:p>
      <w:pPr>
        <w:jc w:val="center"/>
        <w:rPr>
          <w:rFonts w:ascii="宋体" w:hAnsi="宋体"/>
          <w:color w:val="000000"/>
          <w:sz w:val="24"/>
        </w:rPr>
      </w:pPr>
      <w:r>
        <w:rPr>
          <w:rFonts w:hint="eastAsia" w:ascii="宋体" w:hAnsi="宋体"/>
          <w:color w:val="000000"/>
          <w:sz w:val="24"/>
        </w:rPr>
        <w:t>（投标人可自行制作格式，可附产品技术彩页的扫描件）</w:t>
      </w:r>
    </w:p>
    <w:p>
      <w:pPr>
        <w:jc w:val="center"/>
        <w:rPr>
          <w:rFonts w:ascii="宋体" w:hAnsi="宋体"/>
          <w:color w:val="000000"/>
          <w:sz w:val="24"/>
        </w:rPr>
      </w:pPr>
    </w:p>
    <w:p>
      <w:pPr>
        <w:jc w:val="center"/>
        <w:rPr>
          <w:rFonts w:ascii="宋体" w:hAnsi="宋体"/>
          <w:color w:val="000000"/>
          <w:sz w:val="28"/>
        </w:rPr>
      </w:pPr>
    </w:p>
    <w:p>
      <w:pPr>
        <w:pStyle w:val="7"/>
        <w:spacing w:line="360" w:lineRule="auto"/>
        <w:rPr>
          <w:rFonts w:hAnsi="宋体"/>
          <w:color w:val="000000"/>
          <w:sz w:val="28"/>
        </w:rPr>
      </w:pPr>
      <w:bookmarkStart w:id="191" w:name="_Toc459990159"/>
      <w:bookmarkStart w:id="192" w:name="_Toc536542366"/>
      <w:bookmarkStart w:id="193" w:name="_Toc471736429"/>
      <w:bookmarkStart w:id="194" w:name="_Toc420342110"/>
      <w:bookmarkStart w:id="195" w:name="_Toc93302876"/>
      <w:bookmarkStart w:id="196" w:name="_Toc508363615"/>
      <w:bookmarkStart w:id="197" w:name="_Toc145486619"/>
      <w:bookmarkStart w:id="198" w:name="_Toc31305"/>
      <w:r>
        <w:rPr>
          <w:rFonts w:hint="eastAsia" w:hAnsi="宋体"/>
          <w:color w:val="000000"/>
          <w:sz w:val="28"/>
        </w:rPr>
        <w:t>十</w:t>
      </w:r>
      <w:r>
        <w:rPr>
          <w:rFonts w:hint="eastAsia" w:hAnsi="宋体"/>
          <w:color w:val="000000"/>
          <w:sz w:val="28"/>
          <w:lang w:val="en-US" w:eastAsia="zh-CN"/>
        </w:rPr>
        <w:t>四</w:t>
      </w:r>
      <w:r>
        <w:rPr>
          <w:rFonts w:hint="eastAsia" w:hAnsi="宋体"/>
          <w:color w:val="000000"/>
          <w:sz w:val="28"/>
        </w:rPr>
        <w:t>．</w:t>
      </w:r>
      <w:bookmarkEnd w:id="191"/>
      <w:bookmarkEnd w:id="192"/>
      <w:bookmarkEnd w:id="193"/>
      <w:bookmarkEnd w:id="194"/>
      <w:bookmarkEnd w:id="195"/>
      <w:bookmarkEnd w:id="196"/>
      <w:bookmarkEnd w:id="197"/>
      <w:r>
        <w:rPr>
          <w:rFonts w:hint="eastAsia" w:hAnsi="宋体"/>
          <w:color w:val="000000"/>
          <w:sz w:val="28"/>
        </w:rPr>
        <w:t>投标人认为需提供的其他资料</w:t>
      </w:r>
      <w:bookmarkEnd w:id="198"/>
    </w:p>
    <w:p>
      <w:pPr>
        <w:spacing w:line="500" w:lineRule="exact"/>
        <w:jc w:val="center"/>
        <w:rPr>
          <w:rFonts w:ascii="宋体" w:hAnsi="宋体"/>
          <w:b/>
          <w:bCs/>
          <w:color w:val="000000"/>
          <w:sz w:val="24"/>
          <w:szCs w:val="24"/>
        </w:rPr>
      </w:pPr>
      <w:r>
        <w:rPr>
          <w:rFonts w:hint="eastAsia" w:ascii="宋体" w:hAnsi="宋体"/>
          <w:b/>
          <w:bCs/>
          <w:color w:val="000000"/>
          <w:sz w:val="24"/>
          <w:szCs w:val="24"/>
        </w:rPr>
        <w:t>（</w:t>
      </w:r>
      <w:r>
        <w:rPr>
          <w:rFonts w:hint="eastAsia" w:ascii="宋体" w:hAnsi="宋体"/>
          <w:bCs/>
          <w:color w:val="000000"/>
          <w:sz w:val="24"/>
          <w:szCs w:val="24"/>
        </w:rPr>
        <w:t>投标人可自行制作格式</w:t>
      </w:r>
      <w:r>
        <w:rPr>
          <w:rFonts w:hint="eastAsia" w:ascii="宋体" w:hAnsi="宋体"/>
          <w:b/>
          <w:bCs/>
          <w:color w:val="000000"/>
          <w:sz w:val="24"/>
          <w:szCs w:val="24"/>
        </w:rPr>
        <w:t>）</w:t>
      </w:r>
    </w:p>
    <w:p>
      <w:pPr>
        <w:jc w:val="center"/>
        <w:rPr>
          <w:rFonts w:ascii="宋体" w:hAnsi="宋体"/>
          <w:color w:val="000000"/>
          <w:sz w:val="24"/>
        </w:rPr>
      </w:pPr>
    </w:p>
    <w:p>
      <w:pPr>
        <w:spacing w:line="500" w:lineRule="exact"/>
        <w:jc w:val="center"/>
        <w:rPr>
          <w:rFonts w:ascii="宋体" w:hAnsi="宋体"/>
          <w:color w:val="000000"/>
          <w:sz w:val="28"/>
        </w:rPr>
      </w:pPr>
    </w:p>
    <w:p>
      <w:pPr>
        <w:spacing w:line="500" w:lineRule="exact"/>
        <w:jc w:val="center"/>
        <w:rPr>
          <w:rFonts w:ascii="宋体" w:hAnsi="宋体"/>
          <w:color w:val="000000"/>
          <w:sz w:val="28"/>
        </w:rPr>
      </w:pPr>
    </w:p>
    <w:p>
      <w:pPr>
        <w:pStyle w:val="7"/>
        <w:bidi w:val="0"/>
        <w:rPr>
          <w:rFonts w:hint="eastAsia"/>
          <w:lang w:val="en-US" w:eastAsia="zh-CN"/>
        </w:rPr>
      </w:pPr>
      <w:bookmarkStart w:id="199" w:name="_Toc508363616"/>
      <w:bookmarkStart w:id="200" w:name="_Toc145486620"/>
      <w:bookmarkStart w:id="201" w:name="_Toc536542367"/>
      <w:bookmarkStart w:id="202" w:name="_Toc93302877"/>
      <w:bookmarkStart w:id="203" w:name="_Toc22230"/>
      <w:r>
        <w:rPr>
          <w:rFonts w:hint="eastAsia"/>
          <w:lang w:val="en-US" w:eastAsia="zh-CN"/>
        </w:rPr>
        <w:t xml:space="preserve">十五. </w:t>
      </w:r>
      <w:bookmarkEnd w:id="199"/>
      <w:bookmarkEnd w:id="200"/>
      <w:bookmarkEnd w:id="201"/>
      <w:bookmarkEnd w:id="202"/>
      <w:r>
        <w:rPr>
          <w:rFonts w:hint="eastAsia"/>
          <w:lang w:val="en-US" w:eastAsia="zh-CN"/>
        </w:rPr>
        <w:t>产品质量承诺</w:t>
      </w:r>
      <w:bookmarkEnd w:id="203"/>
    </w:p>
    <w:p>
      <w:pPr>
        <w:spacing w:line="500" w:lineRule="exact"/>
        <w:jc w:val="center"/>
        <w:rPr>
          <w:rFonts w:ascii="宋体" w:hAnsi="宋体"/>
          <w:b/>
          <w:bCs/>
          <w:color w:val="000000"/>
          <w:sz w:val="24"/>
          <w:szCs w:val="24"/>
        </w:rPr>
      </w:pPr>
      <w:r>
        <w:rPr>
          <w:rFonts w:hint="eastAsia" w:ascii="宋体" w:hAnsi="宋体"/>
          <w:b/>
          <w:bCs/>
          <w:color w:val="000000"/>
          <w:sz w:val="24"/>
          <w:szCs w:val="24"/>
        </w:rPr>
        <w:t>（</w:t>
      </w:r>
      <w:r>
        <w:rPr>
          <w:rFonts w:hint="eastAsia" w:ascii="宋体" w:hAnsi="宋体"/>
          <w:bCs/>
          <w:color w:val="000000"/>
          <w:sz w:val="24"/>
          <w:szCs w:val="24"/>
        </w:rPr>
        <w:t>投标人可自行制作格式</w:t>
      </w:r>
      <w:r>
        <w:rPr>
          <w:rFonts w:hint="eastAsia" w:ascii="宋体" w:hAnsi="宋体"/>
          <w:b/>
          <w:bCs/>
          <w:color w:val="000000"/>
          <w:sz w:val="24"/>
          <w:szCs w:val="24"/>
        </w:rPr>
        <w:t>）</w:t>
      </w:r>
    </w:p>
    <w:p>
      <w:pPr>
        <w:spacing w:line="500" w:lineRule="exact"/>
        <w:jc w:val="center"/>
        <w:rPr>
          <w:rFonts w:ascii="宋体" w:hAnsi="宋体"/>
          <w:b/>
          <w:bCs/>
          <w:color w:val="000000"/>
          <w:sz w:val="24"/>
          <w:szCs w:val="24"/>
        </w:rPr>
      </w:pPr>
    </w:p>
    <w:p>
      <w:pPr>
        <w:spacing w:line="500" w:lineRule="exact"/>
        <w:rPr>
          <w:rFonts w:ascii="宋体" w:hAnsi="宋体"/>
          <w:b/>
          <w:bCs/>
          <w:color w:val="000000"/>
          <w:sz w:val="24"/>
          <w:szCs w:val="24"/>
        </w:rPr>
      </w:pPr>
    </w:p>
    <w:p>
      <w:pPr>
        <w:spacing w:line="500" w:lineRule="exact"/>
        <w:rPr>
          <w:rFonts w:ascii="宋体" w:hAnsi="宋体"/>
          <w:b/>
          <w:bCs/>
          <w:color w:val="000000"/>
          <w:sz w:val="24"/>
          <w:szCs w:val="24"/>
        </w:rPr>
      </w:pPr>
    </w:p>
    <w:p>
      <w:pPr>
        <w:pStyle w:val="7"/>
        <w:bidi w:val="0"/>
        <w:rPr>
          <w:rFonts w:hint="eastAsia"/>
          <w:lang w:val="en-US" w:eastAsia="zh-CN"/>
        </w:rPr>
      </w:pPr>
      <w:bookmarkStart w:id="204" w:name="_Toc25733"/>
      <w:r>
        <w:rPr>
          <w:rFonts w:hint="eastAsia"/>
          <w:lang w:val="en-US" w:eastAsia="zh-CN"/>
        </w:rPr>
        <w:t xml:space="preserve">十六. </w:t>
      </w:r>
      <w:bookmarkStart w:id="205" w:name="_Toc93302878"/>
      <w:bookmarkStart w:id="206" w:name="_Toc145486621"/>
      <w:bookmarkStart w:id="207" w:name="_Toc17307116"/>
      <w:bookmarkStart w:id="208" w:name="_Toc19773347"/>
      <w:bookmarkStart w:id="209" w:name="_Toc300210382"/>
      <w:bookmarkStart w:id="210" w:name="_Toc22888343"/>
      <w:bookmarkStart w:id="211" w:name="_Toc18658870"/>
      <w:r>
        <w:rPr>
          <w:rFonts w:hint="eastAsia"/>
          <w:lang w:val="en-US" w:eastAsia="zh-CN"/>
        </w:rPr>
        <w:t>投标保证金退还声明</w:t>
      </w:r>
      <w:bookmarkEnd w:id="204"/>
      <w:bookmarkEnd w:id="205"/>
      <w:bookmarkEnd w:id="206"/>
      <w:bookmarkEnd w:id="207"/>
      <w:bookmarkEnd w:id="208"/>
      <w:bookmarkEnd w:id="209"/>
      <w:bookmarkEnd w:id="210"/>
      <w:bookmarkEnd w:id="211"/>
    </w:p>
    <w:p>
      <w:pPr>
        <w:spacing w:line="480" w:lineRule="auto"/>
        <w:ind w:firstLine="628" w:firstLineChars="262"/>
        <w:rPr>
          <w:rFonts w:hAnsi="Arial"/>
          <w:color w:val="000000"/>
          <w:sz w:val="24"/>
          <w:u w:val="single"/>
        </w:rPr>
      </w:pPr>
      <w:r>
        <w:rPr>
          <w:rFonts w:hint="eastAsia" w:ascii="宋体" w:hAnsi="宋体"/>
          <w:color w:val="000000"/>
          <w:sz w:val="24"/>
        </w:rPr>
        <w:t>项目名称：</w:t>
      </w:r>
    </w:p>
    <w:p>
      <w:pPr>
        <w:spacing w:line="480" w:lineRule="auto"/>
        <w:ind w:firstLine="628" w:firstLineChars="262"/>
        <w:rPr>
          <w:rFonts w:hAnsi="Arial"/>
          <w:color w:val="000000"/>
          <w:sz w:val="24"/>
          <w:u w:val="single"/>
        </w:rPr>
      </w:pPr>
      <w:r>
        <w:rPr>
          <w:rFonts w:hint="eastAsia" w:ascii="宋体" w:hAnsi="宋体"/>
          <w:color w:val="000000"/>
          <w:sz w:val="24"/>
        </w:rPr>
        <w:t>项目编号：</w:t>
      </w:r>
    </w:p>
    <w:p>
      <w:pPr>
        <w:spacing w:line="480" w:lineRule="auto"/>
        <w:ind w:firstLine="628" w:firstLineChars="262"/>
        <w:rPr>
          <w:rFonts w:ascii="宋体" w:hAnsi="宋体"/>
          <w:color w:val="000000"/>
          <w:sz w:val="24"/>
        </w:rPr>
      </w:pPr>
      <w:r>
        <w:rPr>
          <w:rFonts w:hint="eastAsia" w:hAnsi="Arial"/>
          <w:color w:val="000000"/>
          <w:sz w:val="24"/>
        </w:rPr>
        <w:t>投标保证金金额：</w:t>
      </w:r>
    </w:p>
    <w:p>
      <w:pPr>
        <w:spacing w:line="360" w:lineRule="auto"/>
        <w:ind w:firstLine="480" w:firstLineChars="200"/>
        <w:rPr>
          <w:rFonts w:ascii="宋体" w:hAnsi="宋体"/>
          <w:color w:val="000000"/>
          <w:sz w:val="24"/>
        </w:rPr>
      </w:pPr>
      <w:r>
        <w:rPr>
          <w:rFonts w:hint="eastAsia" w:ascii="宋体" w:hAnsi="宋体"/>
          <w:color w:val="000000"/>
          <w:sz w:val="24"/>
        </w:rPr>
        <w:t>我单位投标保证金到期后请汇至如下账号：</w:t>
      </w:r>
    </w:p>
    <w:p>
      <w:pPr>
        <w:spacing w:line="360" w:lineRule="auto"/>
        <w:ind w:firstLine="629"/>
        <w:rPr>
          <w:rFonts w:hAnsi="Arial"/>
          <w:color w:val="000000"/>
          <w:sz w:val="24"/>
          <w:u w:val="single"/>
        </w:rPr>
      </w:pPr>
      <w:r>
        <w:rPr>
          <w:rFonts w:hint="eastAsia" w:hAnsi="Arial"/>
          <w:color w:val="000000"/>
          <w:sz w:val="24"/>
        </w:rPr>
        <w:t>收款单位：</w:t>
      </w:r>
    </w:p>
    <w:p>
      <w:pPr>
        <w:spacing w:line="360" w:lineRule="auto"/>
        <w:ind w:firstLine="629"/>
        <w:rPr>
          <w:rFonts w:hAnsi="Arial"/>
          <w:color w:val="000000"/>
          <w:sz w:val="24"/>
          <w:u w:val="single"/>
        </w:rPr>
      </w:pPr>
      <w:r>
        <w:rPr>
          <w:rFonts w:hint="eastAsia" w:hAnsi="Arial"/>
          <w:color w:val="000000"/>
          <w:sz w:val="24"/>
        </w:rPr>
        <w:t>开户行：</w:t>
      </w:r>
    </w:p>
    <w:p>
      <w:pPr>
        <w:spacing w:line="360" w:lineRule="auto"/>
        <w:ind w:firstLine="629"/>
        <w:rPr>
          <w:rFonts w:hAnsi="Arial"/>
          <w:color w:val="000000"/>
          <w:sz w:val="24"/>
          <w:u w:val="single"/>
        </w:rPr>
      </w:pPr>
      <w:r>
        <w:rPr>
          <w:rFonts w:hint="eastAsia" w:hAnsi="Arial"/>
          <w:color w:val="000000"/>
          <w:sz w:val="24"/>
        </w:rPr>
        <w:t>银行账号：</w:t>
      </w:r>
    </w:p>
    <w:p>
      <w:pPr>
        <w:spacing w:line="360" w:lineRule="auto"/>
        <w:ind w:firstLine="629"/>
        <w:rPr>
          <w:rFonts w:hAnsi="Arial"/>
          <w:color w:val="000000"/>
          <w:sz w:val="24"/>
          <w:u w:val="single"/>
        </w:rPr>
      </w:pPr>
      <w:r>
        <w:rPr>
          <w:rFonts w:hint="eastAsia" w:hAnsi="Arial"/>
          <w:color w:val="000000"/>
          <w:sz w:val="24"/>
        </w:rPr>
        <w:t>电话：</w:t>
      </w:r>
    </w:p>
    <w:p>
      <w:pPr>
        <w:spacing w:line="360" w:lineRule="auto"/>
        <w:ind w:firstLine="629"/>
        <w:rPr>
          <w:rFonts w:ascii="宋体" w:hAnsi="宋体"/>
          <w:color w:val="000000"/>
          <w:sz w:val="24"/>
          <w:u w:val="single"/>
        </w:rPr>
      </w:pPr>
      <w:r>
        <w:rPr>
          <w:rFonts w:hint="eastAsia" w:hAnsi="Arial"/>
          <w:color w:val="000000"/>
          <w:sz w:val="24"/>
        </w:rPr>
        <w:t>地址：</w:t>
      </w:r>
    </w:p>
    <w:p>
      <w:pPr>
        <w:spacing w:line="360" w:lineRule="auto"/>
        <w:ind w:firstLine="629"/>
        <w:rPr>
          <w:rFonts w:hAnsi="Arial"/>
          <w:color w:val="000000"/>
          <w:sz w:val="24"/>
        </w:rPr>
      </w:pPr>
    </w:p>
    <w:p>
      <w:pPr>
        <w:spacing w:line="360" w:lineRule="auto"/>
        <w:ind w:firstLine="629"/>
        <w:rPr>
          <w:rFonts w:hAnsi="Arial"/>
          <w:color w:val="000000"/>
          <w:sz w:val="24"/>
        </w:rPr>
      </w:pPr>
    </w:p>
    <w:p>
      <w:pPr>
        <w:spacing w:line="360" w:lineRule="auto"/>
        <w:ind w:firstLine="629"/>
        <w:rPr>
          <w:rFonts w:hAnsi="Arial"/>
          <w:color w:val="000000"/>
          <w:sz w:val="24"/>
        </w:rPr>
      </w:pPr>
    </w:p>
    <w:p>
      <w:pPr>
        <w:spacing w:line="360" w:lineRule="auto"/>
        <w:ind w:firstLine="629"/>
        <w:rPr>
          <w:rFonts w:hAnsi="Arial"/>
          <w:color w:val="000000"/>
          <w:sz w:val="24"/>
        </w:rPr>
      </w:pPr>
      <w:r>
        <w:rPr>
          <w:rFonts w:hint="eastAsia" w:hAnsi="Arial"/>
          <w:color w:val="000000"/>
          <w:sz w:val="24"/>
        </w:rPr>
        <w:t>附：投标保证金转账凭证扫描件</w:t>
      </w:r>
    </w:p>
    <w:p>
      <w:pPr>
        <w:spacing w:line="360" w:lineRule="auto"/>
        <w:ind w:firstLine="629"/>
        <w:rPr>
          <w:rFonts w:hAnsi="Arial"/>
          <w:color w:val="000000"/>
          <w:sz w:val="24"/>
        </w:rPr>
      </w:pPr>
    </w:p>
    <w:p>
      <w:pPr>
        <w:spacing w:line="360" w:lineRule="auto"/>
        <w:ind w:firstLine="629"/>
        <w:rPr>
          <w:rFonts w:hAnsi="Arial"/>
          <w:color w:val="000000"/>
          <w:sz w:val="24"/>
        </w:rPr>
      </w:pPr>
    </w:p>
    <w:p>
      <w:pPr>
        <w:spacing w:line="360" w:lineRule="auto"/>
        <w:ind w:firstLine="629"/>
        <w:rPr>
          <w:rFonts w:hAnsi="Arial"/>
          <w:color w:val="000000"/>
          <w:sz w:val="24"/>
        </w:rPr>
      </w:pPr>
      <w:r>
        <w:rPr>
          <w:rFonts w:hint="eastAsia" w:hAnsi="Arial"/>
          <w:color w:val="000000"/>
          <w:sz w:val="24"/>
        </w:rPr>
        <w:t>投标人（公章）：</w:t>
      </w:r>
    </w:p>
    <w:p>
      <w:pPr>
        <w:spacing w:line="360" w:lineRule="auto"/>
        <w:ind w:firstLine="629"/>
        <w:rPr>
          <w:rFonts w:hAnsi="Arial"/>
          <w:color w:val="000000"/>
          <w:sz w:val="24"/>
        </w:rPr>
      </w:pPr>
      <w:r>
        <w:rPr>
          <w:rFonts w:hint="eastAsia" w:hAnsi="Arial"/>
          <w:color w:val="000000"/>
          <w:sz w:val="24"/>
        </w:rPr>
        <w:t>企业法人（签字）：</w:t>
      </w:r>
    </w:p>
    <w:p>
      <w:pPr>
        <w:spacing w:line="360" w:lineRule="auto"/>
        <w:ind w:firstLine="629"/>
        <w:rPr>
          <w:rFonts w:hAnsi="Arial"/>
          <w:color w:val="000000"/>
          <w:sz w:val="24"/>
        </w:rPr>
      </w:pPr>
      <w:r>
        <w:rPr>
          <w:rFonts w:hint="eastAsia" w:hAnsi="Arial"/>
          <w:color w:val="000000"/>
          <w:sz w:val="24"/>
        </w:rPr>
        <w:t>授权代表（签字）：</w:t>
      </w:r>
    </w:p>
    <w:p>
      <w:pPr>
        <w:spacing w:line="360" w:lineRule="auto"/>
        <w:ind w:firstLine="629"/>
        <w:rPr>
          <w:rFonts w:hAnsi="Arial"/>
          <w:color w:val="000000"/>
          <w:sz w:val="24"/>
        </w:rPr>
      </w:pPr>
      <w:r>
        <w:rPr>
          <w:rFonts w:hint="eastAsia" w:hAnsi="Arial"/>
          <w:color w:val="000000"/>
          <w:sz w:val="24"/>
        </w:rPr>
        <w:t>年月日</w:t>
      </w:r>
      <w:bookmarkStart w:id="212" w:name="_Toc516969098"/>
      <w:bookmarkEnd w:id="212"/>
      <w:bookmarkStart w:id="213" w:name="_Toc471736410"/>
      <w:bookmarkEnd w:id="213"/>
    </w:p>
    <w:p>
      <w:pPr>
        <w:pStyle w:val="7"/>
        <w:rPr>
          <w:rFonts w:hAnsi="宋体"/>
          <w:b w:val="0"/>
          <w:bCs w:val="0"/>
          <w:color w:val="000000"/>
          <w:sz w:val="24"/>
          <w:szCs w:val="24"/>
        </w:rPr>
      </w:pPr>
    </w:p>
    <w:p>
      <w:pPr>
        <w:rPr>
          <w:color w:val="auto"/>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微软简标宋">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20B0609000101010101"/>
    <w:charset w:val="81"/>
    <w:family w:val="modern"/>
    <w:pitch w:val="default"/>
    <w:sig w:usb0="00000000" w:usb1="00000000" w:usb2="00000030" w:usb3="00000000" w:csb0="4008009F" w:csb1="DFD70000"/>
  </w:font>
  <w:font w:name="Cambria">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3221188"/>
    </w:sdtPr>
    <w:sdtContent>
      <w:sdt>
        <w:sdtPr>
          <w:id w:val="-1705238520"/>
        </w:sdtPr>
        <w:sdtContent>
          <w:p>
            <w:pPr>
              <w:pStyle w:val="33"/>
              <w:ind w:left="2520" w:leftChars="1200" w:firstLine="1890" w:firstLineChars="1050"/>
            </w:pPr>
            <w:r>
              <w:rPr>
                <w:b/>
                <w:bCs/>
                <w:sz w:val="24"/>
                <w:szCs w:val="24"/>
              </w:rPr>
              <w:fldChar w:fldCharType="begin"/>
            </w:r>
            <w:r>
              <w:rPr>
                <w:b/>
                <w:bCs/>
              </w:rPr>
              <w:instrText xml:space="preserve">PAGE</w:instrText>
            </w:r>
            <w:r>
              <w:rPr>
                <w:b/>
                <w:bCs/>
                <w:sz w:val="24"/>
                <w:szCs w:val="24"/>
              </w:rPr>
              <w:fldChar w:fldCharType="separate"/>
            </w:r>
            <w:r>
              <w:rPr>
                <w:b/>
                <w:bCs/>
              </w:rPr>
              <w:t>36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39</w:t>
            </w:r>
            <w:r>
              <w:rPr>
                <w:b/>
                <w:bCs/>
                <w:sz w:val="24"/>
                <w:szCs w:val="24"/>
              </w:rPr>
              <w:fldChar w:fldCharType="end"/>
            </w:r>
          </w:p>
        </w:sdtContent>
      </w:sdt>
    </w:sdtContent>
  </w:sdt>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rFonts w:hint="eastAsia"/>
      </w:rPr>
      <w:t>合肥文旅博览集团有限公司招标文件-</w:t>
    </w:r>
    <w:r>
      <w:rPr>
        <w:rFonts w:hint="eastAsia"/>
        <w:lang w:val="en-US" w:eastAsia="zh-CN"/>
      </w:rPr>
      <w:t>货物</w:t>
    </w:r>
    <w:r>
      <w:rPr>
        <w:rFonts w:hint="eastAsia"/>
      </w:rPr>
      <w:t>类（适用于综合评分法）                       2023版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A01A3"/>
    <w:multiLevelType w:val="singleLevel"/>
    <w:tmpl w:val="B41A01A3"/>
    <w:lvl w:ilvl="0" w:tentative="0">
      <w:start w:val="1"/>
      <w:numFmt w:val="decimal"/>
      <w:suff w:val="nothing"/>
      <w:lvlText w:val="（%1）"/>
      <w:lvlJc w:val="left"/>
    </w:lvl>
  </w:abstractNum>
  <w:abstractNum w:abstractNumId="1">
    <w:nsid w:val="00000005"/>
    <w:multiLevelType w:val="multilevel"/>
    <w:tmpl w:val="00000005"/>
    <w:lvl w:ilvl="0" w:tentative="0">
      <w:start w:val="1"/>
      <w:numFmt w:val="decimal"/>
      <w:pStyle w:val="96"/>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00E0453A"/>
    <w:multiLevelType w:val="multilevel"/>
    <w:tmpl w:val="00E0453A"/>
    <w:lvl w:ilvl="0" w:tentative="0">
      <w:start w:val="1"/>
      <w:numFmt w:val="decimal"/>
      <w:lvlText w:val="%1."/>
      <w:lvlJc w:val="left"/>
      <w:pPr>
        <w:tabs>
          <w:tab w:val="left" w:pos="-420"/>
        </w:tabs>
        <w:ind w:left="0" w:hanging="420"/>
      </w:p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420"/>
        </w:tabs>
        <w:ind w:left="840" w:hanging="420"/>
      </w:pPr>
    </w:lvl>
    <w:lvl w:ilvl="3" w:tentative="0">
      <w:start w:val="1"/>
      <w:numFmt w:val="decimal"/>
      <w:lvlText w:val="%4."/>
      <w:lvlJc w:val="left"/>
      <w:pPr>
        <w:tabs>
          <w:tab w:val="left" w:pos="-420"/>
        </w:tabs>
        <w:ind w:left="1260" w:hanging="420"/>
      </w:pPr>
    </w:lvl>
    <w:lvl w:ilvl="4" w:tentative="0">
      <w:start w:val="1"/>
      <w:numFmt w:val="lowerLetter"/>
      <w:lvlText w:val="%5)"/>
      <w:lvlJc w:val="left"/>
      <w:pPr>
        <w:tabs>
          <w:tab w:val="left" w:pos="-420"/>
        </w:tabs>
        <w:ind w:left="1680" w:hanging="420"/>
      </w:pPr>
    </w:lvl>
    <w:lvl w:ilvl="5" w:tentative="0">
      <w:start w:val="1"/>
      <w:numFmt w:val="lowerRoman"/>
      <w:lvlText w:val="%6."/>
      <w:lvlJc w:val="right"/>
      <w:pPr>
        <w:tabs>
          <w:tab w:val="left" w:pos="-420"/>
        </w:tabs>
        <w:ind w:left="2100" w:hanging="420"/>
      </w:pPr>
    </w:lvl>
    <w:lvl w:ilvl="6" w:tentative="0">
      <w:start w:val="1"/>
      <w:numFmt w:val="decimal"/>
      <w:lvlText w:val="%7."/>
      <w:lvlJc w:val="left"/>
      <w:pPr>
        <w:tabs>
          <w:tab w:val="left" w:pos="-420"/>
        </w:tabs>
        <w:ind w:left="2520" w:hanging="420"/>
      </w:pPr>
    </w:lvl>
    <w:lvl w:ilvl="7" w:tentative="0">
      <w:start w:val="1"/>
      <w:numFmt w:val="lowerLetter"/>
      <w:lvlText w:val="%8)"/>
      <w:lvlJc w:val="left"/>
      <w:pPr>
        <w:tabs>
          <w:tab w:val="left" w:pos="-420"/>
        </w:tabs>
        <w:ind w:left="2940" w:hanging="420"/>
      </w:pPr>
    </w:lvl>
    <w:lvl w:ilvl="8" w:tentative="0">
      <w:start w:val="1"/>
      <w:numFmt w:val="lowerRoman"/>
      <w:lvlText w:val="%9."/>
      <w:lvlJc w:val="right"/>
      <w:pPr>
        <w:tabs>
          <w:tab w:val="left" w:pos="-420"/>
        </w:tabs>
        <w:ind w:left="3360" w:hanging="420"/>
      </w:pPr>
    </w:lvl>
  </w:abstractNum>
  <w:abstractNum w:abstractNumId="3">
    <w:nsid w:val="067C505C"/>
    <w:multiLevelType w:val="singleLevel"/>
    <w:tmpl w:val="067C505C"/>
    <w:lvl w:ilvl="0" w:tentative="0">
      <w:start w:val="1"/>
      <w:numFmt w:val="decimal"/>
      <w:suff w:val="nothing"/>
      <w:lvlText w:val="（%1）"/>
      <w:lvlJc w:val="left"/>
    </w:lvl>
  </w:abstractNum>
  <w:abstractNum w:abstractNumId="4">
    <w:nsid w:val="2E4F3A11"/>
    <w:multiLevelType w:val="multilevel"/>
    <w:tmpl w:val="2E4F3A11"/>
    <w:lvl w:ilvl="0" w:tentative="0">
      <w:start w:val="1"/>
      <w:numFmt w:val="decimal"/>
      <w:pStyle w:val="109"/>
      <w:lvlText w:val="%1"/>
      <w:lvlJc w:val="left"/>
      <w:pPr>
        <w:tabs>
          <w:tab w:val="left" w:pos="425"/>
        </w:tabs>
        <w:ind w:left="425" w:hanging="425"/>
      </w:pPr>
      <w:rPr>
        <w:rFonts w:hint="default" w:ascii="Arial" w:hAnsi="Arial" w:eastAsia="黑体" w:cs="Times New Roman"/>
        <w:b w:val="0"/>
        <w:i w:val="0"/>
        <w:sz w:val="28"/>
        <w:szCs w:val="28"/>
      </w:rPr>
    </w:lvl>
    <w:lvl w:ilvl="1" w:tentative="0">
      <w:start w:val="1"/>
      <w:numFmt w:val="decimal"/>
      <w:pStyle w:val="110"/>
      <w:lvlText w:val="%1.%2"/>
      <w:lvlJc w:val="left"/>
      <w:pPr>
        <w:tabs>
          <w:tab w:val="left" w:pos="992"/>
        </w:tabs>
        <w:ind w:left="992" w:hanging="567"/>
      </w:pPr>
      <w:rPr>
        <w:rFonts w:hint="default" w:ascii="Arial" w:hAnsi="Arial" w:eastAsia="黑体" w:cs="Times New Roman"/>
        <w:b w:val="0"/>
        <w:i w:val="0"/>
        <w:sz w:val="24"/>
        <w:szCs w:val="24"/>
      </w:rPr>
    </w:lvl>
    <w:lvl w:ilvl="2" w:tentative="0">
      <w:start w:val="1"/>
      <w:numFmt w:val="decimal"/>
      <w:pStyle w:val="111"/>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35B76BA5"/>
    <w:multiLevelType w:val="multilevel"/>
    <w:tmpl w:val="35B76B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8716ABE"/>
    <w:multiLevelType w:val="multilevel"/>
    <w:tmpl w:val="48716ABE"/>
    <w:lvl w:ilvl="0" w:tentative="0">
      <w:start w:val="1"/>
      <w:numFmt w:val="decimal"/>
      <w:lvlText w:val="%1"/>
      <w:lvlJc w:val="left"/>
      <w:pPr>
        <w:tabs>
          <w:tab w:val="left" w:pos="2502"/>
        </w:tabs>
        <w:ind w:left="2502" w:hanging="432"/>
      </w:pPr>
    </w:lvl>
    <w:lvl w:ilvl="1" w:tentative="0">
      <w:start w:val="1"/>
      <w:numFmt w:val="decimal"/>
      <w:lvlText w:val="%1.%2"/>
      <w:lvlJc w:val="left"/>
      <w:pPr>
        <w:tabs>
          <w:tab w:val="left" w:pos="2646"/>
        </w:tabs>
        <w:ind w:left="2646" w:hanging="576"/>
      </w:pPr>
    </w:lvl>
    <w:lvl w:ilvl="2" w:tentative="0">
      <w:start w:val="1"/>
      <w:numFmt w:val="decimal"/>
      <w:lvlText w:val="%1.%2.%3"/>
      <w:lvlJc w:val="left"/>
      <w:pPr>
        <w:tabs>
          <w:tab w:val="left" w:pos="2790"/>
        </w:tabs>
        <w:ind w:left="2790" w:hanging="720"/>
      </w:pPr>
    </w:lvl>
    <w:lvl w:ilvl="3" w:tentative="0">
      <w:start w:val="1"/>
      <w:numFmt w:val="decimal"/>
      <w:pStyle w:val="98"/>
      <w:lvlText w:val="%1.%2.%3.%4"/>
      <w:lvlJc w:val="left"/>
      <w:pPr>
        <w:tabs>
          <w:tab w:val="left" w:pos="2934"/>
        </w:tabs>
        <w:ind w:left="2934" w:hanging="864"/>
      </w:pPr>
    </w:lvl>
    <w:lvl w:ilvl="4" w:tentative="0">
      <w:start w:val="1"/>
      <w:numFmt w:val="decimal"/>
      <w:lvlText w:val="%1.%2.%3.%4.%5"/>
      <w:lvlJc w:val="left"/>
      <w:pPr>
        <w:tabs>
          <w:tab w:val="left" w:pos="3078"/>
        </w:tabs>
        <w:ind w:left="3078" w:hanging="1008"/>
      </w:pPr>
    </w:lvl>
    <w:lvl w:ilvl="5" w:tentative="0">
      <w:start w:val="1"/>
      <w:numFmt w:val="decimal"/>
      <w:lvlText w:val="%1.%2.%3.%4.%5.%6"/>
      <w:lvlJc w:val="left"/>
      <w:pPr>
        <w:tabs>
          <w:tab w:val="left" w:pos="3222"/>
        </w:tabs>
        <w:ind w:left="3222" w:hanging="1152"/>
      </w:pPr>
    </w:lvl>
    <w:lvl w:ilvl="6" w:tentative="0">
      <w:start w:val="1"/>
      <w:numFmt w:val="decimal"/>
      <w:lvlText w:val="%1.%2.%3.%4.%5.%6.%7"/>
      <w:lvlJc w:val="left"/>
      <w:pPr>
        <w:tabs>
          <w:tab w:val="left" w:pos="3366"/>
        </w:tabs>
        <w:ind w:left="3366" w:hanging="1296"/>
      </w:pPr>
    </w:lvl>
    <w:lvl w:ilvl="7" w:tentative="0">
      <w:start w:val="1"/>
      <w:numFmt w:val="decimal"/>
      <w:lvlText w:val="%1.%2.%3.%4.%5.%6.%7.%8"/>
      <w:lvlJc w:val="left"/>
      <w:pPr>
        <w:tabs>
          <w:tab w:val="left" w:pos="3510"/>
        </w:tabs>
        <w:ind w:left="3510" w:hanging="1440"/>
      </w:pPr>
    </w:lvl>
    <w:lvl w:ilvl="8" w:tentative="0">
      <w:start w:val="1"/>
      <w:numFmt w:val="decimal"/>
      <w:lvlText w:val="%1.%2.%3.%4.%5.%6.%7.%8.%9"/>
      <w:lvlJc w:val="left"/>
      <w:pPr>
        <w:tabs>
          <w:tab w:val="left" w:pos="3654"/>
        </w:tabs>
        <w:ind w:left="3654" w:hanging="1584"/>
      </w:pPr>
    </w:lvl>
  </w:abstractNum>
  <w:abstractNum w:abstractNumId="7">
    <w:nsid w:val="68B65E7C"/>
    <w:multiLevelType w:val="multilevel"/>
    <w:tmpl w:val="68B65E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EFD3CE5"/>
    <w:multiLevelType w:val="multilevel"/>
    <w:tmpl w:val="6EFD3CE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E753419"/>
    <w:multiLevelType w:val="singleLevel"/>
    <w:tmpl w:val="7E753419"/>
    <w:lvl w:ilvl="0" w:tentative="0">
      <w:start w:val="1"/>
      <w:numFmt w:val="decimal"/>
      <w:lvlText w:val="%1."/>
      <w:lvlJc w:val="left"/>
      <w:pPr>
        <w:tabs>
          <w:tab w:val="left" w:pos="312"/>
        </w:tabs>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7"/>
  </w:num>
  <w:num w:numId="7">
    <w:abstractNumId w:val="8"/>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MTg0ZmY0Y2U0M2NmOTc5MjU5ZDAzZmNkZmI1MTIifQ=="/>
  </w:docVars>
  <w:rsids>
    <w:rsidRoot w:val="008A221B"/>
    <w:rsid w:val="000057BF"/>
    <w:rsid w:val="00051635"/>
    <w:rsid w:val="00083B45"/>
    <w:rsid w:val="00086D11"/>
    <w:rsid w:val="00090897"/>
    <w:rsid w:val="000A7BC4"/>
    <w:rsid w:val="000B0376"/>
    <w:rsid w:val="000B54C9"/>
    <w:rsid w:val="000D4208"/>
    <w:rsid w:val="000E016D"/>
    <w:rsid w:val="00141878"/>
    <w:rsid w:val="00152110"/>
    <w:rsid w:val="00174627"/>
    <w:rsid w:val="00176FF1"/>
    <w:rsid w:val="00180911"/>
    <w:rsid w:val="00186586"/>
    <w:rsid w:val="00192EF4"/>
    <w:rsid w:val="001B249F"/>
    <w:rsid w:val="001F17AE"/>
    <w:rsid w:val="001F3FFB"/>
    <w:rsid w:val="0023575B"/>
    <w:rsid w:val="00255AA1"/>
    <w:rsid w:val="00260674"/>
    <w:rsid w:val="00262743"/>
    <w:rsid w:val="003107BD"/>
    <w:rsid w:val="003350B8"/>
    <w:rsid w:val="00336169"/>
    <w:rsid w:val="00336636"/>
    <w:rsid w:val="00336C2D"/>
    <w:rsid w:val="00352593"/>
    <w:rsid w:val="00352C3C"/>
    <w:rsid w:val="00371100"/>
    <w:rsid w:val="003A28A2"/>
    <w:rsid w:val="003A7096"/>
    <w:rsid w:val="003B0F53"/>
    <w:rsid w:val="003B7208"/>
    <w:rsid w:val="00416406"/>
    <w:rsid w:val="00420B5F"/>
    <w:rsid w:val="00421D5F"/>
    <w:rsid w:val="0044263E"/>
    <w:rsid w:val="00460BD0"/>
    <w:rsid w:val="0046133E"/>
    <w:rsid w:val="0046408A"/>
    <w:rsid w:val="004670F6"/>
    <w:rsid w:val="00467709"/>
    <w:rsid w:val="00475121"/>
    <w:rsid w:val="00475C2A"/>
    <w:rsid w:val="00482A3B"/>
    <w:rsid w:val="004A1BBD"/>
    <w:rsid w:val="004C46DC"/>
    <w:rsid w:val="004C4FD8"/>
    <w:rsid w:val="004C6D9E"/>
    <w:rsid w:val="004E58D9"/>
    <w:rsid w:val="004F0C17"/>
    <w:rsid w:val="0050128E"/>
    <w:rsid w:val="005027D4"/>
    <w:rsid w:val="0050399F"/>
    <w:rsid w:val="005040CF"/>
    <w:rsid w:val="00512E66"/>
    <w:rsid w:val="00513942"/>
    <w:rsid w:val="00526B74"/>
    <w:rsid w:val="00526BFB"/>
    <w:rsid w:val="005367E7"/>
    <w:rsid w:val="00561F07"/>
    <w:rsid w:val="00570621"/>
    <w:rsid w:val="00574DAC"/>
    <w:rsid w:val="00580DF0"/>
    <w:rsid w:val="00581319"/>
    <w:rsid w:val="00581DEF"/>
    <w:rsid w:val="00582501"/>
    <w:rsid w:val="00590930"/>
    <w:rsid w:val="00593C97"/>
    <w:rsid w:val="00594DFE"/>
    <w:rsid w:val="00596BCB"/>
    <w:rsid w:val="005B0BAA"/>
    <w:rsid w:val="005B1724"/>
    <w:rsid w:val="005C1AB7"/>
    <w:rsid w:val="005D18A2"/>
    <w:rsid w:val="005E1272"/>
    <w:rsid w:val="005E2CE1"/>
    <w:rsid w:val="005F3B8F"/>
    <w:rsid w:val="00604EE7"/>
    <w:rsid w:val="00630680"/>
    <w:rsid w:val="0063504F"/>
    <w:rsid w:val="0065117D"/>
    <w:rsid w:val="0065288C"/>
    <w:rsid w:val="00667B80"/>
    <w:rsid w:val="00672D24"/>
    <w:rsid w:val="00685FE8"/>
    <w:rsid w:val="00686627"/>
    <w:rsid w:val="006A109B"/>
    <w:rsid w:val="006A6290"/>
    <w:rsid w:val="006C12DA"/>
    <w:rsid w:val="006D30B2"/>
    <w:rsid w:val="006F321B"/>
    <w:rsid w:val="00716B7A"/>
    <w:rsid w:val="00731D8E"/>
    <w:rsid w:val="00734295"/>
    <w:rsid w:val="00743360"/>
    <w:rsid w:val="00743460"/>
    <w:rsid w:val="00764223"/>
    <w:rsid w:val="00771740"/>
    <w:rsid w:val="007844FE"/>
    <w:rsid w:val="007935E1"/>
    <w:rsid w:val="007B0AD5"/>
    <w:rsid w:val="007B1C1E"/>
    <w:rsid w:val="007C6DDD"/>
    <w:rsid w:val="007D0E54"/>
    <w:rsid w:val="00804F38"/>
    <w:rsid w:val="00810791"/>
    <w:rsid w:val="008204EF"/>
    <w:rsid w:val="00871732"/>
    <w:rsid w:val="00871847"/>
    <w:rsid w:val="00874429"/>
    <w:rsid w:val="00894A45"/>
    <w:rsid w:val="008951C9"/>
    <w:rsid w:val="008A181E"/>
    <w:rsid w:val="008A221B"/>
    <w:rsid w:val="008E53FF"/>
    <w:rsid w:val="00907795"/>
    <w:rsid w:val="00926978"/>
    <w:rsid w:val="00932B0E"/>
    <w:rsid w:val="00954F3C"/>
    <w:rsid w:val="00962FA7"/>
    <w:rsid w:val="00992FB4"/>
    <w:rsid w:val="009C7237"/>
    <w:rsid w:val="009D1530"/>
    <w:rsid w:val="009E5BFA"/>
    <w:rsid w:val="009E6AB7"/>
    <w:rsid w:val="00A01E33"/>
    <w:rsid w:val="00A10237"/>
    <w:rsid w:val="00A21085"/>
    <w:rsid w:val="00A2138F"/>
    <w:rsid w:val="00A25497"/>
    <w:rsid w:val="00A52DB7"/>
    <w:rsid w:val="00AA243F"/>
    <w:rsid w:val="00AA4246"/>
    <w:rsid w:val="00AB0415"/>
    <w:rsid w:val="00AD7A03"/>
    <w:rsid w:val="00AD7B98"/>
    <w:rsid w:val="00B34810"/>
    <w:rsid w:val="00B46386"/>
    <w:rsid w:val="00B766EC"/>
    <w:rsid w:val="00B80988"/>
    <w:rsid w:val="00B83673"/>
    <w:rsid w:val="00B8456E"/>
    <w:rsid w:val="00BA4666"/>
    <w:rsid w:val="00BB513F"/>
    <w:rsid w:val="00BB5709"/>
    <w:rsid w:val="00BB7378"/>
    <w:rsid w:val="00BE72D3"/>
    <w:rsid w:val="00BF4A13"/>
    <w:rsid w:val="00C01590"/>
    <w:rsid w:val="00C058E0"/>
    <w:rsid w:val="00C07947"/>
    <w:rsid w:val="00C33C6E"/>
    <w:rsid w:val="00C42B3B"/>
    <w:rsid w:val="00C64562"/>
    <w:rsid w:val="00C670E0"/>
    <w:rsid w:val="00C8654D"/>
    <w:rsid w:val="00CA6247"/>
    <w:rsid w:val="00CA68C4"/>
    <w:rsid w:val="00CC12AD"/>
    <w:rsid w:val="00CF3922"/>
    <w:rsid w:val="00D05551"/>
    <w:rsid w:val="00D13E0B"/>
    <w:rsid w:val="00D208A3"/>
    <w:rsid w:val="00D3155B"/>
    <w:rsid w:val="00D375F6"/>
    <w:rsid w:val="00D40886"/>
    <w:rsid w:val="00D43943"/>
    <w:rsid w:val="00D51330"/>
    <w:rsid w:val="00D856ED"/>
    <w:rsid w:val="00D93812"/>
    <w:rsid w:val="00D962F9"/>
    <w:rsid w:val="00DA2C67"/>
    <w:rsid w:val="00DB286E"/>
    <w:rsid w:val="00DC1CCE"/>
    <w:rsid w:val="00DC6ED0"/>
    <w:rsid w:val="00DF3CF5"/>
    <w:rsid w:val="00E40E8A"/>
    <w:rsid w:val="00E46030"/>
    <w:rsid w:val="00E53423"/>
    <w:rsid w:val="00E5628E"/>
    <w:rsid w:val="00E67C3D"/>
    <w:rsid w:val="00E720C6"/>
    <w:rsid w:val="00E770AB"/>
    <w:rsid w:val="00E92912"/>
    <w:rsid w:val="00EB0C0F"/>
    <w:rsid w:val="00EF464B"/>
    <w:rsid w:val="00EF6607"/>
    <w:rsid w:val="00F02DF2"/>
    <w:rsid w:val="00F31DB8"/>
    <w:rsid w:val="00F52D2E"/>
    <w:rsid w:val="00F55430"/>
    <w:rsid w:val="00F72F2C"/>
    <w:rsid w:val="00F82C91"/>
    <w:rsid w:val="00FA120A"/>
    <w:rsid w:val="00FB0042"/>
    <w:rsid w:val="00FD02D4"/>
    <w:rsid w:val="00FD1758"/>
    <w:rsid w:val="00FF0C4A"/>
    <w:rsid w:val="00FF3D49"/>
    <w:rsid w:val="01EB315E"/>
    <w:rsid w:val="029A7015"/>
    <w:rsid w:val="02CD7E79"/>
    <w:rsid w:val="03F85E97"/>
    <w:rsid w:val="04456266"/>
    <w:rsid w:val="050E77A0"/>
    <w:rsid w:val="064B23AE"/>
    <w:rsid w:val="069F2D1D"/>
    <w:rsid w:val="06A94433"/>
    <w:rsid w:val="070D1FED"/>
    <w:rsid w:val="079F3DBC"/>
    <w:rsid w:val="082345F9"/>
    <w:rsid w:val="082F41DC"/>
    <w:rsid w:val="08AA04B0"/>
    <w:rsid w:val="09EA0A37"/>
    <w:rsid w:val="0A1D4C4A"/>
    <w:rsid w:val="0AFD39F7"/>
    <w:rsid w:val="0CF51657"/>
    <w:rsid w:val="0DEE7B0C"/>
    <w:rsid w:val="0F622820"/>
    <w:rsid w:val="0FAF1131"/>
    <w:rsid w:val="0FE07842"/>
    <w:rsid w:val="10537193"/>
    <w:rsid w:val="109D17AA"/>
    <w:rsid w:val="10A14638"/>
    <w:rsid w:val="10FB5E9E"/>
    <w:rsid w:val="115A31D4"/>
    <w:rsid w:val="123E3D5D"/>
    <w:rsid w:val="124D02B1"/>
    <w:rsid w:val="13C03EDE"/>
    <w:rsid w:val="156225BE"/>
    <w:rsid w:val="15B84A3F"/>
    <w:rsid w:val="15D561BE"/>
    <w:rsid w:val="1653674E"/>
    <w:rsid w:val="169A6641"/>
    <w:rsid w:val="19A92848"/>
    <w:rsid w:val="19FA064C"/>
    <w:rsid w:val="1BAF2588"/>
    <w:rsid w:val="1E385E02"/>
    <w:rsid w:val="1EA05C0F"/>
    <w:rsid w:val="1EB84E05"/>
    <w:rsid w:val="1F537452"/>
    <w:rsid w:val="1F7C5A10"/>
    <w:rsid w:val="22824F5E"/>
    <w:rsid w:val="23F8139E"/>
    <w:rsid w:val="23FF0293"/>
    <w:rsid w:val="25260C02"/>
    <w:rsid w:val="25A71CF8"/>
    <w:rsid w:val="26100E76"/>
    <w:rsid w:val="26772B46"/>
    <w:rsid w:val="27577D13"/>
    <w:rsid w:val="2B1649FE"/>
    <w:rsid w:val="2B2555BB"/>
    <w:rsid w:val="2C586BD8"/>
    <w:rsid w:val="31AA1332"/>
    <w:rsid w:val="33B54D67"/>
    <w:rsid w:val="3485795C"/>
    <w:rsid w:val="35681F6A"/>
    <w:rsid w:val="35A95B27"/>
    <w:rsid w:val="362863B2"/>
    <w:rsid w:val="38857540"/>
    <w:rsid w:val="392E577C"/>
    <w:rsid w:val="39E42D8F"/>
    <w:rsid w:val="39EE5B8C"/>
    <w:rsid w:val="39F62EDC"/>
    <w:rsid w:val="39FD1AAB"/>
    <w:rsid w:val="3AF34878"/>
    <w:rsid w:val="3B3D5DD9"/>
    <w:rsid w:val="3CC46A9D"/>
    <w:rsid w:val="3E1A5306"/>
    <w:rsid w:val="3E586270"/>
    <w:rsid w:val="3F6A297F"/>
    <w:rsid w:val="43F51BB8"/>
    <w:rsid w:val="45213CF3"/>
    <w:rsid w:val="466F0AD9"/>
    <w:rsid w:val="47917AE9"/>
    <w:rsid w:val="496112C7"/>
    <w:rsid w:val="496B34A9"/>
    <w:rsid w:val="4A6C4E0D"/>
    <w:rsid w:val="4D334BFD"/>
    <w:rsid w:val="4D4B1CA0"/>
    <w:rsid w:val="4D635F37"/>
    <w:rsid w:val="4EDF1E92"/>
    <w:rsid w:val="52E90BF0"/>
    <w:rsid w:val="54D41067"/>
    <w:rsid w:val="562C044C"/>
    <w:rsid w:val="56417418"/>
    <w:rsid w:val="56D27958"/>
    <w:rsid w:val="58B60357"/>
    <w:rsid w:val="5A21612A"/>
    <w:rsid w:val="5A755E8C"/>
    <w:rsid w:val="5AA56412"/>
    <w:rsid w:val="5C251C70"/>
    <w:rsid w:val="5C64226D"/>
    <w:rsid w:val="5C7335D5"/>
    <w:rsid w:val="5C7F3D8B"/>
    <w:rsid w:val="5E675A62"/>
    <w:rsid w:val="5E8050CA"/>
    <w:rsid w:val="5EA66A16"/>
    <w:rsid w:val="5F436414"/>
    <w:rsid w:val="60074B8B"/>
    <w:rsid w:val="602E17FB"/>
    <w:rsid w:val="603C29D1"/>
    <w:rsid w:val="60BE7D9D"/>
    <w:rsid w:val="60CA3A65"/>
    <w:rsid w:val="6253622B"/>
    <w:rsid w:val="640C02E7"/>
    <w:rsid w:val="65FE2536"/>
    <w:rsid w:val="6644257F"/>
    <w:rsid w:val="66D546A6"/>
    <w:rsid w:val="66E46E3B"/>
    <w:rsid w:val="67811F57"/>
    <w:rsid w:val="678D0847"/>
    <w:rsid w:val="68D206C9"/>
    <w:rsid w:val="6959158C"/>
    <w:rsid w:val="6A94006A"/>
    <w:rsid w:val="6C0C4D12"/>
    <w:rsid w:val="6D2766B8"/>
    <w:rsid w:val="6DCB1BFA"/>
    <w:rsid w:val="6E7C28DF"/>
    <w:rsid w:val="6F5E4A9C"/>
    <w:rsid w:val="6F9E07AA"/>
    <w:rsid w:val="6FE31990"/>
    <w:rsid w:val="717706D6"/>
    <w:rsid w:val="72493ABD"/>
    <w:rsid w:val="72D93E4F"/>
    <w:rsid w:val="73316369"/>
    <w:rsid w:val="741D0DC9"/>
    <w:rsid w:val="75503FEC"/>
    <w:rsid w:val="76E1321F"/>
    <w:rsid w:val="777065E9"/>
    <w:rsid w:val="77B646CA"/>
    <w:rsid w:val="78916D8B"/>
    <w:rsid w:val="78A76463"/>
    <w:rsid w:val="7934181B"/>
    <w:rsid w:val="7AE46D4D"/>
    <w:rsid w:val="7BC731BE"/>
    <w:rsid w:val="7CC15558"/>
    <w:rsid w:val="7EA061DF"/>
    <w:rsid w:val="7EAF4468"/>
    <w:rsid w:val="7F1641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name="heading 2"/>
    <w:lsdException w:qFormat="1" w:uiPriority="0" w:semiHidden="0" w:name="heading 3"/>
    <w:lsdException w:qFormat="1" w:uiPriority="0" w:name="heading 4"/>
    <w:lsdException w:qFormat="1" w:uiPriority="0" w:name="heading 5"/>
    <w:lsdException w:qFormat="1" w:uiPriority="0" w:name="heading 6"/>
    <w:lsdException w:qFormat="1" w:uiPriority="9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semiHidden="0" w:name="toc 2"/>
    <w:lsdException w:qFormat="1" w:uiPriority="39" w:semiHidden="0"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qFormat="1" w:uiPriority="99" w:name="index heading"/>
    <w:lsdException w:qFormat="1" w:uiPriority="35" w:name="caption"/>
    <w:lsdException w:uiPriority="99" w:name="table of figures"/>
    <w:lsdException w:uiPriority="99" w:name="envelope address"/>
    <w:lsdException w:qFormat="1"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iPriority="99" w:name="Document Map"/>
    <w:lsdException w:qFormat="1" w:uiPriority="0"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0"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123"/>
    <w:qFormat/>
    <w:uiPriority w:val="99"/>
    <w:pPr>
      <w:keepNext/>
      <w:keepLines/>
      <w:spacing w:before="340" w:after="330" w:line="576" w:lineRule="auto"/>
      <w:outlineLvl w:val="0"/>
    </w:pPr>
    <w:rPr>
      <w:b/>
      <w:bCs/>
      <w:kern w:val="44"/>
      <w:sz w:val="30"/>
      <w:szCs w:val="44"/>
    </w:rPr>
  </w:style>
  <w:style w:type="paragraph" w:styleId="6">
    <w:name w:val="heading 2"/>
    <w:basedOn w:val="1"/>
    <w:next w:val="1"/>
    <w:link w:val="124"/>
    <w:semiHidden/>
    <w:unhideWhenUsed/>
    <w:qFormat/>
    <w:uiPriority w:val="99"/>
    <w:pPr>
      <w:keepNext/>
      <w:keepLines/>
      <w:spacing w:before="260" w:after="260" w:line="415" w:lineRule="auto"/>
      <w:ind w:firstLine="628"/>
      <w:jc w:val="center"/>
      <w:outlineLvl w:val="1"/>
    </w:pPr>
    <w:rPr>
      <w:rFonts w:ascii="Arial" w:hAnsi="Arial" w:eastAsia="黑体"/>
      <w:b/>
      <w:bCs/>
      <w:sz w:val="32"/>
      <w:szCs w:val="32"/>
    </w:rPr>
  </w:style>
  <w:style w:type="paragraph" w:styleId="7">
    <w:name w:val="heading 3"/>
    <w:basedOn w:val="1"/>
    <w:next w:val="1"/>
    <w:link w:val="125"/>
    <w:unhideWhenUsed/>
    <w:qFormat/>
    <w:uiPriority w:val="0"/>
    <w:pPr>
      <w:keepNext/>
      <w:keepLines/>
      <w:spacing w:before="260" w:after="260" w:line="415" w:lineRule="auto"/>
      <w:jc w:val="center"/>
      <w:outlineLvl w:val="2"/>
    </w:pPr>
    <w:rPr>
      <w:rFonts w:ascii="宋体" w:cs="宋体"/>
      <w:b/>
      <w:bCs/>
      <w:sz w:val="32"/>
      <w:szCs w:val="32"/>
    </w:rPr>
  </w:style>
  <w:style w:type="paragraph" w:styleId="8">
    <w:name w:val="heading 4"/>
    <w:basedOn w:val="1"/>
    <w:next w:val="1"/>
    <w:link w:val="126"/>
    <w:semiHidden/>
    <w:unhideWhenUsed/>
    <w:qFormat/>
    <w:uiPriority w:val="0"/>
    <w:pPr>
      <w:keepNext/>
      <w:keepLines/>
      <w:spacing w:before="280" w:after="290" w:line="374" w:lineRule="auto"/>
      <w:outlineLvl w:val="3"/>
    </w:pPr>
    <w:rPr>
      <w:rFonts w:ascii="Arial" w:hAnsi="Arial" w:eastAsia="黑体"/>
      <w:b/>
      <w:bCs/>
      <w:sz w:val="28"/>
      <w:szCs w:val="28"/>
    </w:rPr>
  </w:style>
  <w:style w:type="paragraph" w:styleId="9">
    <w:name w:val="heading 5"/>
    <w:basedOn w:val="1"/>
    <w:next w:val="1"/>
    <w:link w:val="127"/>
    <w:semiHidden/>
    <w:unhideWhenUsed/>
    <w:qFormat/>
    <w:uiPriority w:val="0"/>
    <w:pPr>
      <w:keepNext/>
      <w:outlineLvl w:val="4"/>
    </w:pPr>
    <w:rPr>
      <w:rFonts w:ascii="宋体" w:hAnsi="Arial" w:cs="宋体"/>
      <w:bCs/>
      <w:sz w:val="28"/>
      <w:szCs w:val="20"/>
    </w:rPr>
  </w:style>
  <w:style w:type="paragraph" w:styleId="10">
    <w:name w:val="heading 6"/>
    <w:basedOn w:val="1"/>
    <w:next w:val="1"/>
    <w:link w:val="128"/>
    <w:semiHidden/>
    <w:unhideWhenUsed/>
    <w:qFormat/>
    <w:uiPriority w:val="0"/>
    <w:pPr>
      <w:keepNext/>
      <w:autoSpaceDE w:val="0"/>
      <w:autoSpaceDN w:val="0"/>
      <w:adjustRightInd w:val="0"/>
      <w:spacing w:beforeLines="50" w:afterLines="50" w:line="300" w:lineRule="exact"/>
      <w:jc w:val="center"/>
      <w:outlineLvl w:val="5"/>
    </w:pPr>
    <w:rPr>
      <w:rFonts w:ascii="宋体" w:hAnsi="宋体" w:cs="宋体"/>
      <w:kern w:val="0"/>
      <w:sz w:val="28"/>
      <w:szCs w:val="20"/>
    </w:rPr>
  </w:style>
  <w:style w:type="paragraph" w:styleId="11">
    <w:name w:val="heading 7"/>
    <w:basedOn w:val="1"/>
    <w:next w:val="1"/>
    <w:link w:val="129"/>
    <w:semiHidden/>
    <w:unhideWhenUsed/>
    <w:qFormat/>
    <w:uiPriority w:val="99"/>
    <w:pPr>
      <w:keepNext/>
      <w:keepLines/>
      <w:spacing w:before="240" w:after="64" w:line="319" w:lineRule="auto"/>
      <w:ind w:right="-24" w:rightChars="-10" w:firstLine="464" w:firstLineChars="225"/>
      <w:jc w:val="left"/>
      <w:outlineLvl w:val="6"/>
    </w:pPr>
    <w:rPr>
      <w:rFonts w:ascii="Arial" w:hAnsi="Arial" w:eastAsia="仿宋_GB2312"/>
      <w:b/>
      <w:bCs/>
      <w:spacing w:val="-4"/>
      <w:sz w:val="24"/>
      <w:szCs w:val="24"/>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79"/>
    <w:unhideWhenUsed/>
    <w:qFormat/>
    <w:uiPriority w:val="99"/>
    <w:pPr>
      <w:ind w:firstLine="420" w:firstLineChars="200"/>
    </w:pPr>
  </w:style>
  <w:style w:type="paragraph" w:styleId="3">
    <w:name w:val="Body Text Indent"/>
    <w:basedOn w:val="1"/>
    <w:next w:val="4"/>
    <w:link w:val="78"/>
    <w:semiHidden/>
    <w:unhideWhenUsed/>
    <w:qFormat/>
    <w:uiPriority w:val="99"/>
    <w:pPr>
      <w:spacing w:after="120"/>
      <w:ind w:left="420" w:leftChars="200"/>
    </w:pPr>
  </w:style>
  <w:style w:type="paragraph" w:styleId="4">
    <w:name w:val="envelope return"/>
    <w:basedOn w:val="1"/>
    <w:semiHidden/>
    <w:unhideWhenUsed/>
    <w:qFormat/>
    <w:uiPriority w:val="99"/>
    <w:pPr>
      <w:snapToGrid w:val="0"/>
    </w:pPr>
    <w:rPr>
      <w:rFonts w:ascii="Arial" w:hAnsi="Arial"/>
    </w:rPr>
  </w:style>
  <w:style w:type="paragraph" w:styleId="12">
    <w:name w:val="toc 7"/>
    <w:basedOn w:val="1"/>
    <w:next w:val="1"/>
    <w:semiHidden/>
    <w:unhideWhenUsed/>
    <w:qFormat/>
    <w:uiPriority w:val="99"/>
    <w:pPr>
      <w:ind w:left="1260"/>
      <w:jc w:val="left"/>
    </w:pPr>
    <w:rPr>
      <w:szCs w:val="21"/>
    </w:rPr>
  </w:style>
  <w:style w:type="paragraph" w:styleId="13">
    <w:name w:val="table of authorities"/>
    <w:basedOn w:val="1"/>
    <w:next w:val="1"/>
    <w:semiHidden/>
    <w:unhideWhenUsed/>
    <w:qFormat/>
    <w:uiPriority w:val="99"/>
    <w:pPr>
      <w:ind w:left="420" w:leftChars="200"/>
    </w:pPr>
    <w:rPr>
      <w:szCs w:val="20"/>
    </w:rPr>
  </w:style>
  <w:style w:type="paragraph" w:styleId="14">
    <w:name w:val="index 8"/>
    <w:basedOn w:val="1"/>
    <w:next w:val="1"/>
    <w:semiHidden/>
    <w:unhideWhenUsed/>
    <w:qFormat/>
    <w:uiPriority w:val="99"/>
    <w:pPr>
      <w:ind w:left="1400" w:leftChars="1400"/>
    </w:pPr>
    <w:rPr>
      <w:szCs w:val="20"/>
    </w:rPr>
  </w:style>
  <w:style w:type="paragraph" w:styleId="15">
    <w:name w:val="Normal Indent"/>
    <w:basedOn w:val="1"/>
    <w:next w:val="1"/>
    <w:semiHidden/>
    <w:unhideWhenUsed/>
    <w:qFormat/>
    <w:uiPriority w:val="99"/>
    <w:pPr>
      <w:ind w:firstLine="420" w:firstLineChars="200"/>
    </w:pPr>
    <w:rPr>
      <w:rFonts w:ascii="Calibri" w:hAnsi="Calibri"/>
      <w:szCs w:val="24"/>
    </w:rPr>
  </w:style>
  <w:style w:type="paragraph" w:styleId="16">
    <w:name w:val="index 5"/>
    <w:basedOn w:val="1"/>
    <w:next w:val="1"/>
    <w:semiHidden/>
    <w:unhideWhenUsed/>
    <w:qFormat/>
    <w:uiPriority w:val="99"/>
    <w:pPr>
      <w:ind w:left="800" w:leftChars="800"/>
    </w:pPr>
    <w:rPr>
      <w:szCs w:val="20"/>
    </w:rPr>
  </w:style>
  <w:style w:type="paragraph" w:styleId="17">
    <w:name w:val="Document Map"/>
    <w:basedOn w:val="1"/>
    <w:link w:val="130"/>
    <w:semiHidden/>
    <w:unhideWhenUsed/>
    <w:qFormat/>
    <w:uiPriority w:val="99"/>
    <w:pPr>
      <w:shd w:val="clear" w:color="auto" w:fill="000080"/>
    </w:pPr>
    <w:rPr>
      <w:szCs w:val="20"/>
    </w:rPr>
  </w:style>
  <w:style w:type="paragraph" w:styleId="18">
    <w:name w:val="toa heading"/>
    <w:basedOn w:val="1"/>
    <w:next w:val="1"/>
    <w:semiHidden/>
    <w:unhideWhenUsed/>
    <w:qFormat/>
    <w:uiPriority w:val="99"/>
    <w:pPr>
      <w:spacing w:before="120"/>
    </w:pPr>
    <w:rPr>
      <w:rFonts w:ascii="Arial" w:hAnsi="Arial"/>
      <w:b/>
      <w:bCs/>
      <w:szCs w:val="24"/>
    </w:rPr>
  </w:style>
  <w:style w:type="paragraph" w:styleId="19">
    <w:name w:val="annotation text"/>
    <w:basedOn w:val="1"/>
    <w:link w:val="131"/>
    <w:semiHidden/>
    <w:unhideWhenUsed/>
    <w:qFormat/>
    <w:uiPriority w:val="99"/>
    <w:pPr>
      <w:jc w:val="left"/>
    </w:pPr>
    <w:rPr>
      <w:szCs w:val="20"/>
    </w:rPr>
  </w:style>
  <w:style w:type="paragraph" w:styleId="20">
    <w:name w:val="index 6"/>
    <w:basedOn w:val="1"/>
    <w:next w:val="1"/>
    <w:semiHidden/>
    <w:unhideWhenUsed/>
    <w:qFormat/>
    <w:uiPriority w:val="99"/>
    <w:pPr>
      <w:ind w:left="1000" w:leftChars="1000"/>
    </w:pPr>
    <w:rPr>
      <w:szCs w:val="20"/>
    </w:rPr>
  </w:style>
  <w:style w:type="paragraph" w:styleId="21">
    <w:name w:val="Body Text 3"/>
    <w:basedOn w:val="1"/>
    <w:link w:val="132"/>
    <w:semiHidden/>
    <w:unhideWhenUsed/>
    <w:qFormat/>
    <w:uiPriority w:val="99"/>
    <w:rPr>
      <w:rFonts w:ascii="黑体" w:hAnsi="Arial" w:eastAsia="黑体"/>
      <w:b/>
      <w:sz w:val="28"/>
      <w:szCs w:val="20"/>
    </w:rPr>
  </w:style>
  <w:style w:type="paragraph" w:styleId="22">
    <w:name w:val="Body Text"/>
    <w:basedOn w:val="1"/>
    <w:link w:val="133"/>
    <w:unhideWhenUsed/>
    <w:qFormat/>
    <w:uiPriority w:val="0"/>
    <w:rPr>
      <w:rFonts w:ascii="宋体" w:hAnsi="Arial"/>
      <w:sz w:val="28"/>
      <w:szCs w:val="20"/>
    </w:rPr>
  </w:style>
  <w:style w:type="paragraph" w:styleId="23">
    <w:name w:val="Block Text"/>
    <w:basedOn w:val="1"/>
    <w:semiHidden/>
    <w:unhideWhenUsed/>
    <w:qFormat/>
    <w:uiPriority w:val="99"/>
    <w:pPr>
      <w:spacing w:after="156"/>
    </w:pPr>
    <w:rPr>
      <w:rFonts w:ascii="宋体"/>
    </w:rPr>
  </w:style>
  <w:style w:type="paragraph" w:styleId="24">
    <w:name w:val="index 4"/>
    <w:basedOn w:val="1"/>
    <w:next w:val="1"/>
    <w:semiHidden/>
    <w:unhideWhenUsed/>
    <w:qFormat/>
    <w:uiPriority w:val="99"/>
    <w:pPr>
      <w:ind w:left="600" w:leftChars="600"/>
    </w:pPr>
    <w:rPr>
      <w:szCs w:val="20"/>
    </w:rPr>
  </w:style>
  <w:style w:type="paragraph" w:styleId="25">
    <w:name w:val="toc 5"/>
    <w:basedOn w:val="1"/>
    <w:next w:val="1"/>
    <w:semiHidden/>
    <w:unhideWhenUsed/>
    <w:qFormat/>
    <w:uiPriority w:val="99"/>
    <w:pPr>
      <w:ind w:left="840"/>
      <w:jc w:val="left"/>
    </w:pPr>
    <w:rPr>
      <w:szCs w:val="21"/>
    </w:rPr>
  </w:style>
  <w:style w:type="paragraph" w:styleId="26">
    <w:name w:val="toc 3"/>
    <w:basedOn w:val="1"/>
    <w:next w:val="1"/>
    <w:unhideWhenUsed/>
    <w:qFormat/>
    <w:uiPriority w:val="39"/>
    <w:pPr>
      <w:tabs>
        <w:tab w:val="right" w:leader="dot" w:pos="9403"/>
      </w:tabs>
      <w:spacing w:line="380" w:lineRule="exact"/>
      <w:ind w:left="420"/>
      <w:jc w:val="left"/>
    </w:pPr>
    <w:rPr>
      <w:i/>
      <w:iCs/>
      <w:szCs w:val="24"/>
    </w:rPr>
  </w:style>
  <w:style w:type="paragraph" w:styleId="27">
    <w:name w:val="Plain Text"/>
    <w:basedOn w:val="1"/>
    <w:link w:val="134"/>
    <w:unhideWhenUsed/>
    <w:qFormat/>
    <w:uiPriority w:val="0"/>
    <w:rPr>
      <w:rFonts w:ascii="宋体" w:hAnsi="Courier New"/>
      <w:szCs w:val="20"/>
    </w:rPr>
  </w:style>
  <w:style w:type="paragraph" w:styleId="28">
    <w:name w:val="toc 8"/>
    <w:basedOn w:val="1"/>
    <w:next w:val="1"/>
    <w:semiHidden/>
    <w:unhideWhenUsed/>
    <w:qFormat/>
    <w:uiPriority w:val="99"/>
    <w:pPr>
      <w:ind w:left="1470"/>
      <w:jc w:val="left"/>
    </w:pPr>
    <w:rPr>
      <w:szCs w:val="21"/>
    </w:rPr>
  </w:style>
  <w:style w:type="paragraph" w:styleId="29">
    <w:name w:val="index 3"/>
    <w:basedOn w:val="1"/>
    <w:next w:val="1"/>
    <w:semiHidden/>
    <w:unhideWhenUsed/>
    <w:qFormat/>
    <w:uiPriority w:val="99"/>
    <w:pPr>
      <w:ind w:left="400" w:leftChars="400"/>
    </w:pPr>
    <w:rPr>
      <w:szCs w:val="20"/>
    </w:rPr>
  </w:style>
  <w:style w:type="paragraph" w:styleId="30">
    <w:name w:val="Date"/>
    <w:basedOn w:val="1"/>
    <w:next w:val="1"/>
    <w:link w:val="135"/>
    <w:semiHidden/>
    <w:unhideWhenUsed/>
    <w:qFormat/>
    <w:uiPriority w:val="99"/>
    <w:rPr>
      <w:b/>
      <w:sz w:val="28"/>
      <w:szCs w:val="20"/>
    </w:rPr>
  </w:style>
  <w:style w:type="paragraph" w:styleId="31">
    <w:name w:val="Body Text Indent 2"/>
    <w:basedOn w:val="1"/>
    <w:link w:val="136"/>
    <w:semiHidden/>
    <w:unhideWhenUsed/>
    <w:qFormat/>
    <w:uiPriority w:val="99"/>
    <w:pPr>
      <w:ind w:left="630" w:firstLine="645"/>
    </w:pPr>
    <w:rPr>
      <w:rFonts w:ascii="Arial" w:hAnsi="Arial" w:eastAsia="仿宋_GB2312"/>
      <w:sz w:val="32"/>
      <w:szCs w:val="20"/>
    </w:rPr>
  </w:style>
  <w:style w:type="paragraph" w:styleId="32">
    <w:name w:val="Balloon Text"/>
    <w:basedOn w:val="1"/>
    <w:link w:val="137"/>
    <w:semiHidden/>
    <w:unhideWhenUsed/>
    <w:qFormat/>
    <w:uiPriority w:val="99"/>
    <w:rPr>
      <w:sz w:val="18"/>
      <w:szCs w:val="18"/>
    </w:rPr>
  </w:style>
  <w:style w:type="paragraph" w:styleId="33">
    <w:name w:val="footer"/>
    <w:basedOn w:val="1"/>
    <w:link w:val="70"/>
    <w:unhideWhenUsed/>
    <w:qFormat/>
    <w:uiPriority w:val="99"/>
    <w:pPr>
      <w:tabs>
        <w:tab w:val="center" w:pos="4153"/>
        <w:tab w:val="right" w:pos="8306"/>
      </w:tabs>
      <w:snapToGrid w:val="0"/>
      <w:jc w:val="left"/>
    </w:pPr>
    <w:rPr>
      <w:sz w:val="18"/>
      <w:szCs w:val="18"/>
    </w:rPr>
  </w:style>
  <w:style w:type="paragraph" w:styleId="34">
    <w:name w:val="header"/>
    <w:basedOn w:val="1"/>
    <w:link w:val="69"/>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semiHidden/>
    <w:unhideWhenUsed/>
    <w:qFormat/>
    <w:uiPriority w:val="39"/>
    <w:pPr>
      <w:spacing w:before="120" w:after="120"/>
      <w:jc w:val="left"/>
    </w:pPr>
    <w:rPr>
      <w:caps/>
      <w:szCs w:val="24"/>
    </w:rPr>
  </w:style>
  <w:style w:type="paragraph" w:styleId="36">
    <w:name w:val="toc 4"/>
    <w:basedOn w:val="1"/>
    <w:next w:val="1"/>
    <w:semiHidden/>
    <w:unhideWhenUsed/>
    <w:qFormat/>
    <w:uiPriority w:val="99"/>
    <w:pPr>
      <w:ind w:left="630"/>
      <w:jc w:val="left"/>
    </w:pPr>
    <w:rPr>
      <w:szCs w:val="21"/>
    </w:rPr>
  </w:style>
  <w:style w:type="paragraph" w:styleId="37">
    <w:name w:val="index heading"/>
    <w:basedOn w:val="1"/>
    <w:next w:val="38"/>
    <w:semiHidden/>
    <w:unhideWhenUsed/>
    <w:qFormat/>
    <w:uiPriority w:val="99"/>
    <w:rPr>
      <w:szCs w:val="20"/>
    </w:rPr>
  </w:style>
  <w:style w:type="paragraph" w:styleId="38">
    <w:name w:val="index 1"/>
    <w:basedOn w:val="1"/>
    <w:next w:val="1"/>
    <w:semiHidden/>
    <w:unhideWhenUsed/>
    <w:qFormat/>
    <w:uiPriority w:val="99"/>
  </w:style>
  <w:style w:type="paragraph" w:styleId="39">
    <w:name w:val="toc 6"/>
    <w:basedOn w:val="1"/>
    <w:next w:val="1"/>
    <w:semiHidden/>
    <w:unhideWhenUsed/>
    <w:qFormat/>
    <w:uiPriority w:val="99"/>
    <w:pPr>
      <w:ind w:left="1050"/>
      <w:jc w:val="left"/>
    </w:pPr>
    <w:rPr>
      <w:szCs w:val="21"/>
    </w:rPr>
  </w:style>
  <w:style w:type="paragraph" w:styleId="40">
    <w:name w:val="Body Text Indent 3"/>
    <w:basedOn w:val="1"/>
    <w:link w:val="140"/>
    <w:semiHidden/>
    <w:unhideWhenUsed/>
    <w:qFormat/>
    <w:uiPriority w:val="99"/>
    <w:pPr>
      <w:ind w:firstLine="645"/>
    </w:pPr>
    <w:rPr>
      <w:rFonts w:ascii="仿宋_GB2312" w:hAnsi="Arial" w:eastAsia="仿宋_GB2312"/>
      <w:color w:val="000000"/>
      <w:sz w:val="30"/>
      <w:szCs w:val="20"/>
    </w:rPr>
  </w:style>
  <w:style w:type="paragraph" w:styleId="41">
    <w:name w:val="index 7"/>
    <w:basedOn w:val="1"/>
    <w:next w:val="1"/>
    <w:semiHidden/>
    <w:unhideWhenUsed/>
    <w:qFormat/>
    <w:uiPriority w:val="99"/>
    <w:pPr>
      <w:ind w:left="1200" w:leftChars="1200"/>
    </w:pPr>
    <w:rPr>
      <w:szCs w:val="20"/>
    </w:rPr>
  </w:style>
  <w:style w:type="paragraph" w:styleId="42">
    <w:name w:val="index 9"/>
    <w:basedOn w:val="1"/>
    <w:next w:val="1"/>
    <w:semiHidden/>
    <w:unhideWhenUsed/>
    <w:qFormat/>
    <w:uiPriority w:val="99"/>
    <w:pPr>
      <w:ind w:left="1600" w:leftChars="1600"/>
    </w:pPr>
    <w:rPr>
      <w:szCs w:val="20"/>
    </w:rPr>
  </w:style>
  <w:style w:type="paragraph" w:styleId="43">
    <w:name w:val="toc 2"/>
    <w:basedOn w:val="1"/>
    <w:next w:val="1"/>
    <w:unhideWhenUsed/>
    <w:qFormat/>
    <w:uiPriority w:val="39"/>
    <w:pPr>
      <w:tabs>
        <w:tab w:val="right" w:leader="dot" w:pos="9403"/>
      </w:tabs>
      <w:ind w:left="210"/>
      <w:jc w:val="left"/>
    </w:pPr>
    <w:rPr>
      <w:smallCaps/>
      <w:sz w:val="28"/>
      <w:szCs w:val="24"/>
    </w:rPr>
  </w:style>
  <w:style w:type="paragraph" w:styleId="44">
    <w:name w:val="toc 9"/>
    <w:basedOn w:val="1"/>
    <w:next w:val="1"/>
    <w:semiHidden/>
    <w:unhideWhenUsed/>
    <w:qFormat/>
    <w:uiPriority w:val="99"/>
    <w:pPr>
      <w:ind w:left="1680"/>
      <w:jc w:val="left"/>
    </w:pPr>
    <w:rPr>
      <w:szCs w:val="21"/>
    </w:rPr>
  </w:style>
  <w:style w:type="paragraph" w:styleId="45">
    <w:name w:val="Body Text 2"/>
    <w:basedOn w:val="1"/>
    <w:link w:val="141"/>
    <w:semiHidden/>
    <w:unhideWhenUsed/>
    <w:qFormat/>
    <w:uiPriority w:val="99"/>
    <w:rPr>
      <w:rFonts w:ascii="仿宋_GB2312" w:eastAsia="仿宋_GB2312"/>
      <w:b/>
      <w:sz w:val="24"/>
      <w:szCs w:val="20"/>
    </w:rPr>
  </w:style>
  <w:style w:type="paragraph" w:styleId="46">
    <w:name w:val="HTML Preformatted"/>
    <w:basedOn w:val="1"/>
    <w:link w:val="142"/>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7">
    <w:name w:val="Normal (Web)"/>
    <w:basedOn w:val="1"/>
    <w:semiHidden/>
    <w:unhideWhenUsed/>
    <w:qFormat/>
    <w:uiPriority w:val="99"/>
    <w:pPr>
      <w:widowControl/>
      <w:spacing w:before="100" w:beforeAutospacing="1" w:after="100" w:afterAutospacing="1"/>
      <w:jc w:val="left"/>
    </w:pPr>
    <w:rPr>
      <w:rFonts w:ascii="宋体" w:hAnsi="宋体"/>
      <w:kern w:val="0"/>
      <w:sz w:val="24"/>
      <w:szCs w:val="24"/>
    </w:rPr>
  </w:style>
  <w:style w:type="paragraph" w:styleId="48">
    <w:name w:val="index 2"/>
    <w:basedOn w:val="1"/>
    <w:next w:val="1"/>
    <w:semiHidden/>
    <w:unhideWhenUsed/>
    <w:qFormat/>
    <w:uiPriority w:val="99"/>
    <w:pPr>
      <w:ind w:left="200" w:leftChars="200"/>
    </w:pPr>
    <w:rPr>
      <w:szCs w:val="20"/>
    </w:rPr>
  </w:style>
  <w:style w:type="paragraph" w:styleId="49">
    <w:name w:val="annotation subject"/>
    <w:basedOn w:val="19"/>
    <w:next w:val="19"/>
    <w:link w:val="143"/>
    <w:semiHidden/>
    <w:unhideWhenUsed/>
    <w:qFormat/>
    <w:uiPriority w:val="99"/>
    <w:rPr>
      <w:b/>
      <w:bCs/>
      <w:szCs w:val="22"/>
    </w:rPr>
  </w:style>
  <w:style w:type="paragraph" w:styleId="50">
    <w:name w:val="Body Text First Indent"/>
    <w:basedOn w:val="1"/>
    <w:link w:val="144"/>
    <w:semiHidden/>
    <w:unhideWhenUsed/>
    <w:qFormat/>
    <w:uiPriority w:val="99"/>
    <w:pPr>
      <w:autoSpaceDE w:val="0"/>
      <w:autoSpaceDN w:val="0"/>
      <w:adjustRightInd w:val="0"/>
      <w:spacing w:line="360" w:lineRule="auto"/>
      <w:ind w:right="-24" w:rightChars="-10" w:firstLine="425" w:firstLineChars="225"/>
    </w:pPr>
    <w:rPr>
      <w:rFonts w:ascii="Arial" w:hAnsi="Arial" w:eastAsia="仿宋_GB2312"/>
      <w:sz w:val="24"/>
      <w:szCs w:val="32"/>
    </w:rPr>
  </w:style>
  <w:style w:type="table" w:styleId="52">
    <w:name w:val="Table Grid"/>
    <w:basedOn w:val="5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22"/>
    <w:rPr>
      <w:b/>
      <w:bCs/>
    </w:rPr>
  </w:style>
  <w:style w:type="character" w:styleId="55">
    <w:name w:val="page number"/>
    <w:qFormat/>
    <w:uiPriority w:val="0"/>
  </w:style>
  <w:style w:type="character" w:styleId="56">
    <w:name w:val="FollowedHyperlink"/>
    <w:basedOn w:val="53"/>
    <w:semiHidden/>
    <w:unhideWhenUsed/>
    <w:qFormat/>
    <w:uiPriority w:val="99"/>
    <w:rPr>
      <w:color w:val="954F72" w:themeColor="followedHyperlink"/>
      <w:u w:val="single"/>
      <w14:textFill>
        <w14:solidFill>
          <w14:schemeClr w14:val="folHlink"/>
        </w14:solidFill>
      </w14:textFill>
    </w:rPr>
  </w:style>
  <w:style w:type="character" w:styleId="57">
    <w:name w:val="Emphasis"/>
    <w:qFormat/>
    <w:uiPriority w:val="0"/>
    <w:rPr>
      <w:color w:val="CC0033"/>
    </w:rPr>
  </w:style>
  <w:style w:type="character" w:styleId="58">
    <w:name w:val="HTML Definition"/>
    <w:basedOn w:val="53"/>
    <w:semiHidden/>
    <w:unhideWhenUsed/>
    <w:qFormat/>
    <w:uiPriority w:val="99"/>
  </w:style>
  <w:style w:type="character" w:styleId="59">
    <w:name w:val="HTML Typewriter"/>
    <w:basedOn w:val="53"/>
    <w:semiHidden/>
    <w:unhideWhenUsed/>
    <w:qFormat/>
    <w:uiPriority w:val="99"/>
    <w:rPr>
      <w:rFonts w:hint="default" w:ascii="monospace" w:hAnsi="monospace" w:eastAsia="monospace" w:cs="monospace"/>
      <w:sz w:val="20"/>
    </w:rPr>
  </w:style>
  <w:style w:type="character" w:styleId="60">
    <w:name w:val="HTML Acronym"/>
    <w:basedOn w:val="53"/>
    <w:semiHidden/>
    <w:unhideWhenUsed/>
    <w:qFormat/>
    <w:uiPriority w:val="99"/>
  </w:style>
  <w:style w:type="character" w:styleId="61">
    <w:name w:val="HTML Variable"/>
    <w:basedOn w:val="53"/>
    <w:semiHidden/>
    <w:unhideWhenUsed/>
    <w:qFormat/>
    <w:uiPriority w:val="99"/>
  </w:style>
  <w:style w:type="character" w:styleId="62">
    <w:name w:val="Hyperlink"/>
    <w:unhideWhenUsed/>
    <w:qFormat/>
    <w:uiPriority w:val="99"/>
    <w:rPr>
      <w:color w:val="0000FF"/>
      <w:u w:val="single"/>
    </w:rPr>
  </w:style>
  <w:style w:type="character" w:styleId="63">
    <w:name w:val="HTML Code"/>
    <w:basedOn w:val="53"/>
    <w:semiHidden/>
    <w:unhideWhenUsed/>
    <w:qFormat/>
    <w:uiPriority w:val="99"/>
    <w:rPr>
      <w:rFonts w:hint="default" w:ascii="monospace" w:hAnsi="monospace" w:eastAsia="monospace" w:cs="monospace"/>
      <w:sz w:val="20"/>
    </w:rPr>
  </w:style>
  <w:style w:type="character" w:styleId="64">
    <w:name w:val="annotation reference"/>
    <w:semiHidden/>
    <w:unhideWhenUsed/>
    <w:qFormat/>
    <w:uiPriority w:val="99"/>
    <w:rPr>
      <w:sz w:val="21"/>
      <w:szCs w:val="21"/>
    </w:rPr>
  </w:style>
  <w:style w:type="character" w:styleId="65">
    <w:name w:val="HTML Cite"/>
    <w:basedOn w:val="53"/>
    <w:semiHidden/>
    <w:unhideWhenUsed/>
    <w:qFormat/>
    <w:uiPriority w:val="99"/>
  </w:style>
  <w:style w:type="character" w:styleId="66">
    <w:name w:val="HTML Keyboard"/>
    <w:basedOn w:val="53"/>
    <w:semiHidden/>
    <w:unhideWhenUsed/>
    <w:qFormat/>
    <w:uiPriority w:val="99"/>
    <w:rPr>
      <w:rFonts w:hint="default" w:ascii="monospace" w:hAnsi="monospace" w:eastAsia="monospace" w:cs="monospace"/>
      <w:sz w:val="20"/>
    </w:rPr>
  </w:style>
  <w:style w:type="character" w:styleId="67">
    <w:name w:val="HTML Sample"/>
    <w:basedOn w:val="53"/>
    <w:semiHidden/>
    <w:unhideWhenUsed/>
    <w:qFormat/>
    <w:uiPriority w:val="99"/>
    <w:rPr>
      <w:rFonts w:ascii="monospace" w:hAnsi="monospace" w:eastAsia="monospace" w:cs="monospace"/>
    </w:rPr>
  </w:style>
  <w:style w:type="paragraph" w:customStyle="1" w:styleId="68">
    <w:name w:val="_Style 3"/>
    <w:basedOn w:val="1"/>
    <w:qFormat/>
    <w:uiPriority w:val="99"/>
    <w:pPr>
      <w:ind w:firstLine="420" w:firstLineChars="200"/>
    </w:pPr>
  </w:style>
  <w:style w:type="character" w:customStyle="1" w:styleId="69">
    <w:name w:val="页眉 字符"/>
    <w:basedOn w:val="53"/>
    <w:link w:val="34"/>
    <w:qFormat/>
    <w:uiPriority w:val="99"/>
    <w:rPr>
      <w:sz w:val="18"/>
      <w:szCs w:val="18"/>
    </w:rPr>
  </w:style>
  <w:style w:type="character" w:customStyle="1" w:styleId="70">
    <w:name w:val="页脚 字符"/>
    <w:basedOn w:val="53"/>
    <w:link w:val="33"/>
    <w:qFormat/>
    <w:uiPriority w:val="99"/>
    <w:rPr>
      <w:sz w:val="18"/>
      <w:szCs w:val="18"/>
    </w:rPr>
  </w:style>
  <w:style w:type="character" w:customStyle="1" w:styleId="71">
    <w:name w:val="标题 1 字符"/>
    <w:basedOn w:val="53"/>
    <w:qFormat/>
    <w:uiPriority w:val="9"/>
    <w:rPr>
      <w:rFonts w:ascii="Times New Roman" w:hAnsi="Times New Roman" w:eastAsia="宋体" w:cs="Times New Roman"/>
      <w:b/>
      <w:bCs/>
      <w:kern w:val="44"/>
      <w:sz w:val="44"/>
      <w:szCs w:val="44"/>
    </w:rPr>
  </w:style>
  <w:style w:type="character" w:customStyle="1" w:styleId="72">
    <w:name w:val="标题 2 字符"/>
    <w:basedOn w:val="53"/>
    <w:semiHidden/>
    <w:qFormat/>
    <w:uiPriority w:val="9"/>
    <w:rPr>
      <w:rFonts w:asciiTheme="majorHAnsi" w:hAnsiTheme="majorHAnsi" w:eastAsiaTheme="majorEastAsia" w:cstheme="majorBidi"/>
      <w:b/>
      <w:bCs/>
      <w:sz w:val="32"/>
      <w:szCs w:val="32"/>
    </w:rPr>
  </w:style>
  <w:style w:type="character" w:customStyle="1" w:styleId="73">
    <w:name w:val="标题 3 字符"/>
    <w:basedOn w:val="53"/>
    <w:semiHidden/>
    <w:qFormat/>
    <w:uiPriority w:val="9"/>
    <w:rPr>
      <w:rFonts w:ascii="Times New Roman" w:hAnsi="Times New Roman" w:eastAsia="宋体" w:cs="Times New Roman"/>
      <w:b/>
      <w:bCs/>
      <w:sz w:val="32"/>
      <w:szCs w:val="32"/>
    </w:rPr>
  </w:style>
  <w:style w:type="character" w:customStyle="1" w:styleId="74">
    <w:name w:val="标题 4 字符"/>
    <w:basedOn w:val="53"/>
    <w:semiHidden/>
    <w:qFormat/>
    <w:uiPriority w:val="9"/>
    <w:rPr>
      <w:rFonts w:asciiTheme="majorHAnsi" w:hAnsiTheme="majorHAnsi" w:eastAsiaTheme="majorEastAsia" w:cstheme="majorBidi"/>
      <w:b/>
      <w:bCs/>
      <w:sz w:val="28"/>
      <w:szCs w:val="28"/>
    </w:rPr>
  </w:style>
  <w:style w:type="character" w:customStyle="1" w:styleId="75">
    <w:name w:val="标题 5 字符"/>
    <w:basedOn w:val="53"/>
    <w:semiHidden/>
    <w:qFormat/>
    <w:uiPriority w:val="9"/>
    <w:rPr>
      <w:rFonts w:ascii="Times New Roman" w:hAnsi="Times New Roman" w:eastAsia="宋体" w:cs="Times New Roman"/>
      <w:b/>
      <w:bCs/>
      <w:sz w:val="28"/>
      <w:szCs w:val="28"/>
    </w:rPr>
  </w:style>
  <w:style w:type="character" w:customStyle="1" w:styleId="76">
    <w:name w:val="标题 6 字符"/>
    <w:basedOn w:val="53"/>
    <w:semiHidden/>
    <w:qFormat/>
    <w:uiPriority w:val="9"/>
    <w:rPr>
      <w:rFonts w:asciiTheme="majorHAnsi" w:hAnsiTheme="majorHAnsi" w:eastAsiaTheme="majorEastAsia" w:cstheme="majorBidi"/>
      <w:b/>
      <w:bCs/>
      <w:sz w:val="24"/>
      <w:szCs w:val="24"/>
    </w:rPr>
  </w:style>
  <w:style w:type="character" w:customStyle="1" w:styleId="77">
    <w:name w:val="标题 7 字符"/>
    <w:basedOn w:val="53"/>
    <w:semiHidden/>
    <w:qFormat/>
    <w:uiPriority w:val="9"/>
    <w:rPr>
      <w:rFonts w:ascii="Times New Roman" w:hAnsi="Times New Roman" w:eastAsia="宋体" w:cs="Times New Roman"/>
      <w:b/>
      <w:bCs/>
      <w:sz w:val="24"/>
      <w:szCs w:val="24"/>
    </w:rPr>
  </w:style>
  <w:style w:type="character" w:customStyle="1" w:styleId="78">
    <w:name w:val="正文文本缩进 字符"/>
    <w:basedOn w:val="53"/>
    <w:link w:val="3"/>
    <w:semiHidden/>
    <w:qFormat/>
    <w:uiPriority w:val="99"/>
    <w:rPr>
      <w:rFonts w:ascii="Times New Roman" w:hAnsi="Times New Roman" w:eastAsia="宋体" w:cs="Times New Roman"/>
    </w:rPr>
  </w:style>
  <w:style w:type="character" w:customStyle="1" w:styleId="79">
    <w:name w:val="正文首行缩进 2 字符"/>
    <w:basedOn w:val="78"/>
    <w:link w:val="2"/>
    <w:qFormat/>
    <w:uiPriority w:val="99"/>
    <w:rPr>
      <w:rFonts w:ascii="Times New Roman" w:hAnsi="Times New Roman" w:eastAsia="宋体" w:cs="Times New Roman"/>
    </w:rPr>
  </w:style>
  <w:style w:type="character" w:customStyle="1" w:styleId="80">
    <w:name w:val="HTML 预设格式 字符"/>
    <w:basedOn w:val="53"/>
    <w:semiHidden/>
    <w:qFormat/>
    <w:uiPriority w:val="99"/>
    <w:rPr>
      <w:rFonts w:ascii="Courier New" w:hAnsi="Courier New" w:eastAsia="宋体" w:cs="Courier New"/>
      <w:sz w:val="20"/>
      <w:szCs w:val="20"/>
    </w:rPr>
  </w:style>
  <w:style w:type="paragraph" w:customStyle="1" w:styleId="81">
    <w:name w:val="msonormal"/>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82">
    <w:name w:val="批注文字 字符"/>
    <w:basedOn w:val="53"/>
    <w:semiHidden/>
    <w:qFormat/>
    <w:uiPriority w:val="99"/>
    <w:rPr>
      <w:rFonts w:ascii="Times New Roman" w:hAnsi="Times New Roman" w:eastAsia="宋体" w:cs="Times New Roman"/>
    </w:rPr>
  </w:style>
  <w:style w:type="character" w:customStyle="1" w:styleId="83">
    <w:name w:val="正文文本 字符"/>
    <w:basedOn w:val="53"/>
    <w:semiHidden/>
    <w:qFormat/>
    <w:uiPriority w:val="99"/>
    <w:rPr>
      <w:rFonts w:ascii="Times New Roman" w:hAnsi="Times New Roman" w:eastAsia="宋体" w:cs="Times New Roman"/>
    </w:rPr>
  </w:style>
  <w:style w:type="character" w:customStyle="1" w:styleId="84">
    <w:name w:val="日期 字符"/>
    <w:basedOn w:val="53"/>
    <w:semiHidden/>
    <w:qFormat/>
    <w:uiPriority w:val="99"/>
    <w:rPr>
      <w:rFonts w:ascii="Times New Roman" w:hAnsi="Times New Roman" w:eastAsia="宋体" w:cs="Times New Roman"/>
    </w:rPr>
  </w:style>
  <w:style w:type="character" w:customStyle="1" w:styleId="85">
    <w:name w:val="正文首行缩进 字符"/>
    <w:basedOn w:val="83"/>
    <w:semiHidden/>
    <w:qFormat/>
    <w:uiPriority w:val="99"/>
    <w:rPr>
      <w:rFonts w:ascii="Times New Roman" w:hAnsi="Times New Roman" w:eastAsia="宋体" w:cs="Times New Roman"/>
    </w:rPr>
  </w:style>
  <w:style w:type="character" w:customStyle="1" w:styleId="86">
    <w:name w:val="正文文本 2 字符"/>
    <w:basedOn w:val="53"/>
    <w:semiHidden/>
    <w:qFormat/>
    <w:uiPriority w:val="99"/>
    <w:rPr>
      <w:rFonts w:ascii="Times New Roman" w:hAnsi="Times New Roman" w:eastAsia="宋体" w:cs="Times New Roman"/>
    </w:rPr>
  </w:style>
  <w:style w:type="character" w:customStyle="1" w:styleId="87">
    <w:name w:val="正文文本 3 字符"/>
    <w:basedOn w:val="53"/>
    <w:semiHidden/>
    <w:qFormat/>
    <w:uiPriority w:val="99"/>
    <w:rPr>
      <w:rFonts w:ascii="Times New Roman" w:hAnsi="Times New Roman" w:eastAsia="宋体" w:cs="Times New Roman"/>
      <w:sz w:val="16"/>
      <w:szCs w:val="16"/>
    </w:rPr>
  </w:style>
  <w:style w:type="character" w:customStyle="1" w:styleId="88">
    <w:name w:val="正文文本缩进 2 字符"/>
    <w:basedOn w:val="53"/>
    <w:semiHidden/>
    <w:qFormat/>
    <w:uiPriority w:val="99"/>
    <w:rPr>
      <w:rFonts w:ascii="Times New Roman" w:hAnsi="Times New Roman" w:eastAsia="宋体" w:cs="Times New Roman"/>
    </w:rPr>
  </w:style>
  <w:style w:type="character" w:customStyle="1" w:styleId="89">
    <w:name w:val="正文文本缩进 3 字符"/>
    <w:basedOn w:val="53"/>
    <w:semiHidden/>
    <w:qFormat/>
    <w:uiPriority w:val="99"/>
    <w:rPr>
      <w:rFonts w:ascii="Times New Roman" w:hAnsi="Times New Roman" w:eastAsia="宋体" w:cs="Times New Roman"/>
      <w:sz w:val="16"/>
      <w:szCs w:val="16"/>
    </w:rPr>
  </w:style>
  <w:style w:type="character" w:customStyle="1" w:styleId="90">
    <w:name w:val="文档结构图 字符"/>
    <w:basedOn w:val="53"/>
    <w:semiHidden/>
    <w:qFormat/>
    <w:uiPriority w:val="99"/>
    <w:rPr>
      <w:rFonts w:ascii="Microsoft YaHei UI" w:hAnsi="Times New Roman" w:eastAsia="Microsoft YaHei UI" w:cs="Times New Roman"/>
      <w:sz w:val="18"/>
      <w:szCs w:val="18"/>
    </w:rPr>
  </w:style>
  <w:style w:type="character" w:customStyle="1" w:styleId="91">
    <w:name w:val="纯文本 字符"/>
    <w:basedOn w:val="53"/>
    <w:semiHidden/>
    <w:qFormat/>
    <w:uiPriority w:val="99"/>
    <w:rPr>
      <w:rFonts w:hAnsi="Courier New" w:cs="Courier New" w:asciiTheme="minorEastAsia"/>
    </w:rPr>
  </w:style>
  <w:style w:type="character" w:customStyle="1" w:styleId="92">
    <w:name w:val="批注主题 字符"/>
    <w:basedOn w:val="82"/>
    <w:semiHidden/>
    <w:qFormat/>
    <w:uiPriority w:val="99"/>
    <w:rPr>
      <w:rFonts w:ascii="Times New Roman" w:hAnsi="Times New Roman" w:eastAsia="宋体" w:cs="Times New Roman"/>
      <w:b/>
      <w:bCs/>
    </w:rPr>
  </w:style>
  <w:style w:type="character" w:customStyle="1" w:styleId="93">
    <w:name w:val="批注框文本 字符"/>
    <w:basedOn w:val="53"/>
    <w:semiHidden/>
    <w:qFormat/>
    <w:uiPriority w:val="99"/>
    <w:rPr>
      <w:rFonts w:ascii="Times New Roman" w:hAnsi="Times New Roman" w:eastAsia="宋体" w:cs="Times New Roman"/>
      <w:sz w:val="18"/>
      <w:szCs w:val="18"/>
    </w:rPr>
  </w:style>
  <w:style w:type="paragraph" w:styleId="94">
    <w:name w:val="List Paragraph"/>
    <w:basedOn w:val="1"/>
    <w:qFormat/>
    <w:uiPriority w:val="34"/>
    <w:pPr>
      <w:ind w:firstLine="420" w:firstLineChars="200"/>
    </w:pPr>
  </w:style>
  <w:style w:type="character" w:customStyle="1" w:styleId="95">
    <w:name w:val="样式1 Char Char"/>
    <w:link w:val="96"/>
    <w:qFormat/>
    <w:locked/>
    <w:uiPriority w:val="0"/>
    <w:rPr>
      <w:rFonts w:ascii="宋体" w:hAnsi="宋体" w:eastAsia="宋体"/>
    </w:rPr>
  </w:style>
  <w:style w:type="paragraph" w:customStyle="1" w:styleId="96">
    <w:name w:val="样式1"/>
    <w:basedOn w:val="1"/>
    <w:link w:val="95"/>
    <w:qFormat/>
    <w:uiPriority w:val="0"/>
    <w:pPr>
      <w:numPr>
        <w:ilvl w:val="0"/>
        <w:numId w:val="1"/>
      </w:numPr>
      <w:adjustRightInd w:val="0"/>
    </w:pPr>
    <w:rPr>
      <w:rFonts w:ascii="宋体" w:hAnsi="宋体" w:cstheme="minorBidi"/>
    </w:rPr>
  </w:style>
  <w:style w:type="paragraph" w:customStyle="1" w:styleId="97">
    <w:name w:val="p0"/>
    <w:basedOn w:val="1"/>
    <w:qFormat/>
    <w:uiPriority w:val="99"/>
    <w:pPr>
      <w:widowControl/>
    </w:pPr>
    <w:rPr>
      <w:kern w:val="0"/>
      <w:szCs w:val="21"/>
    </w:rPr>
  </w:style>
  <w:style w:type="paragraph" w:customStyle="1" w:styleId="98">
    <w:name w:val="SUR-需求定义-第4级"/>
    <w:basedOn w:val="8"/>
    <w:next w:val="1"/>
    <w:qFormat/>
    <w:uiPriority w:val="99"/>
    <w:pPr>
      <w:numPr>
        <w:ilvl w:val="3"/>
        <w:numId w:val="2"/>
      </w:numPr>
      <w:tabs>
        <w:tab w:val="left" w:pos="1080"/>
      </w:tabs>
      <w:spacing w:before="0" w:after="0"/>
      <w:ind w:left="-283" w:firstLine="283"/>
      <w:jc w:val="left"/>
    </w:pPr>
    <w:rPr>
      <w:rFonts w:cs="Arial"/>
      <w:b w:val="0"/>
      <w:color w:val="0000FF"/>
      <w:sz w:val="24"/>
      <w:szCs w:val="24"/>
    </w:rPr>
  </w:style>
  <w:style w:type="paragraph" w:customStyle="1" w:styleId="99">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幼圆" w:hAnsi="宋体" w:eastAsia="幼圆"/>
      <w:kern w:val="0"/>
      <w:sz w:val="32"/>
      <w:szCs w:val="32"/>
    </w:rPr>
  </w:style>
  <w:style w:type="paragraph" w:customStyle="1" w:styleId="10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01">
    <w:name w:val="列出段落1"/>
    <w:basedOn w:val="1"/>
    <w:qFormat/>
    <w:uiPriority w:val="34"/>
    <w:pPr>
      <w:adjustRightInd w:val="0"/>
      <w:spacing w:line="360" w:lineRule="atLeast"/>
      <w:ind w:firstLine="420" w:firstLineChars="200"/>
      <w:jc w:val="left"/>
    </w:pPr>
    <w:rPr>
      <w:kern w:val="0"/>
      <w:sz w:val="24"/>
      <w:szCs w:val="20"/>
    </w:rPr>
  </w:style>
  <w:style w:type="paragraph" w:customStyle="1" w:styleId="102">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103">
    <w:name w:val="font6"/>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104">
    <w:name w:val="正文_0"/>
    <w:qFormat/>
    <w:uiPriority w:val="99"/>
    <w:pPr>
      <w:widowControl w:val="0"/>
      <w:jc w:val="both"/>
    </w:pPr>
    <w:rPr>
      <w:rFonts w:ascii="Tahoma" w:hAnsi="Tahoma" w:eastAsia="宋体" w:cs="Tahoma"/>
      <w:kern w:val="2"/>
      <w:sz w:val="21"/>
      <w:szCs w:val="22"/>
      <w:lang w:val="en-US" w:eastAsia="zh-CN" w:bidi="ar-SA"/>
    </w:rPr>
  </w:style>
  <w:style w:type="paragraph" w:customStyle="1" w:styleId="105">
    <w:name w:val="Char"/>
    <w:basedOn w:val="1"/>
    <w:qFormat/>
    <w:uiPriority w:val="99"/>
    <w:rPr>
      <w:rFonts w:ascii="Tahoma" w:hAnsi="Tahoma"/>
      <w:sz w:val="24"/>
      <w:szCs w:val="20"/>
    </w:rPr>
  </w:style>
  <w:style w:type="paragraph" w:customStyle="1" w:styleId="106">
    <w:name w:val="基本文字 Char"/>
    <w:basedOn w:val="1"/>
    <w:qFormat/>
    <w:uiPriority w:val="99"/>
    <w:pPr>
      <w:spacing w:before="156" w:line="400" w:lineRule="atLeast"/>
      <w:ind w:firstLine="540" w:firstLineChars="225"/>
    </w:pPr>
    <w:rPr>
      <w:sz w:val="24"/>
      <w:szCs w:val="20"/>
    </w:rPr>
  </w:style>
  <w:style w:type="paragraph" w:customStyle="1" w:styleId="107">
    <w:name w:val="正文（缩进）"/>
    <w:basedOn w:val="1"/>
    <w:qFormat/>
    <w:uiPriority w:val="99"/>
    <w:pPr>
      <w:widowControl/>
      <w:spacing w:before="156" w:after="156"/>
      <w:ind w:firstLine="480" w:firstLineChars="200"/>
      <w:jc w:val="left"/>
    </w:pPr>
    <w:rPr>
      <w:rFonts w:ascii="仿宋_GB2312" w:eastAsia="仿宋_GB2312"/>
      <w:kern w:val="0"/>
      <w:sz w:val="24"/>
      <w:szCs w:val="24"/>
    </w:rPr>
  </w:style>
  <w:style w:type="paragraph" w:customStyle="1" w:styleId="108">
    <w:name w:val="font7"/>
    <w:basedOn w:val="1"/>
    <w:qFormat/>
    <w:uiPriority w:val="99"/>
    <w:pPr>
      <w:widowControl/>
      <w:spacing w:before="100" w:beforeAutospacing="1" w:after="100" w:afterAutospacing="1"/>
      <w:jc w:val="left"/>
    </w:pPr>
    <w:rPr>
      <w:rFonts w:ascii="幼圆" w:hAnsi="宋体" w:eastAsia="幼圆"/>
      <w:kern w:val="0"/>
      <w:sz w:val="32"/>
      <w:szCs w:val="32"/>
    </w:rPr>
  </w:style>
  <w:style w:type="paragraph" w:customStyle="1" w:styleId="109">
    <w:name w:val="二级标题"/>
    <w:basedOn w:val="1"/>
    <w:next w:val="110"/>
    <w:qFormat/>
    <w:uiPriority w:val="99"/>
    <w:pPr>
      <w:numPr>
        <w:ilvl w:val="0"/>
        <w:numId w:val="3"/>
      </w:numPr>
      <w:tabs>
        <w:tab w:val="left" w:pos="992"/>
        <w:tab w:val="clear" w:pos="425"/>
      </w:tabs>
      <w:ind w:left="992" w:hanging="567"/>
      <w:outlineLvl w:val="1"/>
    </w:pPr>
    <w:rPr>
      <w:rFonts w:ascii="黑体" w:eastAsia="黑体"/>
      <w:sz w:val="28"/>
      <w:szCs w:val="24"/>
    </w:rPr>
  </w:style>
  <w:style w:type="paragraph" w:customStyle="1" w:styleId="110">
    <w:name w:val="文章正文"/>
    <w:basedOn w:val="1"/>
    <w:qFormat/>
    <w:uiPriority w:val="99"/>
    <w:pPr>
      <w:numPr>
        <w:ilvl w:val="1"/>
        <w:numId w:val="3"/>
      </w:numPr>
      <w:spacing w:beforeLines="50" w:line="320" w:lineRule="exact"/>
      <w:ind w:left="0" w:firstLine="200" w:firstLineChars="200"/>
    </w:pPr>
    <w:rPr>
      <w:rFonts w:ascii="仿宋_GB2312" w:eastAsia="仿宋_GB2312"/>
      <w:sz w:val="28"/>
      <w:szCs w:val="24"/>
    </w:rPr>
  </w:style>
  <w:style w:type="paragraph" w:customStyle="1" w:styleId="111">
    <w:name w:val="一级标题"/>
    <w:basedOn w:val="1"/>
    <w:next w:val="109"/>
    <w:qFormat/>
    <w:uiPriority w:val="99"/>
    <w:pPr>
      <w:numPr>
        <w:ilvl w:val="2"/>
        <w:numId w:val="3"/>
      </w:numPr>
      <w:tabs>
        <w:tab w:val="left" w:pos="425"/>
      </w:tabs>
      <w:ind w:left="850" w:hanging="425"/>
      <w:outlineLvl w:val="0"/>
    </w:pPr>
    <w:rPr>
      <w:rFonts w:ascii="黑体" w:eastAsia="黑体"/>
      <w:sz w:val="30"/>
      <w:szCs w:val="28"/>
    </w:rPr>
  </w:style>
  <w:style w:type="paragraph" w:customStyle="1" w:styleId="112">
    <w:name w:val="Char Char Char Char"/>
    <w:basedOn w:val="1"/>
    <w:qFormat/>
    <w:uiPriority w:val="99"/>
    <w:pPr>
      <w:widowControl/>
      <w:spacing w:after="160" w:line="240" w:lineRule="exact"/>
      <w:jc w:val="left"/>
    </w:pPr>
    <w:rPr>
      <w:kern w:val="0"/>
      <w:sz w:val="24"/>
      <w:szCs w:val="24"/>
    </w:rPr>
  </w:style>
  <w:style w:type="paragraph" w:customStyle="1" w:styleId="113">
    <w:name w:val="Normal_1"/>
    <w:qFormat/>
    <w:uiPriority w:val="99"/>
    <w:rPr>
      <w:rFonts w:ascii="Times New Roman" w:hAnsi="Times New Roman" w:eastAsia="Times New Roman" w:cs="Times New Roman"/>
      <w:sz w:val="24"/>
      <w:szCs w:val="24"/>
      <w:lang w:val="en-US" w:eastAsia="zh-CN" w:bidi="ar-SA"/>
    </w:rPr>
  </w:style>
  <w:style w:type="paragraph" w:customStyle="1" w:styleId="114">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15">
    <w:name w:val="正文 A"/>
    <w:qFormat/>
    <w:uiPriority w:val="99"/>
    <w:pPr>
      <w:widowControl w:val="0"/>
      <w:jc w:val="both"/>
    </w:pPr>
    <w:rPr>
      <w:rFonts w:ascii="Times New Roman" w:hAnsi="Times New Roman" w:eastAsia="宋体" w:cs="Times New Roman"/>
      <w:color w:val="000000"/>
      <w:kern w:val="2"/>
      <w:sz w:val="21"/>
      <w:szCs w:val="21"/>
      <w:u w:color="000000"/>
      <w:lang w:val="en-US" w:eastAsia="zh-CN" w:bidi="ar-SA"/>
    </w:rPr>
  </w:style>
  <w:style w:type="paragraph" w:customStyle="1" w:styleId="116">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17">
    <w:name w:val="font8"/>
    <w:basedOn w:val="1"/>
    <w:qFormat/>
    <w:uiPriority w:val="99"/>
    <w:pPr>
      <w:widowControl/>
      <w:spacing w:before="100" w:beforeAutospacing="1" w:after="100" w:afterAutospacing="1"/>
      <w:jc w:val="left"/>
    </w:pPr>
    <w:rPr>
      <w:rFonts w:ascii="宋体" w:hAnsi="宋体"/>
      <w:color w:val="000000"/>
      <w:kern w:val="0"/>
      <w:sz w:val="32"/>
      <w:szCs w:val="32"/>
    </w:rPr>
  </w:style>
  <w:style w:type="paragraph" w:customStyle="1" w:styleId="118">
    <w:name w:val="font9"/>
    <w:basedOn w:val="1"/>
    <w:qFormat/>
    <w:uiPriority w:val="99"/>
    <w:pPr>
      <w:widowControl/>
      <w:spacing w:before="100" w:beforeAutospacing="1" w:after="100" w:afterAutospacing="1"/>
      <w:jc w:val="left"/>
    </w:pPr>
    <w:rPr>
      <w:rFonts w:ascii="幼圆" w:hAnsi="宋体" w:eastAsia="幼圆"/>
      <w:kern w:val="0"/>
      <w:sz w:val="32"/>
      <w:szCs w:val="32"/>
    </w:rPr>
  </w:style>
  <w:style w:type="paragraph" w:customStyle="1" w:styleId="119">
    <w:name w:val="Char Char Char Char Char Char Char1 Char"/>
    <w:basedOn w:val="1"/>
    <w:qFormat/>
    <w:uiPriority w:val="99"/>
    <w:rPr>
      <w:rFonts w:ascii="Tahoma" w:hAnsi="Tahoma"/>
      <w:sz w:val="24"/>
      <w:szCs w:val="20"/>
    </w:rPr>
  </w:style>
  <w:style w:type="paragraph" w:customStyle="1" w:styleId="120">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幼圆" w:hAnsi="宋体" w:eastAsia="幼圆"/>
      <w:kern w:val="0"/>
      <w:sz w:val="32"/>
      <w:szCs w:val="32"/>
    </w:rPr>
  </w:style>
  <w:style w:type="paragraph" w:customStyle="1" w:styleId="121">
    <w:name w:val="D&amp;L"/>
    <w:basedOn w:val="34"/>
    <w:qFormat/>
    <w:uiPriority w:val="99"/>
    <w:pPr>
      <w:pBdr>
        <w:bottom w:val="thinThickSmallGap" w:color="auto" w:sz="18" w:space="1"/>
      </w:pBdr>
      <w:adjustRightInd w:val="0"/>
      <w:snapToGrid/>
      <w:spacing w:line="240" w:lineRule="atLeast"/>
    </w:pPr>
    <w:rPr>
      <w:kern w:val="0"/>
      <w:sz w:val="24"/>
      <w:szCs w:val="20"/>
    </w:rPr>
  </w:style>
  <w:style w:type="character" w:customStyle="1" w:styleId="122">
    <w:name w:val="正文文本缩进 Char"/>
    <w:qFormat/>
    <w:uiPriority w:val="0"/>
    <w:rPr>
      <w:rFonts w:hint="eastAsia" w:ascii="楷体_GB2312" w:hAnsi="Times New Roman" w:eastAsia="楷体_GB2312"/>
      <w:kern w:val="2"/>
      <w:sz w:val="32"/>
    </w:rPr>
  </w:style>
  <w:style w:type="character" w:customStyle="1" w:styleId="123">
    <w:name w:val="标题 1 字符1"/>
    <w:link w:val="5"/>
    <w:qFormat/>
    <w:locked/>
    <w:uiPriority w:val="99"/>
    <w:rPr>
      <w:rFonts w:ascii="Times New Roman" w:hAnsi="Times New Roman" w:eastAsia="宋体" w:cs="Times New Roman"/>
      <w:b/>
      <w:bCs/>
      <w:kern w:val="44"/>
      <w:sz w:val="30"/>
      <w:szCs w:val="44"/>
    </w:rPr>
  </w:style>
  <w:style w:type="character" w:customStyle="1" w:styleId="124">
    <w:name w:val="标题 2 字符1"/>
    <w:link w:val="6"/>
    <w:semiHidden/>
    <w:qFormat/>
    <w:locked/>
    <w:uiPriority w:val="99"/>
    <w:rPr>
      <w:rFonts w:ascii="Arial" w:hAnsi="Arial" w:eastAsia="黑体" w:cs="Times New Roman"/>
      <w:b/>
      <w:bCs/>
      <w:sz w:val="32"/>
      <w:szCs w:val="32"/>
    </w:rPr>
  </w:style>
  <w:style w:type="character" w:customStyle="1" w:styleId="125">
    <w:name w:val="标题 3 字符1"/>
    <w:link w:val="7"/>
    <w:qFormat/>
    <w:locked/>
    <w:uiPriority w:val="0"/>
    <w:rPr>
      <w:rFonts w:ascii="宋体" w:hAnsi="Times New Roman" w:eastAsia="宋体" w:cs="宋体"/>
      <w:b/>
      <w:bCs/>
      <w:sz w:val="32"/>
      <w:szCs w:val="32"/>
    </w:rPr>
  </w:style>
  <w:style w:type="character" w:customStyle="1" w:styleId="126">
    <w:name w:val="标题 4 字符1"/>
    <w:link w:val="8"/>
    <w:semiHidden/>
    <w:qFormat/>
    <w:locked/>
    <w:uiPriority w:val="0"/>
    <w:rPr>
      <w:rFonts w:ascii="Arial" w:hAnsi="Arial" w:eastAsia="黑体" w:cs="Times New Roman"/>
      <w:b/>
      <w:bCs/>
      <w:sz w:val="28"/>
      <w:szCs w:val="28"/>
    </w:rPr>
  </w:style>
  <w:style w:type="character" w:customStyle="1" w:styleId="127">
    <w:name w:val="标题 5 字符1"/>
    <w:link w:val="9"/>
    <w:semiHidden/>
    <w:qFormat/>
    <w:locked/>
    <w:uiPriority w:val="0"/>
    <w:rPr>
      <w:rFonts w:ascii="宋体" w:hAnsi="Arial" w:eastAsia="宋体" w:cs="宋体"/>
      <w:bCs/>
      <w:sz w:val="28"/>
      <w:szCs w:val="20"/>
    </w:rPr>
  </w:style>
  <w:style w:type="character" w:customStyle="1" w:styleId="128">
    <w:name w:val="标题 6 字符1"/>
    <w:link w:val="10"/>
    <w:semiHidden/>
    <w:qFormat/>
    <w:locked/>
    <w:uiPriority w:val="0"/>
    <w:rPr>
      <w:rFonts w:ascii="宋体" w:hAnsi="宋体" w:eastAsia="宋体" w:cs="宋体"/>
      <w:kern w:val="0"/>
      <w:sz w:val="28"/>
      <w:szCs w:val="20"/>
    </w:rPr>
  </w:style>
  <w:style w:type="character" w:customStyle="1" w:styleId="129">
    <w:name w:val="标题 7 字符1"/>
    <w:link w:val="11"/>
    <w:semiHidden/>
    <w:qFormat/>
    <w:locked/>
    <w:uiPriority w:val="99"/>
    <w:rPr>
      <w:rFonts w:ascii="Arial" w:hAnsi="Arial" w:eastAsia="仿宋_GB2312" w:cs="Times New Roman"/>
      <w:b/>
      <w:bCs/>
      <w:spacing w:val="-4"/>
      <w:sz w:val="24"/>
      <w:szCs w:val="24"/>
    </w:rPr>
  </w:style>
  <w:style w:type="character" w:customStyle="1" w:styleId="130">
    <w:name w:val="文档结构图 字符1"/>
    <w:link w:val="17"/>
    <w:semiHidden/>
    <w:qFormat/>
    <w:locked/>
    <w:uiPriority w:val="99"/>
    <w:rPr>
      <w:rFonts w:ascii="Times New Roman" w:hAnsi="Times New Roman" w:eastAsia="宋体" w:cs="Times New Roman"/>
      <w:szCs w:val="20"/>
      <w:shd w:val="clear" w:color="auto" w:fill="000080"/>
    </w:rPr>
  </w:style>
  <w:style w:type="character" w:customStyle="1" w:styleId="131">
    <w:name w:val="批注文字 字符1"/>
    <w:link w:val="19"/>
    <w:semiHidden/>
    <w:qFormat/>
    <w:locked/>
    <w:uiPriority w:val="99"/>
    <w:rPr>
      <w:rFonts w:ascii="Times New Roman" w:hAnsi="Times New Roman" w:eastAsia="宋体" w:cs="Times New Roman"/>
      <w:szCs w:val="20"/>
    </w:rPr>
  </w:style>
  <w:style w:type="character" w:customStyle="1" w:styleId="132">
    <w:name w:val="正文文本 3 字符1"/>
    <w:link w:val="21"/>
    <w:semiHidden/>
    <w:qFormat/>
    <w:locked/>
    <w:uiPriority w:val="99"/>
    <w:rPr>
      <w:rFonts w:ascii="黑体" w:hAnsi="Arial" w:eastAsia="黑体" w:cs="Times New Roman"/>
      <w:b/>
      <w:sz w:val="28"/>
      <w:szCs w:val="20"/>
    </w:rPr>
  </w:style>
  <w:style w:type="character" w:customStyle="1" w:styleId="133">
    <w:name w:val="正文文本 字符1"/>
    <w:link w:val="22"/>
    <w:qFormat/>
    <w:locked/>
    <w:uiPriority w:val="0"/>
    <w:rPr>
      <w:rFonts w:ascii="宋体" w:hAnsi="Arial" w:eastAsia="宋体" w:cs="Times New Roman"/>
      <w:sz w:val="28"/>
      <w:szCs w:val="20"/>
    </w:rPr>
  </w:style>
  <w:style w:type="character" w:customStyle="1" w:styleId="134">
    <w:name w:val="纯文本 字符1"/>
    <w:link w:val="27"/>
    <w:qFormat/>
    <w:locked/>
    <w:uiPriority w:val="0"/>
    <w:rPr>
      <w:rFonts w:ascii="宋体" w:hAnsi="Courier New" w:eastAsia="宋体" w:cs="Times New Roman"/>
      <w:szCs w:val="20"/>
    </w:rPr>
  </w:style>
  <w:style w:type="character" w:customStyle="1" w:styleId="135">
    <w:name w:val="日期 字符1"/>
    <w:link w:val="30"/>
    <w:semiHidden/>
    <w:qFormat/>
    <w:locked/>
    <w:uiPriority w:val="99"/>
    <w:rPr>
      <w:rFonts w:ascii="Times New Roman" w:hAnsi="Times New Roman" w:eastAsia="宋体" w:cs="Times New Roman"/>
      <w:b/>
      <w:sz w:val="28"/>
      <w:szCs w:val="20"/>
    </w:rPr>
  </w:style>
  <w:style w:type="character" w:customStyle="1" w:styleId="136">
    <w:name w:val="正文文本缩进 2 字符1"/>
    <w:link w:val="31"/>
    <w:semiHidden/>
    <w:qFormat/>
    <w:locked/>
    <w:uiPriority w:val="99"/>
    <w:rPr>
      <w:rFonts w:ascii="Arial" w:hAnsi="Arial" w:eastAsia="仿宋_GB2312" w:cs="Times New Roman"/>
      <w:sz w:val="32"/>
      <w:szCs w:val="20"/>
    </w:rPr>
  </w:style>
  <w:style w:type="character" w:customStyle="1" w:styleId="137">
    <w:name w:val="批注框文本 字符1"/>
    <w:link w:val="32"/>
    <w:semiHidden/>
    <w:qFormat/>
    <w:locked/>
    <w:uiPriority w:val="99"/>
    <w:rPr>
      <w:rFonts w:ascii="Times New Roman" w:hAnsi="Times New Roman" w:eastAsia="宋体" w:cs="Times New Roman"/>
      <w:sz w:val="18"/>
      <w:szCs w:val="18"/>
    </w:rPr>
  </w:style>
  <w:style w:type="character" w:customStyle="1" w:styleId="138">
    <w:name w:val="页脚 字符1"/>
    <w:semiHidden/>
    <w:qFormat/>
    <w:locked/>
    <w:uiPriority w:val="99"/>
    <w:rPr>
      <w:rFonts w:ascii="Times New Roman" w:hAnsi="Times New Roman" w:eastAsia="宋体" w:cs="Times New Roman"/>
      <w:sz w:val="18"/>
      <w:szCs w:val="20"/>
    </w:rPr>
  </w:style>
  <w:style w:type="character" w:customStyle="1" w:styleId="139">
    <w:name w:val="页眉 字符1"/>
    <w:semiHidden/>
    <w:qFormat/>
    <w:locked/>
    <w:uiPriority w:val="99"/>
    <w:rPr>
      <w:rFonts w:ascii="Times New Roman" w:hAnsi="Times New Roman" w:eastAsia="宋体" w:cs="Times New Roman"/>
      <w:sz w:val="18"/>
      <w:szCs w:val="20"/>
    </w:rPr>
  </w:style>
  <w:style w:type="character" w:customStyle="1" w:styleId="140">
    <w:name w:val="正文文本缩进 3 字符1"/>
    <w:link w:val="40"/>
    <w:semiHidden/>
    <w:qFormat/>
    <w:locked/>
    <w:uiPriority w:val="99"/>
    <w:rPr>
      <w:rFonts w:ascii="仿宋_GB2312" w:hAnsi="Arial" w:eastAsia="仿宋_GB2312" w:cs="Times New Roman"/>
      <w:color w:val="000000"/>
      <w:sz w:val="30"/>
      <w:szCs w:val="20"/>
    </w:rPr>
  </w:style>
  <w:style w:type="character" w:customStyle="1" w:styleId="141">
    <w:name w:val="正文文本 2 字符1"/>
    <w:link w:val="45"/>
    <w:semiHidden/>
    <w:qFormat/>
    <w:locked/>
    <w:uiPriority w:val="99"/>
    <w:rPr>
      <w:rFonts w:ascii="仿宋_GB2312" w:hAnsi="Times New Roman" w:eastAsia="仿宋_GB2312" w:cs="Times New Roman"/>
      <w:b/>
      <w:sz w:val="24"/>
      <w:szCs w:val="20"/>
    </w:rPr>
  </w:style>
  <w:style w:type="character" w:customStyle="1" w:styleId="142">
    <w:name w:val="HTML 预设格式 字符1"/>
    <w:link w:val="46"/>
    <w:semiHidden/>
    <w:qFormat/>
    <w:locked/>
    <w:uiPriority w:val="0"/>
    <w:rPr>
      <w:rFonts w:ascii="Arial" w:hAnsi="Arial" w:eastAsia="宋体" w:cs="Times New Roman"/>
      <w:kern w:val="0"/>
      <w:sz w:val="24"/>
      <w:szCs w:val="24"/>
    </w:rPr>
  </w:style>
  <w:style w:type="character" w:customStyle="1" w:styleId="143">
    <w:name w:val="批注主题 字符1"/>
    <w:link w:val="49"/>
    <w:semiHidden/>
    <w:qFormat/>
    <w:locked/>
    <w:uiPriority w:val="99"/>
    <w:rPr>
      <w:rFonts w:ascii="Times New Roman" w:hAnsi="Times New Roman" w:eastAsia="宋体" w:cs="Times New Roman"/>
      <w:b/>
      <w:bCs/>
    </w:rPr>
  </w:style>
  <w:style w:type="character" w:customStyle="1" w:styleId="144">
    <w:name w:val="正文首行缩进 字符1"/>
    <w:link w:val="50"/>
    <w:semiHidden/>
    <w:qFormat/>
    <w:locked/>
    <w:uiPriority w:val="99"/>
    <w:rPr>
      <w:rFonts w:ascii="Arial" w:hAnsi="Arial" w:eastAsia="仿宋_GB2312" w:cs="Times New Roman"/>
      <w:sz w:val="24"/>
      <w:szCs w:val="32"/>
    </w:rPr>
  </w:style>
  <w:style w:type="character" w:customStyle="1" w:styleId="145">
    <w:name w:val="Char Char"/>
    <w:qFormat/>
    <w:uiPriority w:val="99"/>
    <w:rPr>
      <w:rFonts w:hint="default" w:ascii="Times New Roman" w:hAnsi="Times New Roman" w:cs="Times New Roman"/>
      <w:kern w:val="2"/>
      <w:sz w:val="18"/>
      <w:szCs w:val="18"/>
    </w:rPr>
  </w:style>
  <w:style w:type="character" w:customStyle="1" w:styleId="146">
    <w:name w:val="HTML 预设格式 Char1"/>
    <w:semiHidden/>
    <w:qFormat/>
    <w:uiPriority w:val="99"/>
    <w:rPr>
      <w:rFonts w:hint="default" w:ascii="Courier New" w:hAnsi="Courier New" w:cs="Courier New"/>
      <w:kern w:val="2"/>
    </w:rPr>
  </w:style>
  <w:style w:type="character" w:customStyle="1" w:styleId="147">
    <w:name w:val="Char Char1"/>
    <w:qFormat/>
    <w:uiPriority w:val="99"/>
    <w:rPr>
      <w:rFonts w:hint="default" w:ascii="Times New Roman" w:hAnsi="Times New Roman" w:cs="Times New Roman"/>
      <w:kern w:val="2"/>
      <w:sz w:val="18"/>
      <w:szCs w:val="18"/>
    </w:rPr>
  </w:style>
  <w:style w:type="character" w:customStyle="1" w:styleId="148">
    <w:name w:val="纯文本 Char"/>
    <w:semiHidden/>
    <w:qFormat/>
    <w:uiPriority w:val="99"/>
    <w:rPr>
      <w:rFonts w:hint="eastAsia" w:ascii="宋体" w:hAnsi="Courier New" w:eastAsia="宋体" w:cs="Courier New"/>
      <w:kern w:val="2"/>
      <w:sz w:val="21"/>
      <w:szCs w:val="21"/>
    </w:rPr>
  </w:style>
  <w:style w:type="paragraph" w:customStyle="1" w:styleId="14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纯文本 Char1"/>
    <w:qFormat/>
    <w:locked/>
    <w:uiPriority w:val="0"/>
    <w:rPr>
      <w:rFonts w:ascii="宋体" w:hAnsi="Courier New"/>
      <w:kern w:val="2"/>
      <w:sz w:val="21"/>
    </w:rPr>
  </w:style>
  <w:style w:type="paragraph" w:customStyle="1" w:styleId="151">
    <w:name w:val="首行缩进"/>
    <w:basedOn w:val="1"/>
    <w:qFormat/>
    <w:uiPriority w:val="99"/>
    <w:pPr>
      <w:spacing w:line="360" w:lineRule="auto"/>
      <w:ind w:firstLine="480" w:firstLineChars="200"/>
    </w:pPr>
    <w:rPr>
      <w:rFonts w:ascii="Calibri" w:hAnsi="Calibri"/>
      <w:sz w:val="24"/>
      <w:lang w:val="zh-CN"/>
    </w:rPr>
  </w:style>
  <w:style w:type="paragraph" w:customStyle="1" w:styleId="152">
    <w:name w:val="UserStyle_41"/>
    <w:basedOn w:val="34"/>
    <w:qFormat/>
    <w:uiPriority w:val="0"/>
    <w:pPr>
      <w:pBdr>
        <w:bottom w:val="thinThickSmallGap" w:color="000000" w:sz="18" w:space="1"/>
      </w:pBdr>
      <w:spacing w:line="240" w:lineRule="atLeast"/>
    </w:pPr>
    <w:rPr>
      <w:kern w:val="0"/>
      <w:sz w:val="24"/>
    </w:rPr>
  </w:style>
  <w:style w:type="character" w:customStyle="1" w:styleId="153">
    <w:name w:val="NormalCharacter"/>
    <w:qFormat/>
    <w:uiPriority w:val="0"/>
  </w:style>
  <w:style w:type="character" w:customStyle="1" w:styleId="154">
    <w:name w:val="newpure-pink"/>
    <w:basedOn w:val="53"/>
    <w:qFormat/>
    <w:uiPriority w:val="0"/>
  </w:style>
  <w:style w:type="character" w:customStyle="1" w:styleId="155">
    <w:name w:val="line-red"/>
    <w:basedOn w:val="53"/>
    <w:qFormat/>
    <w:uiPriority w:val="0"/>
  </w:style>
  <w:style w:type="character" w:customStyle="1" w:styleId="156">
    <w:name w:val="line-darkblue"/>
    <w:basedOn w:val="53"/>
    <w:qFormat/>
    <w:uiPriority w:val="0"/>
  </w:style>
  <w:style w:type="character" w:customStyle="1" w:styleId="157">
    <w:name w:val="default-black"/>
    <w:basedOn w:val="53"/>
    <w:qFormat/>
    <w:uiPriority w:val="0"/>
  </w:style>
  <w:style w:type="character" w:customStyle="1" w:styleId="158">
    <w:name w:val="width-lightgreen"/>
    <w:basedOn w:val="53"/>
    <w:qFormat/>
    <w:uiPriority w:val="0"/>
  </w:style>
  <w:style w:type="character" w:customStyle="1" w:styleId="159">
    <w:name w:val="button"/>
    <w:basedOn w:val="53"/>
    <w:qFormat/>
    <w:uiPriority w:val="0"/>
  </w:style>
  <w:style w:type="character" w:customStyle="1" w:styleId="160">
    <w:name w:val="target_fixed"/>
    <w:basedOn w:val="53"/>
    <w:qFormat/>
    <w:uiPriority w:val="0"/>
  </w:style>
  <w:style w:type="character" w:customStyle="1" w:styleId="161">
    <w:name w:val="layui-layer-tabnow"/>
    <w:basedOn w:val="53"/>
    <w:qFormat/>
    <w:uiPriority w:val="0"/>
    <w:rPr>
      <w:bdr w:val="single" w:color="CCCCCC" w:sz="6" w:space="0"/>
      <w:shd w:val="clear" w:fill="FFFFFF"/>
    </w:rPr>
  </w:style>
  <w:style w:type="character" w:customStyle="1" w:styleId="162">
    <w:name w:val="first-child"/>
    <w:basedOn w:val="53"/>
    <w:qFormat/>
    <w:uiPriority w:val="0"/>
  </w:style>
  <w:style w:type="character" w:customStyle="1" w:styleId="163">
    <w:name w:val="newpure-darkred"/>
    <w:basedOn w:val="53"/>
    <w:qFormat/>
    <w:uiPriority w:val="0"/>
  </w:style>
  <w:style w:type="character" w:customStyle="1" w:styleId="164">
    <w:name w:val="default-orange"/>
    <w:basedOn w:val="53"/>
    <w:qFormat/>
    <w:uiPriority w:val="0"/>
  </w:style>
  <w:style w:type="character" w:customStyle="1" w:styleId="165">
    <w:name w:val="line-blue"/>
    <w:basedOn w:val="53"/>
    <w:qFormat/>
    <w:uiPriority w:val="0"/>
  </w:style>
  <w:style w:type="character" w:customStyle="1" w:styleId="166">
    <w:name w:val="width-darkblue"/>
    <w:basedOn w:val="53"/>
    <w:qFormat/>
    <w:uiPriority w:val="0"/>
  </w:style>
  <w:style w:type="character" w:customStyle="1" w:styleId="167">
    <w:name w:val="width-maroon"/>
    <w:basedOn w:val="53"/>
    <w:qFormat/>
    <w:uiPriority w:val="0"/>
  </w:style>
  <w:style w:type="character" w:customStyle="1" w:styleId="168">
    <w:name w:val="width-red"/>
    <w:basedOn w:val="53"/>
    <w:qFormat/>
    <w:uiPriority w:val="0"/>
  </w:style>
  <w:style w:type="character" w:customStyle="1" w:styleId="169">
    <w:name w:val="newpure-orange"/>
    <w:basedOn w:val="53"/>
    <w:qFormat/>
    <w:uiPriority w:val="0"/>
  </w:style>
  <w:style w:type="character" w:customStyle="1" w:styleId="170">
    <w:name w:val="tmpztreemove_arrow"/>
    <w:basedOn w:val="53"/>
    <w:qFormat/>
    <w:uiPriority w:val="0"/>
  </w:style>
  <w:style w:type="character" w:customStyle="1" w:styleId="171">
    <w:name w:val="default-lightgreen"/>
    <w:basedOn w:val="53"/>
    <w:qFormat/>
    <w:uiPriority w:val="0"/>
  </w:style>
  <w:style w:type="character" w:customStyle="1" w:styleId="172">
    <w:name w:val="newpure-darkblue"/>
    <w:basedOn w:val="53"/>
    <w:qFormat/>
    <w:uiPriority w:val="0"/>
  </w:style>
  <w:style w:type="character" w:customStyle="1" w:styleId="173">
    <w:name w:val="width-seablue"/>
    <w:basedOn w:val="53"/>
    <w:qFormat/>
    <w:uiPriority w:val="0"/>
  </w:style>
  <w:style w:type="character" w:customStyle="1" w:styleId="174">
    <w:name w:val="default-red"/>
    <w:basedOn w:val="53"/>
    <w:qFormat/>
    <w:uiPriority w:val="0"/>
  </w:style>
  <w:style w:type="character" w:customStyle="1" w:styleId="175">
    <w:name w:val="on"/>
    <w:basedOn w:val="53"/>
    <w:qFormat/>
    <w:uiPriority w:val="0"/>
    <w:rPr>
      <w:shd w:val="clear" w:fill="EDEDED"/>
    </w:rPr>
  </w:style>
  <w:style w:type="character" w:customStyle="1" w:styleId="176">
    <w:name w:val="on1"/>
    <w:basedOn w:val="53"/>
    <w:qFormat/>
    <w:uiPriority w:val="0"/>
    <w:rPr>
      <w:vanish/>
      <w:shd w:val="clear" w:fill="FFFFFF"/>
    </w:rPr>
  </w:style>
  <w:style w:type="character" w:customStyle="1" w:styleId="177">
    <w:name w:val="newpure-purple"/>
    <w:basedOn w:val="53"/>
    <w:qFormat/>
    <w:uiPriority w:val="0"/>
  </w:style>
  <w:style w:type="character" w:customStyle="1" w:styleId="178">
    <w:name w:val="line-maroon"/>
    <w:basedOn w:val="53"/>
    <w:qFormat/>
    <w:uiPriority w:val="0"/>
  </w:style>
  <w:style w:type="character" w:customStyle="1" w:styleId="179">
    <w:name w:val="width-brown"/>
    <w:basedOn w:val="53"/>
    <w:qFormat/>
    <w:uiPriority w:val="0"/>
  </w:style>
  <w:style w:type="character" w:customStyle="1" w:styleId="180">
    <w:name w:val="hover22"/>
    <w:basedOn w:val="53"/>
    <w:qFormat/>
    <w:uiPriority w:val="0"/>
    <w:rPr>
      <w:sz w:val="21"/>
      <w:szCs w:val="21"/>
    </w:rPr>
  </w:style>
  <w:style w:type="character" w:customStyle="1" w:styleId="181">
    <w:name w:val="hover23"/>
    <w:basedOn w:val="53"/>
    <w:qFormat/>
    <w:uiPriority w:val="0"/>
    <w:rPr>
      <w:shd w:val="clear" w:fill="F3F3F3"/>
    </w:rPr>
  </w:style>
  <w:style w:type="character" w:customStyle="1" w:styleId="182">
    <w:name w:val="hover24"/>
    <w:basedOn w:val="53"/>
    <w:qFormat/>
    <w:uiPriority w:val="0"/>
    <w:rPr>
      <w:shd w:val="clear" w:fill="F3F3F3"/>
    </w:rPr>
  </w:style>
  <w:style w:type="character" w:customStyle="1" w:styleId="183">
    <w:name w:val="width-indigo"/>
    <w:basedOn w:val="53"/>
    <w:qFormat/>
    <w:uiPriority w:val="0"/>
  </w:style>
  <w:style w:type="character" w:customStyle="1" w:styleId="184">
    <w:name w:val="default-brown"/>
    <w:basedOn w:val="53"/>
    <w:qFormat/>
    <w:uiPriority w:val="0"/>
  </w:style>
  <w:style w:type="character" w:customStyle="1" w:styleId="185">
    <w:name w:val="line-gray"/>
    <w:basedOn w:val="53"/>
    <w:qFormat/>
    <w:uiPriority w:val="0"/>
  </w:style>
  <w:style w:type="character" w:customStyle="1" w:styleId="186">
    <w:name w:val="line-pink"/>
    <w:basedOn w:val="53"/>
    <w:qFormat/>
    <w:uiPriority w:val="0"/>
  </w:style>
  <w:style w:type="character" w:customStyle="1" w:styleId="187">
    <w:name w:val="newpure-gray"/>
    <w:basedOn w:val="53"/>
    <w:qFormat/>
    <w:uiPriority w:val="0"/>
  </w:style>
  <w:style w:type="character" w:customStyle="1" w:styleId="188">
    <w:name w:val="first"/>
    <w:basedOn w:val="53"/>
    <w:qFormat/>
    <w:uiPriority w:val="0"/>
  </w:style>
  <w:style w:type="character" w:customStyle="1" w:styleId="189">
    <w:name w:val="width-skyblue"/>
    <w:basedOn w:val="53"/>
    <w:qFormat/>
    <w:uiPriority w:val="0"/>
  </w:style>
  <w:style w:type="character" w:customStyle="1" w:styleId="190">
    <w:name w:val="default-pink"/>
    <w:basedOn w:val="53"/>
    <w:qFormat/>
    <w:uiPriority w:val="0"/>
  </w:style>
  <w:style w:type="character" w:customStyle="1" w:styleId="191">
    <w:name w:val="width-violet"/>
    <w:basedOn w:val="53"/>
    <w:qFormat/>
    <w:uiPriority w:val="0"/>
  </w:style>
  <w:style w:type="character" w:customStyle="1" w:styleId="192">
    <w:name w:val="line-violet"/>
    <w:basedOn w:val="53"/>
    <w:qFormat/>
    <w:uiPriority w:val="0"/>
  </w:style>
  <w:style w:type="character" w:customStyle="1" w:styleId="193">
    <w:name w:val="newpure-black"/>
    <w:basedOn w:val="53"/>
    <w:qFormat/>
    <w:uiPriority w:val="0"/>
  </w:style>
  <w:style w:type="character" w:customStyle="1" w:styleId="194">
    <w:name w:val="default-darkblue"/>
    <w:basedOn w:val="53"/>
    <w:qFormat/>
    <w:uiPriority w:val="0"/>
  </w:style>
  <w:style w:type="character" w:customStyle="1" w:styleId="195">
    <w:name w:val="default-blue"/>
    <w:basedOn w:val="53"/>
    <w:qFormat/>
    <w:uiPriority w:val="0"/>
  </w:style>
  <w:style w:type="character" w:customStyle="1" w:styleId="196">
    <w:name w:val="width-darkred"/>
    <w:basedOn w:val="53"/>
    <w:qFormat/>
    <w:uiPriority w:val="0"/>
  </w:style>
  <w:style w:type="character" w:customStyle="1" w:styleId="197">
    <w:name w:val="newpure-skyblue"/>
    <w:basedOn w:val="53"/>
    <w:qFormat/>
    <w:uiPriority w:val="0"/>
  </w:style>
  <w:style w:type="character" w:customStyle="1" w:styleId="198">
    <w:name w:val="width-green"/>
    <w:basedOn w:val="53"/>
    <w:qFormat/>
    <w:uiPriority w:val="0"/>
  </w:style>
  <w:style w:type="character" w:customStyle="1" w:styleId="199">
    <w:name w:val="newpure-green"/>
    <w:basedOn w:val="53"/>
    <w:qFormat/>
    <w:uiPriority w:val="0"/>
  </w:style>
  <w:style w:type="character" w:customStyle="1" w:styleId="200">
    <w:name w:val="line-cyan"/>
    <w:basedOn w:val="53"/>
    <w:qFormat/>
    <w:uiPriority w:val="0"/>
  </w:style>
  <w:style w:type="character" w:customStyle="1" w:styleId="201">
    <w:name w:val="newpure-violet"/>
    <w:basedOn w:val="53"/>
    <w:qFormat/>
    <w:uiPriority w:val="0"/>
  </w:style>
  <w:style w:type="character" w:customStyle="1" w:styleId="202">
    <w:name w:val="width-purple"/>
    <w:basedOn w:val="53"/>
    <w:uiPriority w:val="0"/>
  </w:style>
  <w:style w:type="character" w:customStyle="1" w:styleId="203">
    <w:name w:val="default-skyblue"/>
    <w:basedOn w:val="53"/>
    <w:qFormat/>
    <w:uiPriority w:val="0"/>
  </w:style>
  <w:style w:type="character" w:customStyle="1" w:styleId="204">
    <w:name w:val="line-skyblue"/>
    <w:basedOn w:val="53"/>
    <w:qFormat/>
    <w:uiPriority w:val="0"/>
  </w:style>
  <w:style w:type="character" w:customStyle="1" w:styleId="205">
    <w:name w:val="default-violet"/>
    <w:basedOn w:val="53"/>
    <w:qFormat/>
    <w:uiPriority w:val="0"/>
  </w:style>
  <w:style w:type="character" w:customStyle="1" w:styleId="206">
    <w:name w:val="width-pink"/>
    <w:basedOn w:val="53"/>
    <w:qFormat/>
    <w:uiPriority w:val="0"/>
  </w:style>
  <w:style w:type="character" w:customStyle="1" w:styleId="207">
    <w:name w:val="default-darkred"/>
    <w:basedOn w:val="53"/>
    <w:qFormat/>
    <w:uiPriority w:val="0"/>
  </w:style>
  <w:style w:type="character" w:customStyle="1" w:styleId="208">
    <w:name w:val="line-purple"/>
    <w:basedOn w:val="53"/>
    <w:qFormat/>
    <w:uiPriority w:val="0"/>
  </w:style>
  <w:style w:type="character" w:customStyle="1" w:styleId="209">
    <w:name w:val="default-cyan"/>
    <w:basedOn w:val="53"/>
    <w:qFormat/>
    <w:uiPriority w:val="0"/>
  </w:style>
  <w:style w:type="character" w:customStyle="1" w:styleId="210">
    <w:name w:val="default-green"/>
    <w:basedOn w:val="53"/>
    <w:qFormat/>
    <w:uiPriority w:val="0"/>
  </w:style>
  <w:style w:type="character" w:customStyle="1" w:styleId="211">
    <w:name w:val="default-seablue"/>
    <w:basedOn w:val="53"/>
    <w:qFormat/>
    <w:uiPriority w:val="0"/>
  </w:style>
  <w:style w:type="character" w:customStyle="1" w:styleId="212">
    <w:name w:val="newpure-lightgreen"/>
    <w:basedOn w:val="53"/>
    <w:qFormat/>
    <w:uiPriority w:val="0"/>
  </w:style>
  <w:style w:type="character" w:customStyle="1" w:styleId="213">
    <w:name w:val="default-purple"/>
    <w:basedOn w:val="53"/>
    <w:qFormat/>
    <w:uiPriority w:val="0"/>
  </w:style>
  <w:style w:type="character" w:customStyle="1" w:styleId="214">
    <w:name w:val="default-indigo"/>
    <w:basedOn w:val="53"/>
    <w:qFormat/>
    <w:uiPriority w:val="0"/>
  </w:style>
  <w:style w:type="character" w:customStyle="1" w:styleId="215">
    <w:name w:val="line-black"/>
    <w:basedOn w:val="53"/>
    <w:qFormat/>
    <w:uiPriority w:val="0"/>
  </w:style>
  <w:style w:type="character" w:customStyle="1" w:styleId="216">
    <w:name w:val="default-maroon"/>
    <w:basedOn w:val="53"/>
    <w:qFormat/>
    <w:uiPriority w:val="0"/>
  </w:style>
  <w:style w:type="character" w:customStyle="1" w:styleId="217">
    <w:name w:val="line-indigo"/>
    <w:basedOn w:val="53"/>
    <w:uiPriority w:val="0"/>
  </w:style>
  <w:style w:type="character" w:customStyle="1" w:styleId="218">
    <w:name w:val="default-gray"/>
    <w:basedOn w:val="53"/>
    <w:uiPriority w:val="0"/>
  </w:style>
  <w:style w:type="character" w:customStyle="1" w:styleId="219">
    <w:name w:val="newpure-maroon"/>
    <w:basedOn w:val="53"/>
    <w:qFormat/>
    <w:uiPriority w:val="0"/>
  </w:style>
  <w:style w:type="character" w:customStyle="1" w:styleId="220">
    <w:name w:val="line-darkred"/>
    <w:basedOn w:val="53"/>
    <w:qFormat/>
    <w:uiPriority w:val="0"/>
  </w:style>
  <w:style w:type="character" w:customStyle="1" w:styleId="221">
    <w:name w:val="line-orange"/>
    <w:basedOn w:val="53"/>
    <w:uiPriority w:val="0"/>
  </w:style>
  <w:style w:type="character" w:customStyle="1" w:styleId="222">
    <w:name w:val="newpure-red"/>
    <w:basedOn w:val="53"/>
    <w:qFormat/>
    <w:uiPriority w:val="0"/>
  </w:style>
  <w:style w:type="character" w:customStyle="1" w:styleId="223">
    <w:name w:val="line-lightgreen"/>
    <w:basedOn w:val="53"/>
    <w:qFormat/>
    <w:uiPriority w:val="0"/>
  </w:style>
  <w:style w:type="character" w:customStyle="1" w:styleId="224">
    <w:name w:val="line-green"/>
    <w:basedOn w:val="53"/>
    <w:qFormat/>
    <w:uiPriority w:val="0"/>
  </w:style>
  <w:style w:type="character" w:customStyle="1" w:styleId="225">
    <w:name w:val="line-seablue"/>
    <w:basedOn w:val="53"/>
    <w:qFormat/>
    <w:uiPriority w:val="0"/>
  </w:style>
  <w:style w:type="character" w:customStyle="1" w:styleId="226">
    <w:name w:val="line-brown"/>
    <w:basedOn w:val="53"/>
    <w:qFormat/>
    <w:uiPriority w:val="0"/>
  </w:style>
  <w:style w:type="character" w:customStyle="1" w:styleId="227">
    <w:name w:val="newpure-cyan"/>
    <w:basedOn w:val="53"/>
    <w:qFormat/>
    <w:uiPriority w:val="0"/>
  </w:style>
  <w:style w:type="character" w:customStyle="1" w:styleId="228">
    <w:name w:val="newpure-seablue"/>
    <w:basedOn w:val="53"/>
    <w:qFormat/>
    <w:uiPriority w:val="0"/>
  </w:style>
  <w:style w:type="character" w:customStyle="1" w:styleId="229">
    <w:name w:val="newpure-blue"/>
    <w:basedOn w:val="53"/>
    <w:qFormat/>
    <w:uiPriority w:val="0"/>
  </w:style>
  <w:style w:type="character" w:customStyle="1" w:styleId="230">
    <w:name w:val="newpure-indigo"/>
    <w:basedOn w:val="53"/>
    <w:qFormat/>
    <w:uiPriority w:val="0"/>
  </w:style>
  <w:style w:type="character" w:customStyle="1" w:styleId="231">
    <w:name w:val="newpure-brown"/>
    <w:basedOn w:val="53"/>
    <w:qFormat/>
    <w:uiPriority w:val="0"/>
  </w:style>
  <w:style w:type="character" w:customStyle="1" w:styleId="232">
    <w:name w:val="width-orange"/>
    <w:basedOn w:val="53"/>
    <w:qFormat/>
    <w:uiPriority w:val="0"/>
  </w:style>
  <w:style w:type="character" w:customStyle="1" w:styleId="233">
    <w:name w:val="width-cyan"/>
    <w:basedOn w:val="53"/>
    <w:qFormat/>
    <w:uiPriority w:val="0"/>
  </w:style>
  <w:style w:type="character" w:customStyle="1" w:styleId="234">
    <w:name w:val="width-blue"/>
    <w:basedOn w:val="53"/>
    <w:qFormat/>
    <w:uiPriority w:val="0"/>
  </w:style>
  <w:style w:type="character" w:customStyle="1" w:styleId="235">
    <w:name w:val="width-gray"/>
    <w:basedOn w:val="53"/>
    <w:qFormat/>
    <w:uiPriority w:val="0"/>
  </w:style>
  <w:style w:type="character" w:customStyle="1" w:styleId="236">
    <w:name w:val="width-black"/>
    <w:basedOn w:val="53"/>
    <w:qFormat/>
    <w:uiPriority w:val="0"/>
  </w:style>
  <w:style w:type="paragraph" w:customStyle="1" w:styleId="237">
    <w:name w:val="无间隔1"/>
    <w:qFormat/>
    <w:uiPriority w:val="99"/>
    <w:pPr>
      <w:widowControl w:val="0"/>
      <w:jc w:val="center"/>
    </w:pPr>
    <w:rPr>
      <w:rFonts w:ascii="Times New Roman" w:hAnsi="Times New Roman" w:eastAsia="宋体" w:cs="黑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100D96-73BF-4266-8373-996E16BD063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18388</Words>
  <Characters>19133</Characters>
  <Lines>159</Lines>
  <Paragraphs>44</Paragraphs>
  <TotalTime>32</TotalTime>
  <ScaleCrop>false</ScaleCrop>
  <LinksUpToDate>false</LinksUpToDate>
  <CharactersWithSpaces>20146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2023-01-30T00:47:00Z</dcterms:created>
  <dc:creator>胡成芳</dc:creator>
  <cp:lastModifiedBy>Administrator</cp:lastModifiedBy>
  <cp:lastPrinted>2023-05-16T00:59:00Z</cp:lastPrinted>
  <dcterms:modified xsi:type="dcterms:W3CDTF">2023-09-20T04:42:25Z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F89E0471DF194BF287A7B60C198EB721_13</vt:lpwstr>
  </property>
</Properties>
</file>