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ascii="宋体" w:hAnsi="宋体"/>
          <w:b/>
          <w:bCs/>
          <w:color w:val="auto"/>
          <w:sz w:val="52"/>
          <w:szCs w:val="52"/>
          <w:highlight w:val="none"/>
        </w:rPr>
      </w:pPr>
    </w:p>
    <w:p>
      <w:pPr>
        <w:tabs>
          <w:tab w:val="left" w:pos="420"/>
        </w:tabs>
        <w:spacing w:line="1700" w:lineRule="exact"/>
        <w:jc w:val="center"/>
        <w:rPr>
          <w:rFonts w:ascii="宋体" w:hAnsi="宋体"/>
          <w:b/>
          <w:color w:val="auto"/>
          <w:sz w:val="52"/>
          <w:szCs w:val="52"/>
          <w:highlight w:val="none"/>
        </w:rPr>
      </w:pPr>
      <w:r>
        <w:rPr>
          <w:rFonts w:hint="eastAsia" w:ascii="宋体" w:hAnsi="宋体"/>
          <w:b/>
          <w:bCs/>
          <w:color w:val="auto"/>
          <w:sz w:val="52"/>
          <w:szCs w:val="52"/>
          <w:highlight w:val="none"/>
        </w:rPr>
        <w:t>服务类标准</w:t>
      </w:r>
      <w:r>
        <w:rPr>
          <w:rFonts w:hint="eastAsia" w:ascii="微软简标宋"/>
          <w:b/>
          <w:bCs/>
          <w:color w:val="auto"/>
          <w:sz w:val="52"/>
          <w:highlight w:val="none"/>
        </w:rPr>
        <w:t>招标文件</w:t>
      </w:r>
    </w:p>
    <w:p>
      <w:pPr>
        <w:tabs>
          <w:tab w:val="left" w:pos="315"/>
          <w:tab w:val="left" w:pos="8820"/>
        </w:tabs>
        <w:spacing w:line="500" w:lineRule="exact"/>
        <w:jc w:val="right"/>
        <w:rPr>
          <w:rFonts w:ascii="微软简标宋"/>
          <w:bCs/>
          <w:color w:val="auto"/>
          <w:sz w:val="52"/>
          <w:highlight w:val="none"/>
        </w:rPr>
      </w:pPr>
    </w:p>
    <w:p>
      <w:pPr>
        <w:tabs>
          <w:tab w:val="left" w:pos="315"/>
          <w:tab w:val="left" w:pos="8820"/>
        </w:tabs>
        <w:spacing w:line="500" w:lineRule="exact"/>
        <w:jc w:val="right"/>
        <w:rPr>
          <w:rFonts w:ascii="微软简标宋"/>
          <w:bCs/>
          <w:color w:val="auto"/>
          <w:sz w:val="52"/>
          <w:highlight w:val="none"/>
        </w:rPr>
      </w:pPr>
    </w:p>
    <w:p>
      <w:pPr>
        <w:tabs>
          <w:tab w:val="left" w:pos="315"/>
          <w:tab w:val="left" w:pos="8820"/>
        </w:tabs>
        <w:spacing w:line="500" w:lineRule="exact"/>
        <w:jc w:val="right"/>
        <w:rPr>
          <w:rFonts w:ascii="微软简标宋"/>
          <w:bCs/>
          <w:color w:val="auto"/>
          <w:sz w:val="52"/>
          <w:highlight w:val="none"/>
        </w:rPr>
      </w:pPr>
    </w:p>
    <w:p>
      <w:pPr>
        <w:tabs>
          <w:tab w:val="left" w:pos="315"/>
          <w:tab w:val="left" w:pos="5220"/>
          <w:tab w:val="left" w:pos="8820"/>
        </w:tabs>
        <w:spacing w:line="500" w:lineRule="exact"/>
        <w:rPr>
          <w:rFonts w:ascii="微软简标宋"/>
          <w:bCs/>
          <w:color w:val="auto"/>
          <w:sz w:val="52"/>
          <w:highlight w:val="none"/>
        </w:rPr>
      </w:pPr>
      <w:r>
        <w:rPr>
          <w:rFonts w:hint="eastAsia" w:ascii="微软简标宋"/>
          <w:bCs/>
          <w:color w:val="auto"/>
          <w:sz w:val="52"/>
          <w:highlight w:val="none"/>
        </w:rPr>
        <w:tab/>
      </w:r>
      <w:r>
        <w:rPr>
          <w:rFonts w:hint="eastAsia" w:ascii="微软简标宋"/>
          <w:bCs/>
          <w:color w:val="auto"/>
          <w:sz w:val="52"/>
          <w:highlight w:val="none"/>
        </w:rPr>
        <w:tab/>
      </w:r>
      <w:r>
        <w:rPr>
          <w:rFonts w:hint="eastAsia" w:ascii="微软简标宋"/>
          <w:bCs/>
          <w:color w:val="auto"/>
          <w:sz w:val="52"/>
          <w:highlight w:val="none"/>
        </w:rPr>
        <w:tab/>
      </w:r>
    </w:p>
    <w:p>
      <w:pPr>
        <w:spacing w:line="360" w:lineRule="auto"/>
        <w:jc w:val="left"/>
        <w:rPr>
          <w:rFonts w:ascii="宋体" w:hAnsi="宋体"/>
          <w:color w:val="auto"/>
          <w:szCs w:val="21"/>
          <w:highlight w:val="none"/>
        </w:rPr>
      </w:pPr>
    </w:p>
    <w:p>
      <w:pPr>
        <w:widowControl/>
        <w:jc w:val="center"/>
        <w:rPr>
          <w:color w:val="auto"/>
          <w:highlight w:val="none"/>
        </w:rPr>
      </w:pPr>
      <w:r>
        <w:rPr>
          <w:color w:val="auto"/>
          <w:highlight w:val="none"/>
        </w:rPr>
        <w:drawing>
          <wp:inline distT="0" distB="0" distL="0" distR="0">
            <wp:extent cx="1381125" cy="13335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81125" cy="1333500"/>
                    </a:xfrm>
                    <a:prstGeom prst="rect">
                      <a:avLst/>
                    </a:prstGeom>
                    <a:noFill/>
                    <a:ln>
                      <a:noFill/>
                    </a:ln>
                  </pic:spPr>
                </pic:pic>
              </a:graphicData>
            </a:graphic>
          </wp:inline>
        </w:drawing>
      </w:r>
    </w:p>
    <w:p>
      <w:pPr>
        <w:widowControl/>
        <w:jc w:val="center"/>
        <w:rPr>
          <w:color w:val="auto"/>
          <w:highlight w:val="none"/>
        </w:rPr>
      </w:pPr>
    </w:p>
    <w:p>
      <w:pPr>
        <w:widowControl/>
        <w:jc w:val="center"/>
        <w:rPr>
          <w:rFonts w:ascii="宋体" w:hAnsi="宋体" w:cs="宋体"/>
          <w:color w:val="auto"/>
          <w:kern w:val="0"/>
          <w:sz w:val="24"/>
          <w:szCs w:val="24"/>
          <w:highlight w:val="none"/>
        </w:rPr>
      </w:pPr>
    </w:p>
    <w:p>
      <w:pPr>
        <w:tabs>
          <w:tab w:val="left" w:pos="2410"/>
        </w:tabs>
        <w:autoSpaceDE w:val="0"/>
        <w:autoSpaceDN w:val="0"/>
        <w:adjustRightInd w:val="0"/>
        <w:snapToGrid w:val="0"/>
        <w:spacing w:line="360" w:lineRule="auto"/>
        <w:rPr>
          <w:rFonts w:ascii="Arial Black" w:hAnsi="Arial Black"/>
          <w:color w:val="auto"/>
          <w:sz w:val="44"/>
          <w:highlight w:val="none"/>
        </w:rPr>
      </w:pPr>
    </w:p>
    <w:p>
      <w:pPr>
        <w:tabs>
          <w:tab w:val="left" w:pos="2410"/>
        </w:tabs>
        <w:autoSpaceDE w:val="0"/>
        <w:autoSpaceDN w:val="0"/>
        <w:adjustRightInd w:val="0"/>
        <w:snapToGrid w:val="0"/>
        <w:spacing w:line="360" w:lineRule="auto"/>
        <w:rPr>
          <w:rFonts w:ascii="宋体" w:hAnsi="DotumChe" w:cs="宋体"/>
          <w:b/>
          <w:color w:val="auto"/>
          <w:spacing w:val="20"/>
          <w:kern w:val="0"/>
          <w:sz w:val="36"/>
          <w:szCs w:val="36"/>
          <w:highlight w:val="none"/>
        </w:rPr>
      </w:pPr>
    </w:p>
    <w:p>
      <w:pPr>
        <w:pStyle w:val="58"/>
        <w:rPr>
          <w:color w:val="auto"/>
          <w:highlight w:val="none"/>
        </w:rPr>
      </w:pPr>
    </w:p>
    <w:p>
      <w:pPr>
        <w:spacing w:line="560" w:lineRule="exact"/>
        <w:ind w:left="630" w:leftChars="300"/>
        <w:jc w:val="left"/>
        <w:rPr>
          <w:rFonts w:ascii="宋体" w:hAnsi="DotumChe" w:cs="宋体"/>
          <w:b/>
          <w:color w:val="auto"/>
          <w:spacing w:val="20"/>
          <w:kern w:val="0"/>
          <w:sz w:val="32"/>
          <w:szCs w:val="32"/>
          <w:highlight w:val="none"/>
        </w:rPr>
      </w:pPr>
      <w:r>
        <w:rPr>
          <w:rFonts w:hint="eastAsia" w:ascii="宋体" w:hAnsi="DotumChe" w:cs="宋体"/>
          <w:b/>
          <w:color w:val="auto"/>
          <w:spacing w:val="20"/>
          <w:kern w:val="0"/>
          <w:sz w:val="32"/>
          <w:szCs w:val="32"/>
          <w:highlight w:val="none"/>
        </w:rPr>
        <w:t>项目名称：合肥文旅博览集团2023年人才招聘</w:t>
      </w:r>
    </w:p>
    <w:p>
      <w:pPr>
        <w:spacing w:line="560" w:lineRule="exact"/>
        <w:ind w:left="630" w:leftChars="300"/>
        <w:jc w:val="left"/>
        <w:rPr>
          <w:rFonts w:ascii="宋体" w:hAnsi="DotumChe" w:cs="宋体"/>
          <w:b/>
          <w:color w:val="auto"/>
          <w:spacing w:val="20"/>
          <w:kern w:val="0"/>
          <w:sz w:val="32"/>
          <w:szCs w:val="32"/>
          <w:highlight w:val="none"/>
        </w:rPr>
      </w:pPr>
      <w:r>
        <w:rPr>
          <w:rFonts w:hint="eastAsia" w:ascii="宋体" w:hAnsi="DotumChe" w:cs="宋体"/>
          <w:b/>
          <w:color w:val="auto"/>
          <w:spacing w:val="20"/>
          <w:kern w:val="0"/>
          <w:sz w:val="32"/>
          <w:szCs w:val="32"/>
          <w:highlight w:val="none"/>
        </w:rPr>
        <w:t>项目编号：2023WLBLZB00077号</w:t>
      </w:r>
    </w:p>
    <w:p>
      <w:pPr>
        <w:spacing w:line="560" w:lineRule="exact"/>
        <w:ind w:left="630" w:leftChars="300"/>
        <w:jc w:val="left"/>
        <w:rPr>
          <w:rFonts w:ascii="宋体" w:hAnsi="DotumChe" w:cs="宋体"/>
          <w:b/>
          <w:color w:val="auto"/>
          <w:spacing w:val="20"/>
          <w:kern w:val="0"/>
          <w:sz w:val="32"/>
          <w:szCs w:val="32"/>
          <w:highlight w:val="none"/>
        </w:rPr>
      </w:pPr>
      <w:r>
        <w:rPr>
          <w:rFonts w:hint="eastAsia" w:ascii="宋体" w:hAnsi="DotumChe" w:cs="宋体"/>
          <w:b/>
          <w:color w:val="auto"/>
          <w:spacing w:val="20"/>
          <w:kern w:val="0"/>
          <w:sz w:val="32"/>
          <w:szCs w:val="32"/>
          <w:highlight w:val="none"/>
        </w:rPr>
        <w:t>招 标 人：合肥文旅博览集团有限公司</w:t>
      </w:r>
    </w:p>
    <w:p>
      <w:pPr>
        <w:spacing w:line="560" w:lineRule="exact"/>
        <w:ind w:left="630" w:leftChars="300"/>
        <w:jc w:val="left"/>
        <w:rPr>
          <w:rFonts w:ascii="宋体" w:hAnsi="DotumChe" w:cs="宋体"/>
          <w:b/>
          <w:color w:val="auto"/>
          <w:spacing w:val="20"/>
          <w:kern w:val="0"/>
          <w:sz w:val="32"/>
          <w:szCs w:val="32"/>
          <w:highlight w:val="none"/>
        </w:rPr>
      </w:pPr>
      <w:r>
        <w:rPr>
          <w:rFonts w:hint="eastAsia" w:ascii="宋体" w:hAnsi="DotumChe" w:cs="宋体"/>
          <w:b/>
          <w:color w:val="auto"/>
          <w:spacing w:val="20"/>
          <w:kern w:val="0"/>
          <w:sz w:val="32"/>
          <w:szCs w:val="32"/>
          <w:highlight w:val="none"/>
        </w:rPr>
        <w:t>招标时间：2023年9月</w:t>
      </w:r>
    </w:p>
    <w:p>
      <w:pPr>
        <w:spacing w:line="500" w:lineRule="exact"/>
        <w:jc w:val="center"/>
        <w:rPr>
          <w:rFonts w:ascii="黑体" w:hAnsi="宋体" w:eastAsia="黑体"/>
          <w:b/>
          <w:color w:val="auto"/>
          <w:sz w:val="32"/>
          <w:highlight w:val="none"/>
        </w:rPr>
      </w:pPr>
    </w:p>
    <w:p>
      <w:pPr>
        <w:spacing w:line="500" w:lineRule="exact"/>
        <w:jc w:val="center"/>
        <w:rPr>
          <w:rFonts w:ascii="黑体" w:hAnsi="宋体" w:eastAsia="黑体"/>
          <w:b/>
          <w:color w:val="auto"/>
          <w:sz w:val="32"/>
          <w:highlight w:val="none"/>
        </w:rPr>
      </w:pPr>
    </w:p>
    <w:p>
      <w:pPr>
        <w:spacing w:line="500" w:lineRule="exact"/>
        <w:jc w:val="center"/>
        <w:rPr>
          <w:rFonts w:ascii="黑体" w:hAnsi="宋体" w:eastAsia="黑体"/>
          <w:b/>
          <w:color w:val="auto"/>
          <w:sz w:val="32"/>
          <w:highlight w:val="none"/>
        </w:rPr>
      </w:pPr>
      <w:r>
        <w:rPr>
          <w:rFonts w:hint="eastAsia" w:ascii="黑体" w:hAnsi="宋体" w:eastAsia="黑体"/>
          <w:b/>
          <w:color w:val="auto"/>
          <w:sz w:val="32"/>
          <w:highlight w:val="none"/>
        </w:rPr>
        <w:t>目    录</w:t>
      </w:r>
    </w:p>
    <w:p>
      <w:pPr>
        <w:spacing w:line="500" w:lineRule="exact"/>
        <w:jc w:val="center"/>
        <w:rPr>
          <w:rFonts w:ascii="黑体" w:hAnsi="宋体" w:eastAsia="黑体"/>
          <w:b/>
          <w:color w:val="auto"/>
          <w:sz w:val="32"/>
          <w:highlight w:val="none"/>
        </w:rPr>
      </w:pPr>
    </w:p>
    <w:p>
      <w:pPr>
        <w:pStyle w:val="42"/>
        <w:tabs>
          <w:tab w:val="right" w:leader="dot" w:pos="9413"/>
          <w:tab w:val="clear" w:pos="9403"/>
        </w:tabs>
      </w:pPr>
      <w:bookmarkStart w:id="0" w:name="_Hlt519045295"/>
      <w:bookmarkEnd w:id="0"/>
      <w:bookmarkStart w:id="1" w:name="_Hlt533241375"/>
      <w:bookmarkEnd w:id="1"/>
      <w:bookmarkStart w:id="2" w:name="_Hlt526418134"/>
      <w:bookmarkEnd w:id="2"/>
      <w:r>
        <w:rPr>
          <w:rFonts w:hint="eastAsia" w:ascii="宋体" w:hAnsi="宋体"/>
          <w:caps/>
          <w:color w:val="auto"/>
          <w:sz w:val="24"/>
          <w:highlight w:val="none"/>
        </w:rPr>
        <w:fldChar w:fldCharType="begin"/>
      </w:r>
      <w:r>
        <w:rPr>
          <w:rFonts w:hint="eastAsia" w:ascii="宋体" w:hAnsi="宋体"/>
          <w:caps/>
          <w:color w:val="auto"/>
          <w:sz w:val="24"/>
          <w:highlight w:val="none"/>
        </w:rPr>
        <w:instrText xml:space="preserve"> TOC \o "1-3" \h \z </w:instrText>
      </w:r>
      <w:r>
        <w:rPr>
          <w:rFonts w:hint="eastAsia" w:ascii="宋体" w:hAnsi="宋体"/>
          <w:caps/>
          <w:color w:val="auto"/>
          <w:sz w:val="24"/>
          <w:highlight w:val="none"/>
        </w:rPr>
        <w:fldChar w:fldCharType="separate"/>
      </w:r>
      <w:r>
        <w:rPr>
          <w:rFonts w:hint="eastAsia" w:ascii="宋体" w:hAnsi="宋体"/>
          <w:caps/>
          <w:color w:val="auto"/>
          <w:highlight w:val="none"/>
        </w:rPr>
        <w:fldChar w:fldCharType="begin"/>
      </w:r>
      <w:r>
        <w:rPr>
          <w:rFonts w:hint="eastAsia" w:ascii="宋体" w:hAnsi="宋体"/>
          <w:caps/>
          <w:highlight w:val="none"/>
        </w:rPr>
        <w:instrText xml:space="preserve"> HYPERLINK \l _Toc19700 </w:instrText>
      </w:r>
      <w:r>
        <w:rPr>
          <w:rFonts w:hint="eastAsia" w:ascii="宋体" w:hAnsi="宋体"/>
          <w:caps/>
          <w:highlight w:val="none"/>
        </w:rPr>
        <w:fldChar w:fldCharType="separate"/>
      </w:r>
      <w:r>
        <w:rPr>
          <w:rFonts w:hint="eastAsia" w:ascii="宋体" w:hAnsi="宋体" w:eastAsia="宋体"/>
          <w:highlight w:val="none"/>
        </w:rPr>
        <w:t>第一章 投标邀请（招标公告）</w:t>
      </w:r>
      <w:r>
        <w:tab/>
      </w:r>
      <w:r>
        <w:fldChar w:fldCharType="begin"/>
      </w:r>
      <w:r>
        <w:instrText xml:space="preserve"> PAGEREF _Toc19700 \h </w:instrText>
      </w:r>
      <w:r>
        <w:fldChar w:fldCharType="separate"/>
      </w:r>
      <w:r>
        <w:t>3</w:t>
      </w:r>
      <w:r>
        <w:fldChar w:fldCharType="end"/>
      </w:r>
      <w:r>
        <w:rPr>
          <w:rFonts w:hint="eastAsia" w:ascii="宋体" w:hAnsi="宋体"/>
          <w:caps/>
          <w:color w:val="auto"/>
          <w:highlight w:val="none"/>
        </w:rPr>
        <w:fldChar w:fldCharType="end"/>
      </w:r>
    </w:p>
    <w:p>
      <w:pPr>
        <w:pStyle w:val="42"/>
        <w:tabs>
          <w:tab w:val="right" w:leader="dot" w:pos="9413"/>
          <w:tab w:val="clear" w:pos="9403"/>
        </w:tabs>
      </w:pPr>
      <w:r>
        <w:rPr>
          <w:rFonts w:hint="eastAsia"/>
          <w:i w:val="0"/>
          <w:iCs w:val="0"/>
          <w:color w:val="auto"/>
          <w:highlight w:val="none"/>
        </w:rPr>
        <w:fldChar w:fldCharType="begin"/>
      </w:r>
      <w:r>
        <w:rPr>
          <w:rFonts w:hint="eastAsia"/>
          <w:i w:val="0"/>
          <w:iCs w:val="0"/>
          <w:highlight w:val="none"/>
        </w:rPr>
        <w:instrText xml:space="preserve"> HYPERLINK \l _Toc19946 </w:instrText>
      </w:r>
      <w:r>
        <w:rPr>
          <w:rFonts w:hint="eastAsia"/>
          <w:i w:val="0"/>
          <w:iCs w:val="0"/>
          <w:highlight w:val="none"/>
        </w:rPr>
        <w:fldChar w:fldCharType="separate"/>
      </w:r>
      <w:r>
        <w:rPr>
          <w:rFonts w:hint="eastAsia" w:ascii="宋体" w:hAnsi="宋体" w:eastAsia="宋体"/>
          <w:highlight w:val="none"/>
        </w:rPr>
        <w:t>第二章 投标人须知前附表</w:t>
      </w:r>
      <w:r>
        <w:tab/>
      </w:r>
      <w:r>
        <w:fldChar w:fldCharType="begin"/>
      </w:r>
      <w:r>
        <w:instrText xml:space="preserve"> PAGEREF _Toc19946 \h </w:instrText>
      </w:r>
      <w:r>
        <w:fldChar w:fldCharType="separate"/>
      </w:r>
      <w:r>
        <w:t>5</w:t>
      </w:r>
      <w:r>
        <w:fldChar w:fldCharType="end"/>
      </w:r>
      <w:r>
        <w:rPr>
          <w:rFonts w:hint="eastAsia"/>
          <w:i w:val="0"/>
          <w:iCs w:val="0"/>
          <w:color w:val="auto"/>
          <w:highlight w:val="none"/>
        </w:rPr>
        <w:fldChar w:fldCharType="end"/>
      </w:r>
    </w:p>
    <w:p>
      <w:pPr>
        <w:pStyle w:val="42"/>
        <w:tabs>
          <w:tab w:val="right" w:leader="dot" w:pos="9413"/>
          <w:tab w:val="clear" w:pos="9403"/>
        </w:tabs>
      </w:pPr>
      <w:r>
        <w:rPr>
          <w:rFonts w:hint="eastAsia"/>
          <w:i w:val="0"/>
          <w:iCs w:val="0"/>
          <w:color w:val="auto"/>
          <w:highlight w:val="none"/>
        </w:rPr>
        <w:fldChar w:fldCharType="begin"/>
      </w:r>
      <w:r>
        <w:rPr>
          <w:rFonts w:hint="eastAsia"/>
          <w:i w:val="0"/>
          <w:iCs w:val="0"/>
          <w:highlight w:val="none"/>
        </w:rPr>
        <w:instrText xml:space="preserve"> HYPERLINK \l _Toc15286 </w:instrText>
      </w:r>
      <w:r>
        <w:rPr>
          <w:rFonts w:hint="eastAsia"/>
          <w:i w:val="0"/>
          <w:iCs w:val="0"/>
          <w:highlight w:val="none"/>
        </w:rPr>
        <w:fldChar w:fldCharType="separate"/>
      </w:r>
      <w:r>
        <w:rPr>
          <w:rFonts w:hint="eastAsia" w:ascii="宋体" w:hAnsi="宋体" w:eastAsia="宋体"/>
          <w:highlight w:val="none"/>
        </w:rPr>
        <w:t>第三章 投标人须知</w:t>
      </w:r>
      <w:r>
        <w:tab/>
      </w:r>
      <w:r>
        <w:fldChar w:fldCharType="begin"/>
      </w:r>
      <w:r>
        <w:instrText xml:space="preserve"> PAGEREF _Toc15286 \h </w:instrText>
      </w:r>
      <w:r>
        <w:fldChar w:fldCharType="separate"/>
      </w:r>
      <w:r>
        <w:t>6</w:t>
      </w:r>
      <w:r>
        <w:fldChar w:fldCharType="end"/>
      </w:r>
      <w:r>
        <w:rPr>
          <w:rFonts w:hint="eastAsia"/>
          <w:i w:val="0"/>
          <w:iCs w:val="0"/>
          <w:color w:val="auto"/>
          <w:highlight w:val="none"/>
        </w:rPr>
        <w:fldChar w:fldCharType="end"/>
      </w:r>
    </w:p>
    <w:p>
      <w:pPr>
        <w:pStyle w:val="24"/>
        <w:tabs>
          <w:tab w:val="right" w:leader="dot" w:pos="9413"/>
          <w:tab w:val="clear" w:pos="9403"/>
        </w:tabs>
        <w:rPr>
          <w:rFonts w:hint="eastAsia" w:ascii="宋体" w:hAnsi="宋体" w:eastAsia="宋体" w:cs="宋体"/>
          <w:i w:val="0"/>
          <w:iCs w:val="0"/>
          <w:highlight w:val="none"/>
        </w:rPr>
      </w:pP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HYPERLINK \l _Toc30589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一．投标文件的编制</w:t>
      </w:r>
      <w:r>
        <w:rPr>
          <w:rFonts w:hint="eastAsia" w:ascii="宋体" w:hAnsi="宋体" w:eastAsia="宋体" w:cs="宋体"/>
          <w:i w:val="0"/>
          <w:iCs w:val="0"/>
          <w:highlight w:val="none"/>
        </w:rPr>
        <w:tab/>
      </w: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PAGEREF _Toc30589 \h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6</w:t>
      </w:r>
      <w:r>
        <w:rPr>
          <w:rFonts w:hint="eastAsia" w:ascii="宋体" w:hAnsi="宋体" w:eastAsia="宋体" w:cs="宋体"/>
          <w:i w:val="0"/>
          <w:iCs w:val="0"/>
          <w:highlight w:val="none"/>
        </w:rPr>
        <w:fldChar w:fldCharType="end"/>
      </w:r>
      <w:r>
        <w:rPr>
          <w:rFonts w:hint="eastAsia" w:ascii="宋体" w:hAnsi="宋体" w:eastAsia="宋体" w:cs="宋体"/>
          <w:i w:val="0"/>
          <w:iCs w:val="0"/>
          <w:highlight w:val="none"/>
        </w:rPr>
        <w:fldChar w:fldCharType="end"/>
      </w:r>
    </w:p>
    <w:p>
      <w:pPr>
        <w:pStyle w:val="24"/>
        <w:tabs>
          <w:tab w:val="right" w:leader="dot" w:pos="9413"/>
          <w:tab w:val="clear" w:pos="9403"/>
        </w:tabs>
        <w:rPr>
          <w:rFonts w:hint="eastAsia" w:ascii="宋体" w:hAnsi="宋体" w:eastAsia="宋体" w:cs="宋体"/>
          <w:i w:val="0"/>
          <w:iCs w:val="0"/>
          <w:highlight w:val="none"/>
        </w:rPr>
      </w:pP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HYPERLINK \l _Toc28436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三．投标文件的递交</w:t>
      </w:r>
      <w:r>
        <w:rPr>
          <w:rFonts w:hint="eastAsia" w:ascii="宋体" w:hAnsi="宋体" w:eastAsia="宋体" w:cs="宋体"/>
          <w:i w:val="0"/>
          <w:iCs w:val="0"/>
          <w:highlight w:val="none"/>
        </w:rPr>
        <w:tab/>
      </w: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PAGEREF _Toc28436 \h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8</w:t>
      </w:r>
      <w:r>
        <w:rPr>
          <w:rFonts w:hint="eastAsia" w:ascii="宋体" w:hAnsi="宋体" w:eastAsia="宋体" w:cs="宋体"/>
          <w:i w:val="0"/>
          <w:iCs w:val="0"/>
          <w:highlight w:val="none"/>
        </w:rPr>
        <w:fldChar w:fldCharType="end"/>
      </w:r>
      <w:r>
        <w:rPr>
          <w:rFonts w:hint="eastAsia" w:ascii="宋体" w:hAnsi="宋体" w:eastAsia="宋体" w:cs="宋体"/>
          <w:i w:val="0"/>
          <w:iCs w:val="0"/>
          <w:highlight w:val="none"/>
        </w:rPr>
        <w:fldChar w:fldCharType="end"/>
      </w:r>
    </w:p>
    <w:p>
      <w:pPr>
        <w:pStyle w:val="24"/>
        <w:tabs>
          <w:tab w:val="right" w:leader="dot" w:pos="9413"/>
          <w:tab w:val="clear" w:pos="9403"/>
        </w:tabs>
        <w:rPr>
          <w:rFonts w:hint="eastAsia" w:ascii="宋体" w:hAnsi="宋体" w:eastAsia="宋体" w:cs="宋体"/>
          <w:i w:val="0"/>
          <w:iCs w:val="0"/>
          <w:highlight w:val="none"/>
        </w:rPr>
      </w:pP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HYPERLINK \l _Toc6201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四．开标、评标及定标</w:t>
      </w:r>
      <w:r>
        <w:rPr>
          <w:rFonts w:hint="eastAsia" w:ascii="宋体" w:hAnsi="宋体" w:eastAsia="宋体" w:cs="宋体"/>
          <w:i w:val="0"/>
          <w:iCs w:val="0"/>
          <w:highlight w:val="none"/>
        </w:rPr>
        <w:tab/>
      </w: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PAGEREF _Toc6201 \h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8</w:t>
      </w:r>
      <w:r>
        <w:rPr>
          <w:rFonts w:hint="eastAsia" w:ascii="宋体" w:hAnsi="宋体" w:eastAsia="宋体" w:cs="宋体"/>
          <w:i w:val="0"/>
          <w:iCs w:val="0"/>
          <w:highlight w:val="none"/>
        </w:rPr>
        <w:fldChar w:fldCharType="end"/>
      </w:r>
      <w:r>
        <w:rPr>
          <w:rFonts w:hint="eastAsia" w:ascii="宋体" w:hAnsi="宋体" w:eastAsia="宋体" w:cs="宋体"/>
          <w:i w:val="0"/>
          <w:iCs w:val="0"/>
          <w:highlight w:val="none"/>
        </w:rPr>
        <w:fldChar w:fldCharType="end"/>
      </w:r>
    </w:p>
    <w:p>
      <w:pPr>
        <w:pStyle w:val="24"/>
        <w:tabs>
          <w:tab w:val="right" w:leader="dot" w:pos="9413"/>
          <w:tab w:val="clear" w:pos="9403"/>
        </w:tabs>
        <w:rPr>
          <w:rFonts w:hint="eastAsia" w:ascii="宋体" w:hAnsi="宋体" w:eastAsia="宋体" w:cs="宋体"/>
          <w:i w:val="0"/>
          <w:iCs w:val="0"/>
          <w:highlight w:val="none"/>
        </w:rPr>
      </w:pP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HYPERLINK \l _Toc31481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五. 投标信息发布</w:t>
      </w:r>
      <w:r>
        <w:rPr>
          <w:rFonts w:hint="eastAsia" w:ascii="宋体" w:hAnsi="宋体" w:eastAsia="宋体" w:cs="宋体"/>
          <w:i w:val="0"/>
          <w:iCs w:val="0"/>
          <w:highlight w:val="none"/>
        </w:rPr>
        <w:tab/>
      </w: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PAGEREF _Toc31481 \h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11</w:t>
      </w:r>
      <w:r>
        <w:rPr>
          <w:rFonts w:hint="eastAsia" w:ascii="宋体" w:hAnsi="宋体" w:eastAsia="宋体" w:cs="宋体"/>
          <w:i w:val="0"/>
          <w:iCs w:val="0"/>
          <w:highlight w:val="none"/>
        </w:rPr>
        <w:fldChar w:fldCharType="end"/>
      </w:r>
      <w:r>
        <w:rPr>
          <w:rFonts w:hint="eastAsia" w:ascii="宋体" w:hAnsi="宋体" w:eastAsia="宋体" w:cs="宋体"/>
          <w:i w:val="0"/>
          <w:iCs w:val="0"/>
          <w:highlight w:val="none"/>
        </w:rPr>
        <w:fldChar w:fldCharType="end"/>
      </w:r>
    </w:p>
    <w:p>
      <w:pPr>
        <w:pStyle w:val="24"/>
        <w:tabs>
          <w:tab w:val="right" w:leader="dot" w:pos="9413"/>
          <w:tab w:val="clear" w:pos="9403"/>
        </w:tabs>
        <w:rPr>
          <w:rFonts w:hint="eastAsia" w:ascii="宋体" w:hAnsi="宋体" w:eastAsia="宋体" w:cs="宋体"/>
          <w:i w:val="0"/>
          <w:iCs w:val="0"/>
          <w:highlight w:val="none"/>
        </w:rPr>
      </w:pP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HYPERLINK \l _Toc20058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六．投标文件的澄清</w:t>
      </w:r>
      <w:r>
        <w:rPr>
          <w:rFonts w:hint="eastAsia" w:ascii="宋体" w:hAnsi="宋体" w:eastAsia="宋体" w:cs="宋体"/>
          <w:i w:val="0"/>
          <w:iCs w:val="0"/>
          <w:highlight w:val="none"/>
        </w:rPr>
        <w:tab/>
      </w: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PAGEREF _Toc20058 \h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11</w:t>
      </w:r>
      <w:r>
        <w:rPr>
          <w:rFonts w:hint="eastAsia" w:ascii="宋体" w:hAnsi="宋体" w:eastAsia="宋体" w:cs="宋体"/>
          <w:i w:val="0"/>
          <w:iCs w:val="0"/>
          <w:highlight w:val="none"/>
        </w:rPr>
        <w:fldChar w:fldCharType="end"/>
      </w:r>
      <w:r>
        <w:rPr>
          <w:rFonts w:hint="eastAsia" w:ascii="宋体" w:hAnsi="宋体" w:eastAsia="宋体" w:cs="宋体"/>
          <w:i w:val="0"/>
          <w:iCs w:val="0"/>
          <w:highlight w:val="none"/>
        </w:rPr>
        <w:fldChar w:fldCharType="end"/>
      </w:r>
    </w:p>
    <w:p>
      <w:pPr>
        <w:pStyle w:val="24"/>
        <w:tabs>
          <w:tab w:val="right" w:leader="dot" w:pos="9413"/>
          <w:tab w:val="clear" w:pos="9403"/>
        </w:tabs>
        <w:rPr>
          <w:rFonts w:hint="eastAsia" w:ascii="宋体" w:hAnsi="宋体" w:eastAsia="宋体" w:cs="宋体"/>
          <w:i w:val="0"/>
          <w:iCs w:val="0"/>
          <w:highlight w:val="none"/>
        </w:rPr>
      </w:pP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HYPERLINK \l _Toc24261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七.中标通知书</w:t>
      </w:r>
      <w:r>
        <w:rPr>
          <w:rFonts w:hint="eastAsia" w:ascii="宋体" w:hAnsi="宋体" w:eastAsia="宋体" w:cs="宋体"/>
          <w:i w:val="0"/>
          <w:iCs w:val="0"/>
          <w:highlight w:val="none"/>
        </w:rPr>
        <w:tab/>
      </w: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PAGEREF _Toc24261 \h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11</w:t>
      </w:r>
      <w:r>
        <w:rPr>
          <w:rFonts w:hint="eastAsia" w:ascii="宋体" w:hAnsi="宋体" w:eastAsia="宋体" w:cs="宋体"/>
          <w:i w:val="0"/>
          <w:iCs w:val="0"/>
          <w:highlight w:val="none"/>
        </w:rPr>
        <w:fldChar w:fldCharType="end"/>
      </w:r>
      <w:r>
        <w:rPr>
          <w:rFonts w:hint="eastAsia" w:ascii="宋体" w:hAnsi="宋体" w:eastAsia="宋体" w:cs="宋体"/>
          <w:i w:val="0"/>
          <w:iCs w:val="0"/>
          <w:highlight w:val="none"/>
        </w:rPr>
        <w:fldChar w:fldCharType="end"/>
      </w:r>
    </w:p>
    <w:p>
      <w:pPr>
        <w:pStyle w:val="24"/>
        <w:tabs>
          <w:tab w:val="right" w:leader="dot" w:pos="9413"/>
          <w:tab w:val="clear" w:pos="9403"/>
        </w:tabs>
        <w:rPr>
          <w:rFonts w:hint="eastAsia" w:ascii="宋体" w:hAnsi="宋体" w:eastAsia="宋体" w:cs="宋体"/>
          <w:i w:val="0"/>
          <w:iCs w:val="0"/>
          <w:highlight w:val="none"/>
        </w:rPr>
      </w:pP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HYPERLINK \l _Toc21898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八.异议处理</w:t>
      </w:r>
      <w:r>
        <w:rPr>
          <w:rFonts w:hint="eastAsia" w:ascii="宋体" w:hAnsi="宋体" w:eastAsia="宋体" w:cs="宋体"/>
          <w:i w:val="0"/>
          <w:iCs w:val="0"/>
          <w:highlight w:val="none"/>
        </w:rPr>
        <w:tab/>
      </w: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PAGEREF _Toc21898 \h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11</w:t>
      </w:r>
      <w:r>
        <w:rPr>
          <w:rFonts w:hint="eastAsia" w:ascii="宋体" w:hAnsi="宋体" w:eastAsia="宋体" w:cs="宋体"/>
          <w:i w:val="0"/>
          <w:iCs w:val="0"/>
          <w:highlight w:val="none"/>
        </w:rPr>
        <w:fldChar w:fldCharType="end"/>
      </w:r>
      <w:r>
        <w:rPr>
          <w:rFonts w:hint="eastAsia" w:ascii="宋体" w:hAnsi="宋体" w:eastAsia="宋体" w:cs="宋体"/>
          <w:i w:val="0"/>
          <w:iCs w:val="0"/>
          <w:highlight w:val="none"/>
        </w:rPr>
        <w:fldChar w:fldCharType="end"/>
      </w:r>
    </w:p>
    <w:p>
      <w:pPr>
        <w:pStyle w:val="24"/>
        <w:tabs>
          <w:tab w:val="right" w:leader="dot" w:pos="9413"/>
          <w:tab w:val="clear" w:pos="9403"/>
        </w:tabs>
        <w:rPr>
          <w:rFonts w:hint="eastAsia" w:ascii="宋体" w:hAnsi="宋体" w:eastAsia="宋体" w:cs="宋体"/>
          <w:i w:val="0"/>
          <w:iCs w:val="0"/>
          <w:highlight w:val="none"/>
        </w:rPr>
      </w:pP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HYPERLINK \l _Toc25115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九．签订合同</w:t>
      </w:r>
      <w:r>
        <w:rPr>
          <w:rFonts w:hint="eastAsia" w:ascii="宋体" w:hAnsi="宋体" w:eastAsia="宋体" w:cs="宋体"/>
          <w:i w:val="0"/>
          <w:iCs w:val="0"/>
          <w:highlight w:val="none"/>
        </w:rPr>
        <w:tab/>
      </w:r>
      <w:r>
        <w:rPr>
          <w:rFonts w:hint="eastAsia" w:ascii="宋体" w:hAnsi="宋体" w:eastAsia="宋体" w:cs="宋体"/>
          <w:i w:val="0"/>
          <w:iCs w:val="0"/>
          <w:highlight w:val="none"/>
        </w:rPr>
        <w:fldChar w:fldCharType="begin"/>
      </w:r>
      <w:r>
        <w:rPr>
          <w:rFonts w:hint="eastAsia" w:ascii="宋体" w:hAnsi="宋体" w:eastAsia="宋体" w:cs="宋体"/>
          <w:i w:val="0"/>
          <w:iCs w:val="0"/>
          <w:highlight w:val="none"/>
        </w:rPr>
        <w:instrText xml:space="preserve"> PAGEREF _Toc25115 \h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12</w:t>
      </w:r>
      <w:r>
        <w:rPr>
          <w:rFonts w:hint="eastAsia" w:ascii="宋体" w:hAnsi="宋体" w:eastAsia="宋体" w:cs="宋体"/>
          <w:i w:val="0"/>
          <w:iCs w:val="0"/>
          <w:highlight w:val="none"/>
        </w:rPr>
        <w:fldChar w:fldCharType="end"/>
      </w:r>
      <w:r>
        <w:rPr>
          <w:rFonts w:hint="eastAsia" w:ascii="宋体" w:hAnsi="宋体" w:eastAsia="宋体" w:cs="宋体"/>
          <w:i w:val="0"/>
          <w:iCs w:val="0"/>
          <w:highlight w:val="none"/>
        </w:rPr>
        <w:fldChar w:fldCharType="end"/>
      </w:r>
    </w:p>
    <w:p>
      <w:pPr>
        <w:pStyle w:val="42"/>
        <w:tabs>
          <w:tab w:val="right" w:leader="dot" w:pos="9413"/>
          <w:tab w:val="clear" w:pos="9403"/>
        </w:tabs>
      </w:pPr>
      <w:r>
        <w:rPr>
          <w:rFonts w:hint="eastAsia"/>
          <w:i w:val="0"/>
          <w:iCs w:val="0"/>
          <w:color w:val="auto"/>
          <w:highlight w:val="none"/>
        </w:rPr>
        <w:fldChar w:fldCharType="begin"/>
      </w:r>
      <w:r>
        <w:rPr>
          <w:rFonts w:hint="eastAsia"/>
          <w:i w:val="0"/>
          <w:iCs w:val="0"/>
          <w:highlight w:val="none"/>
        </w:rPr>
        <w:instrText xml:space="preserve"> HYPERLINK \l _Toc28409 </w:instrText>
      </w:r>
      <w:r>
        <w:rPr>
          <w:rFonts w:hint="eastAsia"/>
          <w:i w:val="0"/>
          <w:iCs w:val="0"/>
          <w:highlight w:val="none"/>
        </w:rPr>
        <w:fldChar w:fldCharType="separate"/>
      </w:r>
      <w:r>
        <w:rPr>
          <w:rFonts w:hint="eastAsia" w:ascii="宋体" w:hAnsi="宋体" w:eastAsia="宋体"/>
          <w:highlight w:val="none"/>
        </w:rPr>
        <w:t>第四章</w:t>
      </w:r>
      <w:r>
        <w:rPr>
          <w:rFonts w:hint="eastAsia" w:ascii="宋体" w:hAnsi="宋体" w:eastAsia="宋体"/>
          <w:szCs w:val="36"/>
          <w:highlight w:val="none"/>
        </w:rPr>
        <w:t>招标需求</w:t>
      </w:r>
      <w:r>
        <w:tab/>
      </w:r>
      <w:r>
        <w:fldChar w:fldCharType="begin"/>
      </w:r>
      <w:r>
        <w:instrText xml:space="preserve"> PAGEREF _Toc28409 \h </w:instrText>
      </w:r>
      <w:r>
        <w:fldChar w:fldCharType="separate"/>
      </w:r>
      <w:r>
        <w:t>13</w:t>
      </w:r>
      <w:r>
        <w:fldChar w:fldCharType="end"/>
      </w:r>
      <w:r>
        <w:rPr>
          <w:rFonts w:hint="eastAsia"/>
          <w:i w:val="0"/>
          <w:iCs w:val="0"/>
          <w:color w:val="auto"/>
          <w:highlight w:val="none"/>
        </w:rPr>
        <w:fldChar w:fldCharType="end"/>
      </w:r>
    </w:p>
    <w:p>
      <w:pPr>
        <w:pStyle w:val="42"/>
        <w:tabs>
          <w:tab w:val="right" w:leader="dot" w:pos="9413"/>
          <w:tab w:val="clear" w:pos="9403"/>
        </w:tabs>
      </w:pPr>
      <w:r>
        <w:rPr>
          <w:rFonts w:hint="eastAsia"/>
          <w:i w:val="0"/>
          <w:iCs w:val="0"/>
          <w:color w:val="auto"/>
          <w:highlight w:val="none"/>
        </w:rPr>
        <w:fldChar w:fldCharType="begin"/>
      </w:r>
      <w:r>
        <w:rPr>
          <w:rFonts w:hint="eastAsia"/>
          <w:i w:val="0"/>
          <w:iCs w:val="0"/>
          <w:highlight w:val="none"/>
        </w:rPr>
        <w:instrText xml:space="preserve"> HYPERLINK \l _Toc24861 </w:instrText>
      </w:r>
      <w:r>
        <w:rPr>
          <w:rFonts w:hint="eastAsia"/>
          <w:i w:val="0"/>
          <w:iCs w:val="0"/>
          <w:highlight w:val="none"/>
        </w:rPr>
        <w:fldChar w:fldCharType="separate"/>
      </w:r>
      <w:r>
        <w:rPr>
          <w:rFonts w:hint="eastAsia" w:ascii="宋体" w:hAnsi="宋体" w:eastAsia="宋体"/>
          <w:highlight w:val="none"/>
        </w:rPr>
        <w:t>第五章 评标办法</w:t>
      </w:r>
      <w:r>
        <w:tab/>
      </w:r>
      <w:r>
        <w:fldChar w:fldCharType="begin"/>
      </w:r>
      <w:r>
        <w:instrText xml:space="preserve"> PAGEREF _Toc24861 \h </w:instrText>
      </w:r>
      <w:r>
        <w:fldChar w:fldCharType="separate"/>
      </w:r>
      <w:r>
        <w:t>18</w:t>
      </w:r>
      <w:r>
        <w:fldChar w:fldCharType="end"/>
      </w:r>
      <w:r>
        <w:rPr>
          <w:rFonts w:hint="eastAsia"/>
          <w:i w:val="0"/>
          <w:iCs w:val="0"/>
          <w:color w:val="auto"/>
          <w:highlight w:val="none"/>
        </w:rPr>
        <w:fldChar w:fldCharType="end"/>
      </w:r>
    </w:p>
    <w:p>
      <w:pPr>
        <w:pStyle w:val="42"/>
        <w:tabs>
          <w:tab w:val="right" w:leader="dot" w:pos="9413"/>
          <w:tab w:val="clear" w:pos="9403"/>
        </w:tabs>
      </w:pPr>
      <w:r>
        <w:rPr>
          <w:rFonts w:hint="eastAsia"/>
          <w:i w:val="0"/>
          <w:iCs w:val="0"/>
          <w:color w:val="auto"/>
          <w:highlight w:val="none"/>
        </w:rPr>
        <w:fldChar w:fldCharType="begin"/>
      </w:r>
      <w:r>
        <w:rPr>
          <w:rFonts w:hint="eastAsia"/>
          <w:i w:val="0"/>
          <w:iCs w:val="0"/>
          <w:highlight w:val="none"/>
        </w:rPr>
        <w:instrText xml:space="preserve"> HYPERLINK \l _Toc28461 </w:instrText>
      </w:r>
      <w:r>
        <w:rPr>
          <w:rFonts w:hint="eastAsia"/>
          <w:i w:val="0"/>
          <w:iCs w:val="0"/>
          <w:highlight w:val="none"/>
        </w:rPr>
        <w:fldChar w:fldCharType="separate"/>
      </w:r>
      <w:r>
        <w:rPr>
          <w:rFonts w:hint="eastAsia" w:ascii="宋体" w:hAnsi="宋体" w:eastAsia="宋体"/>
          <w:highlight w:val="none"/>
        </w:rPr>
        <w:t>第六章 合同</w:t>
      </w:r>
      <w:r>
        <w:tab/>
      </w:r>
      <w:r>
        <w:fldChar w:fldCharType="begin"/>
      </w:r>
      <w:r>
        <w:instrText xml:space="preserve"> PAGEREF _Toc28461 \h </w:instrText>
      </w:r>
      <w:r>
        <w:fldChar w:fldCharType="separate"/>
      </w:r>
      <w:r>
        <w:t>25</w:t>
      </w:r>
      <w:r>
        <w:fldChar w:fldCharType="end"/>
      </w:r>
      <w:r>
        <w:rPr>
          <w:rFonts w:hint="eastAsia"/>
          <w:i w:val="0"/>
          <w:iCs w:val="0"/>
          <w:color w:val="auto"/>
          <w:highlight w:val="none"/>
        </w:rPr>
        <w:fldChar w:fldCharType="end"/>
      </w:r>
    </w:p>
    <w:p>
      <w:pPr>
        <w:pStyle w:val="42"/>
        <w:tabs>
          <w:tab w:val="right" w:leader="dot" w:pos="9413"/>
          <w:tab w:val="clear" w:pos="9403"/>
        </w:tabs>
      </w:pPr>
      <w:r>
        <w:rPr>
          <w:rFonts w:hint="eastAsia"/>
          <w:i w:val="0"/>
          <w:iCs w:val="0"/>
          <w:color w:val="auto"/>
          <w:highlight w:val="none"/>
        </w:rPr>
        <w:fldChar w:fldCharType="begin"/>
      </w:r>
      <w:r>
        <w:rPr>
          <w:rFonts w:hint="eastAsia"/>
          <w:i w:val="0"/>
          <w:iCs w:val="0"/>
          <w:highlight w:val="none"/>
        </w:rPr>
        <w:instrText xml:space="preserve"> HYPERLINK \l _Toc19320 </w:instrText>
      </w:r>
      <w:r>
        <w:rPr>
          <w:rFonts w:hint="eastAsia"/>
          <w:i w:val="0"/>
          <w:iCs w:val="0"/>
          <w:highlight w:val="none"/>
        </w:rPr>
        <w:fldChar w:fldCharType="separate"/>
      </w:r>
      <w:r>
        <w:rPr>
          <w:rFonts w:hint="eastAsia" w:ascii="宋体" w:hAnsi="宋体" w:eastAsia="宋体"/>
          <w:highlight w:val="none"/>
        </w:rPr>
        <w:t>第七章 投标文件格式</w:t>
      </w:r>
      <w:r>
        <w:tab/>
      </w:r>
      <w:r>
        <w:fldChar w:fldCharType="begin"/>
      </w:r>
      <w:r>
        <w:instrText xml:space="preserve"> PAGEREF _Toc19320 \h </w:instrText>
      </w:r>
      <w:r>
        <w:fldChar w:fldCharType="separate"/>
      </w:r>
      <w:r>
        <w:t>29</w:t>
      </w:r>
      <w:r>
        <w:fldChar w:fldCharType="end"/>
      </w:r>
      <w:r>
        <w:rPr>
          <w:rFonts w:hint="eastAsia"/>
          <w:i w:val="0"/>
          <w:iCs w:val="0"/>
          <w:color w:val="auto"/>
          <w:highlight w:val="none"/>
        </w:rPr>
        <w:fldChar w:fldCharType="end"/>
      </w:r>
    </w:p>
    <w:p>
      <w:pPr>
        <w:pStyle w:val="24"/>
        <w:tabs>
          <w:tab w:val="right" w:leader="dot" w:pos="9413"/>
          <w:tab w:val="clear" w:pos="9403"/>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_Toc18260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一．投标函</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_Toc18260 \h </w:instrText>
      </w:r>
      <w:r>
        <w:rPr>
          <w:rFonts w:hint="eastAsia" w:ascii="宋体" w:hAnsi="宋体" w:eastAsia="宋体" w:cs="宋体"/>
          <w:i w:val="0"/>
          <w:iCs w:val="0"/>
        </w:rPr>
        <w:fldChar w:fldCharType="separate"/>
      </w:r>
      <w:r>
        <w:rPr>
          <w:rFonts w:hint="eastAsia" w:ascii="宋体" w:hAnsi="宋体" w:eastAsia="宋体" w:cs="宋体"/>
          <w:i w:val="0"/>
          <w:iCs w:val="0"/>
        </w:rPr>
        <w:t>31</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pPr>
        <w:pStyle w:val="24"/>
        <w:tabs>
          <w:tab w:val="right" w:leader="dot" w:pos="9413"/>
          <w:tab w:val="clear" w:pos="9403"/>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_Toc29943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二．投标人情况综合简介</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_Toc29943 \h </w:instrText>
      </w:r>
      <w:r>
        <w:rPr>
          <w:rFonts w:hint="eastAsia" w:ascii="宋体" w:hAnsi="宋体" w:eastAsia="宋体" w:cs="宋体"/>
          <w:i w:val="0"/>
          <w:iCs w:val="0"/>
        </w:rPr>
        <w:fldChar w:fldCharType="separate"/>
      </w:r>
      <w:r>
        <w:rPr>
          <w:rFonts w:hint="eastAsia" w:ascii="宋体" w:hAnsi="宋体" w:eastAsia="宋体" w:cs="宋体"/>
          <w:i w:val="0"/>
          <w:iCs w:val="0"/>
        </w:rPr>
        <w:t>32</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pPr>
        <w:pStyle w:val="24"/>
        <w:tabs>
          <w:tab w:val="right" w:leader="dot" w:pos="9413"/>
          <w:tab w:val="clear" w:pos="9403"/>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_Toc19997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三．开标一览表</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_Toc19997 \h </w:instrText>
      </w:r>
      <w:r>
        <w:rPr>
          <w:rFonts w:hint="eastAsia" w:ascii="宋体" w:hAnsi="宋体" w:eastAsia="宋体" w:cs="宋体"/>
          <w:i w:val="0"/>
          <w:iCs w:val="0"/>
        </w:rPr>
        <w:fldChar w:fldCharType="separate"/>
      </w:r>
      <w:r>
        <w:rPr>
          <w:rFonts w:hint="eastAsia" w:ascii="宋体" w:hAnsi="宋体" w:eastAsia="宋体" w:cs="宋体"/>
          <w:i w:val="0"/>
          <w:iCs w:val="0"/>
        </w:rPr>
        <w:t>33</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pPr>
        <w:pStyle w:val="24"/>
        <w:tabs>
          <w:tab w:val="right" w:leader="dot" w:pos="9413"/>
          <w:tab w:val="clear" w:pos="9403"/>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_Toc2925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四．单项报价表</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_Toc2925 \h </w:instrText>
      </w:r>
      <w:r>
        <w:rPr>
          <w:rFonts w:hint="eastAsia" w:ascii="宋体" w:hAnsi="宋体" w:eastAsia="宋体" w:cs="宋体"/>
          <w:i w:val="0"/>
          <w:iCs w:val="0"/>
        </w:rPr>
        <w:fldChar w:fldCharType="separate"/>
      </w:r>
      <w:r>
        <w:rPr>
          <w:rFonts w:hint="eastAsia" w:ascii="宋体" w:hAnsi="宋体" w:eastAsia="宋体" w:cs="宋体"/>
          <w:i w:val="0"/>
          <w:iCs w:val="0"/>
        </w:rPr>
        <w:t>34</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pPr>
        <w:pStyle w:val="24"/>
        <w:tabs>
          <w:tab w:val="right" w:leader="dot" w:pos="9413"/>
          <w:tab w:val="clear" w:pos="9403"/>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_Toc27748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五．投标人信用承诺</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_Toc27748 \h </w:instrText>
      </w:r>
      <w:r>
        <w:rPr>
          <w:rFonts w:hint="eastAsia" w:ascii="宋体" w:hAnsi="宋体" w:eastAsia="宋体" w:cs="宋体"/>
          <w:i w:val="0"/>
          <w:iCs w:val="0"/>
        </w:rPr>
        <w:fldChar w:fldCharType="separate"/>
      </w:r>
      <w:r>
        <w:rPr>
          <w:rFonts w:hint="eastAsia" w:ascii="宋体" w:hAnsi="宋体" w:eastAsia="宋体" w:cs="宋体"/>
          <w:i w:val="0"/>
          <w:iCs w:val="0"/>
        </w:rPr>
        <w:t>35</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pPr>
        <w:pStyle w:val="24"/>
        <w:tabs>
          <w:tab w:val="right" w:leader="dot" w:pos="9413"/>
          <w:tab w:val="clear" w:pos="9403"/>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_Toc25914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六. 投标业绩</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_Toc25914 \h </w:instrText>
      </w:r>
      <w:r>
        <w:rPr>
          <w:rFonts w:hint="eastAsia" w:ascii="宋体" w:hAnsi="宋体" w:eastAsia="宋体" w:cs="宋体"/>
          <w:i w:val="0"/>
          <w:iCs w:val="0"/>
        </w:rPr>
        <w:fldChar w:fldCharType="separate"/>
      </w:r>
      <w:r>
        <w:rPr>
          <w:rFonts w:hint="eastAsia" w:ascii="宋体" w:hAnsi="宋体" w:eastAsia="宋体" w:cs="宋体"/>
          <w:i w:val="0"/>
          <w:iCs w:val="0"/>
        </w:rPr>
        <w:t>36</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pPr>
        <w:pStyle w:val="24"/>
        <w:tabs>
          <w:tab w:val="right" w:leader="dot" w:pos="9413"/>
          <w:tab w:val="clear" w:pos="9403"/>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_Toc13365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七．拟投入本项目的人员情况</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_Toc13365 \h </w:instrText>
      </w:r>
      <w:r>
        <w:rPr>
          <w:rFonts w:hint="eastAsia" w:ascii="宋体" w:hAnsi="宋体" w:eastAsia="宋体" w:cs="宋体"/>
          <w:i w:val="0"/>
          <w:iCs w:val="0"/>
        </w:rPr>
        <w:fldChar w:fldCharType="separate"/>
      </w:r>
      <w:r>
        <w:rPr>
          <w:rFonts w:hint="eastAsia" w:ascii="宋体" w:hAnsi="宋体" w:eastAsia="宋体" w:cs="宋体"/>
          <w:i w:val="0"/>
          <w:iCs w:val="0"/>
        </w:rPr>
        <w:t>37</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pPr>
        <w:pStyle w:val="24"/>
        <w:tabs>
          <w:tab w:val="right" w:leader="dot" w:pos="9413"/>
          <w:tab w:val="clear" w:pos="9403"/>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_Toc13500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八．服务方案</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_Toc13500 \h </w:instrText>
      </w:r>
      <w:r>
        <w:rPr>
          <w:rFonts w:hint="eastAsia" w:ascii="宋体" w:hAnsi="宋体" w:eastAsia="宋体" w:cs="宋体"/>
          <w:i w:val="0"/>
          <w:iCs w:val="0"/>
        </w:rPr>
        <w:fldChar w:fldCharType="separate"/>
      </w:r>
      <w:r>
        <w:rPr>
          <w:rFonts w:hint="eastAsia" w:ascii="宋体" w:hAnsi="宋体" w:eastAsia="宋体" w:cs="宋体"/>
          <w:i w:val="0"/>
          <w:iCs w:val="0"/>
        </w:rPr>
        <w:t>37</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pPr>
        <w:pStyle w:val="24"/>
        <w:tabs>
          <w:tab w:val="right" w:leader="dot" w:pos="9413"/>
          <w:tab w:val="clear" w:pos="9403"/>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_Toc23794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九．有关证明文件</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_Toc23794 \h </w:instrText>
      </w:r>
      <w:r>
        <w:rPr>
          <w:rFonts w:hint="eastAsia" w:ascii="宋体" w:hAnsi="宋体" w:eastAsia="宋体" w:cs="宋体"/>
          <w:i w:val="0"/>
          <w:iCs w:val="0"/>
        </w:rPr>
        <w:fldChar w:fldCharType="separate"/>
      </w:r>
      <w:r>
        <w:rPr>
          <w:rFonts w:hint="eastAsia" w:ascii="宋体" w:hAnsi="宋体" w:eastAsia="宋体" w:cs="宋体"/>
          <w:i w:val="0"/>
          <w:iCs w:val="0"/>
        </w:rPr>
        <w:t>37</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pPr>
        <w:pStyle w:val="24"/>
        <w:tabs>
          <w:tab w:val="right" w:leader="dot" w:pos="9413"/>
          <w:tab w:val="clear" w:pos="9403"/>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_Toc20575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十．投标授权书</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_Toc20575 \h </w:instrText>
      </w:r>
      <w:r>
        <w:rPr>
          <w:rFonts w:hint="eastAsia" w:ascii="宋体" w:hAnsi="宋体" w:eastAsia="宋体" w:cs="宋体"/>
          <w:i w:val="0"/>
          <w:iCs w:val="0"/>
        </w:rPr>
        <w:fldChar w:fldCharType="separate"/>
      </w:r>
      <w:r>
        <w:rPr>
          <w:rFonts w:hint="eastAsia" w:ascii="宋体" w:hAnsi="宋体" w:eastAsia="宋体" w:cs="宋体"/>
          <w:i w:val="0"/>
          <w:iCs w:val="0"/>
        </w:rPr>
        <w:t>38</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pPr>
        <w:pStyle w:val="24"/>
        <w:tabs>
          <w:tab w:val="right" w:leader="dot" w:pos="9413"/>
          <w:tab w:val="clear" w:pos="9403"/>
        </w:tabs>
        <w:rPr>
          <w:rFonts w:hint="eastAsia" w:ascii="宋体" w:hAnsi="宋体" w:eastAsia="宋体" w:cs="宋体"/>
          <w:i w:val="0"/>
          <w:iCs w:val="0"/>
        </w:rPr>
      </w:pPr>
      <w:r>
        <w:rPr>
          <w:rFonts w:hint="eastAsia" w:ascii="宋体" w:hAnsi="宋体" w:eastAsia="宋体" w:cs="宋体"/>
          <w:i w:val="0"/>
          <w:iCs w:val="0"/>
          <w:color w:val="auto"/>
          <w:highlight w:val="none"/>
        </w:rPr>
        <w:fldChar w:fldCharType="begin"/>
      </w:r>
      <w:r>
        <w:rPr>
          <w:rFonts w:hint="eastAsia" w:ascii="宋体" w:hAnsi="宋体" w:eastAsia="宋体" w:cs="宋体"/>
          <w:i w:val="0"/>
          <w:iCs w:val="0"/>
          <w:highlight w:val="none"/>
        </w:rPr>
        <w:instrText xml:space="preserve"> HYPERLINK \l _Toc13728 </w:instrText>
      </w:r>
      <w:r>
        <w:rPr>
          <w:rFonts w:hint="eastAsia" w:ascii="宋体" w:hAnsi="宋体" w:eastAsia="宋体" w:cs="宋体"/>
          <w:i w:val="0"/>
          <w:iCs w:val="0"/>
          <w:highlight w:val="none"/>
        </w:rPr>
        <w:fldChar w:fldCharType="separate"/>
      </w:r>
      <w:r>
        <w:rPr>
          <w:rFonts w:hint="eastAsia" w:ascii="宋体" w:hAnsi="宋体" w:eastAsia="宋体" w:cs="宋体"/>
          <w:i w:val="0"/>
          <w:iCs w:val="0"/>
          <w:highlight w:val="none"/>
        </w:rPr>
        <w:t>十一．投标人认为需提供的其他资料</w:t>
      </w:r>
      <w:r>
        <w:rPr>
          <w:rFonts w:hint="eastAsia" w:ascii="宋体" w:hAnsi="宋体" w:eastAsia="宋体" w:cs="宋体"/>
          <w:i w:val="0"/>
          <w:iCs w:val="0"/>
        </w:rPr>
        <w:tab/>
      </w:r>
      <w:r>
        <w:rPr>
          <w:rFonts w:hint="eastAsia" w:ascii="宋体" w:hAnsi="宋体" w:eastAsia="宋体" w:cs="宋体"/>
          <w:i w:val="0"/>
          <w:iCs w:val="0"/>
        </w:rPr>
        <w:fldChar w:fldCharType="begin"/>
      </w:r>
      <w:r>
        <w:rPr>
          <w:rFonts w:hint="eastAsia" w:ascii="宋体" w:hAnsi="宋体" w:eastAsia="宋体" w:cs="宋体"/>
          <w:i w:val="0"/>
          <w:iCs w:val="0"/>
        </w:rPr>
        <w:instrText xml:space="preserve"> PAGEREF _Toc13728 \h </w:instrText>
      </w:r>
      <w:r>
        <w:rPr>
          <w:rFonts w:hint="eastAsia" w:ascii="宋体" w:hAnsi="宋体" w:eastAsia="宋体" w:cs="宋体"/>
          <w:i w:val="0"/>
          <w:iCs w:val="0"/>
        </w:rPr>
        <w:fldChar w:fldCharType="separate"/>
      </w:r>
      <w:r>
        <w:rPr>
          <w:rFonts w:hint="eastAsia" w:ascii="宋体" w:hAnsi="宋体" w:eastAsia="宋体" w:cs="宋体"/>
          <w:i w:val="0"/>
          <w:iCs w:val="0"/>
        </w:rPr>
        <w:t>39</w:t>
      </w:r>
      <w:r>
        <w:rPr>
          <w:rFonts w:hint="eastAsia" w:ascii="宋体" w:hAnsi="宋体" w:eastAsia="宋体" w:cs="宋体"/>
          <w:i w:val="0"/>
          <w:iCs w:val="0"/>
        </w:rPr>
        <w:fldChar w:fldCharType="end"/>
      </w:r>
      <w:r>
        <w:rPr>
          <w:rFonts w:hint="eastAsia" w:ascii="宋体" w:hAnsi="宋体" w:eastAsia="宋体" w:cs="宋体"/>
          <w:i w:val="0"/>
          <w:iCs w:val="0"/>
          <w:color w:val="auto"/>
          <w:highlight w:val="none"/>
        </w:rPr>
        <w:fldChar w:fldCharType="end"/>
      </w:r>
    </w:p>
    <w:p>
      <w:pPr>
        <w:pStyle w:val="24"/>
        <w:rPr>
          <w:i w:val="0"/>
          <w:color w:val="auto"/>
          <w:highlight w:val="none"/>
        </w:rPr>
      </w:pPr>
      <w:r>
        <w:rPr>
          <w:rFonts w:hint="eastAsia"/>
          <w:i w:val="0"/>
          <w:iCs w:val="0"/>
          <w:color w:val="auto"/>
          <w:highlight w:val="none"/>
        </w:rPr>
        <w:fldChar w:fldCharType="end"/>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3"/>
        <w:spacing w:before="0" w:after="0" w:line="430" w:lineRule="exact"/>
        <w:ind w:firstLine="0"/>
        <w:rPr>
          <w:rFonts w:ascii="宋体" w:hAnsi="宋体" w:eastAsia="宋体"/>
          <w:color w:val="auto"/>
          <w:highlight w:val="none"/>
        </w:rPr>
      </w:pPr>
      <w:bookmarkStart w:id="3" w:name="_Toc19700"/>
      <w:r>
        <w:rPr>
          <w:rFonts w:hint="eastAsia" w:ascii="宋体" w:hAnsi="宋体" w:eastAsia="宋体"/>
          <w:color w:val="auto"/>
          <w:highlight w:val="none"/>
        </w:rPr>
        <w:t>第一章 投标邀请（招标公告）</w:t>
      </w:r>
      <w:bookmarkEnd w:id="3"/>
    </w:p>
    <w:p>
      <w:pPr>
        <w:rPr>
          <w:color w:val="auto"/>
          <w:highlight w:val="none"/>
        </w:rPr>
      </w:pPr>
    </w:p>
    <w:p>
      <w:pPr>
        <w:tabs>
          <w:tab w:val="left" w:pos="2410"/>
        </w:tabs>
        <w:autoSpaceDE w:val="0"/>
        <w:autoSpaceDN w:val="0"/>
        <w:adjustRightInd w:val="0"/>
        <w:snapToGrid w:val="0"/>
        <w:spacing w:line="360" w:lineRule="auto"/>
        <w:ind w:firstLine="480" w:firstLineChars="200"/>
        <w:rPr>
          <w:rFonts w:ascii="宋体" w:hAnsi="宋体"/>
          <w:color w:val="auto"/>
          <w:sz w:val="24"/>
          <w:szCs w:val="24"/>
          <w:highlight w:val="none"/>
        </w:rPr>
      </w:pPr>
      <w:bookmarkStart w:id="4" w:name="_Hlt510343011"/>
      <w:bookmarkStart w:id="5" w:name="_Hlt510342998"/>
      <w:r>
        <w:rPr>
          <w:rFonts w:hint="eastAsia" w:ascii="宋体" w:hAnsi="宋体"/>
          <w:color w:val="auto"/>
          <w:sz w:val="24"/>
          <w:szCs w:val="24"/>
          <w:highlight w:val="none"/>
        </w:rPr>
        <w:t>合肥文旅博览集团有限公司（以下简称：文旅博览集团）现对</w:t>
      </w:r>
      <w:r>
        <w:rPr>
          <w:rFonts w:hint="eastAsia" w:ascii="宋体" w:hAnsi="DotumChe" w:cs="宋体"/>
          <w:b/>
          <w:color w:val="auto"/>
          <w:spacing w:val="20"/>
          <w:kern w:val="0"/>
          <w:sz w:val="24"/>
          <w:szCs w:val="24"/>
          <w:highlight w:val="none"/>
        </w:rPr>
        <w:t>合肥文旅博览集团2023年人才招聘</w:t>
      </w:r>
      <w:r>
        <w:rPr>
          <w:rFonts w:hint="eastAsia" w:ascii="宋体" w:hAnsi="宋体"/>
          <w:color w:val="auto"/>
          <w:sz w:val="24"/>
          <w:szCs w:val="24"/>
          <w:highlight w:val="none"/>
        </w:rPr>
        <w:t>项目（以下简称：本项目）进行公开招标，欢迎具备条件的投标人参加投标。</w:t>
      </w:r>
    </w:p>
    <w:p>
      <w:pPr>
        <w:autoSpaceDE w:val="0"/>
        <w:autoSpaceDN w:val="0"/>
        <w:adjustRightInd w:val="0"/>
        <w:spacing w:line="360" w:lineRule="auto"/>
        <w:ind w:firstLine="436" w:firstLineChars="181"/>
        <w:jc w:val="left"/>
        <w:rPr>
          <w:rFonts w:ascii="宋体" w:hAnsi="宋体"/>
          <w:b/>
          <w:bCs/>
          <w:color w:val="auto"/>
          <w:sz w:val="24"/>
          <w:szCs w:val="24"/>
          <w:highlight w:val="none"/>
        </w:rPr>
      </w:pPr>
      <w:r>
        <w:rPr>
          <w:rFonts w:hint="eastAsia" w:ascii="宋体" w:hAnsi="宋体"/>
          <w:b/>
          <w:bCs/>
          <w:color w:val="auto"/>
          <w:sz w:val="24"/>
          <w:szCs w:val="24"/>
          <w:highlight w:val="none"/>
        </w:rPr>
        <w:t>一、项目名称及内容</w:t>
      </w:r>
    </w:p>
    <w:p>
      <w:pPr>
        <w:autoSpaceDE w:val="0"/>
        <w:autoSpaceDN w:val="0"/>
        <w:adjustRightIn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1.项目编号：2023WLBLZB00077号</w:t>
      </w:r>
    </w:p>
    <w:p>
      <w:pPr>
        <w:autoSpaceDE w:val="0"/>
        <w:autoSpaceDN w:val="0"/>
        <w:adjustRightIn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2.项目名称：合肥文旅博览集团2023年人才招聘项目</w:t>
      </w:r>
    </w:p>
    <w:p>
      <w:pPr>
        <w:autoSpaceDE w:val="0"/>
        <w:autoSpaceDN w:val="0"/>
        <w:adjustRightInd w:val="0"/>
        <w:spacing w:line="360" w:lineRule="auto"/>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3.项目地点：</w:t>
      </w:r>
      <w:r>
        <w:rPr>
          <w:rFonts w:hint="eastAsia" w:ascii="宋体" w:hAnsi="宋体" w:cs="宋体"/>
          <w:color w:val="auto"/>
          <w:kern w:val="0"/>
          <w:sz w:val="24"/>
          <w:szCs w:val="24"/>
          <w:highlight w:val="none"/>
        </w:rPr>
        <w:t>详见招标需求</w:t>
      </w:r>
    </w:p>
    <w:p>
      <w:pPr>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4.项目单位：合肥文旅博览集团有限公司</w:t>
      </w:r>
    </w:p>
    <w:p>
      <w:pPr>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5.项目内容：详见招标需求</w:t>
      </w:r>
    </w:p>
    <w:p>
      <w:pPr>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6.资金来源：自筹</w:t>
      </w:r>
    </w:p>
    <w:p>
      <w:pPr>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7.项目概算:</w:t>
      </w:r>
      <w:r>
        <w:rPr>
          <w:rFonts w:ascii="宋体" w:hAnsi="宋体" w:cs="宋体"/>
          <w:color w:val="auto"/>
          <w:kern w:val="0"/>
          <w:sz w:val="24"/>
          <w:szCs w:val="24"/>
          <w:highlight w:val="none"/>
        </w:rPr>
        <w:t xml:space="preserve"> </w:t>
      </w:r>
      <w:r>
        <w:rPr>
          <w:rFonts w:hint="eastAsia" w:ascii="宋体" w:hAnsi="宋体" w:cs="宋体"/>
          <w:color w:val="auto"/>
          <w:kern w:val="0"/>
          <w:sz w:val="24"/>
          <w:szCs w:val="24"/>
          <w:highlight w:val="none"/>
        </w:rPr>
        <w:t>15万元</w:t>
      </w:r>
    </w:p>
    <w:p>
      <w:pPr>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8.项目类别：服务类</w:t>
      </w:r>
    </w:p>
    <w:p>
      <w:pPr>
        <w:autoSpaceDE w:val="0"/>
        <w:autoSpaceDN w:val="0"/>
        <w:adjustRightInd w:val="0"/>
        <w:spacing w:line="360" w:lineRule="auto"/>
        <w:ind w:firstLine="436" w:firstLineChars="181"/>
        <w:jc w:val="left"/>
        <w:rPr>
          <w:rFonts w:ascii="宋体" w:hAnsi="宋体"/>
          <w:b/>
          <w:bCs/>
          <w:color w:val="auto"/>
          <w:sz w:val="24"/>
          <w:szCs w:val="24"/>
          <w:highlight w:val="none"/>
        </w:rPr>
      </w:pPr>
      <w:r>
        <w:rPr>
          <w:rFonts w:hint="eastAsia" w:ascii="宋体" w:hAnsi="宋体"/>
          <w:b/>
          <w:bCs/>
          <w:color w:val="auto"/>
          <w:sz w:val="24"/>
          <w:szCs w:val="24"/>
          <w:highlight w:val="none"/>
        </w:rPr>
        <w:t>二、投标人资格</w:t>
      </w:r>
    </w:p>
    <w:p>
      <w:pPr>
        <w:autoSpaceDE w:val="0"/>
        <w:autoSpaceDN w:val="0"/>
        <w:adjustRightInd w:val="0"/>
        <w:spacing w:line="360" w:lineRule="auto"/>
        <w:ind w:firstLine="468" w:firstLineChars="195"/>
        <w:jc w:val="left"/>
        <w:rPr>
          <w:rFonts w:ascii="宋体" w:hAnsi="宋体"/>
          <w:color w:val="auto"/>
          <w:sz w:val="24"/>
          <w:szCs w:val="24"/>
          <w:highlight w:val="none"/>
        </w:rPr>
      </w:pPr>
      <w:r>
        <w:rPr>
          <w:rFonts w:hint="eastAsia" w:ascii="宋体" w:hAnsi="宋体"/>
          <w:color w:val="auto"/>
          <w:sz w:val="24"/>
          <w:szCs w:val="24"/>
          <w:highlight w:val="none"/>
        </w:rPr>
        <w:t>1.具有独立承担民事责任的能力（或经总公司授权分支机构）；</w:t>
      </w:r>
    </w:p>
    <w:p>
      <w:pPr>
        <w:autoSpaceDE w:val="0"/>
        <w:autoSpaceDN w:val="0"/>
        <w:adjustRightInd w:val="0"/>
        <w:spacing w:line="360" w:lineRule="auto"/>
        <w:ind w:firstLine="468" w:firstLineChars="195"/>
        <w:jc w:val="left"/>
        <w:rPr>
          <w:rFonts w:ascii="宋体" w:hAnsi="宋体"/>
          <w:color w:val="auto"/>
          <w:sz w:val="24"/>
          <w:szCs w:val="24"/>
          <w:highlight w:val="none"/>
        </w:rPr>
      </w:pPr>
      <w:r>
        <w:rPr>
          <w:rFonts w:hint="eastAsia" w:ascii="宋体" w:hAnsi="宋体"/>
          <w:color w:val="auto"/>
          <w:sz w:val="24"/>
          <w:szCs w:val="24"/>
          <w:highlight w:val="none"/>
        </w:rPr>
        <w:t>2.投标人具有《人力资源服务许可证》；</w:t>
      </w:r>
    </w:p>
    <w:p>
      <w:pPr>
        <w:autoSpaceDE w:val="0"/>
        <w:autoSpaceDN w:val="0"/>
        <w:adjustRightInd w:val="0"/>
        <w:spacing w:line="360" w:lineRule="auto"/>
        <w:ind w:firstLine="468" w:firstLineChars="195"/>
        <w:jc w:val="left"/>
        <w:rPr>
          <w:rFonts w:ascii="宋体" w:hAnsi="宋体"/>
          <w:color w:val="auto"/>
          <w:sz w:val="24"/>
          <w:szCs w:val="24"/>
          <w:highlight w:val="none"/>
        </w:rPr>
      </w:pPr>
      <w:r>
        <w:rPr>
          <w:rFonts w:hint="eastAsia" w:ascii="宋体" w:hAnsi="宋体"/>
          <w:color w:val="auto"/>
          <w:sz w:val="24"/>
          <w:szCs w:val="24"/>
          <w:highlight w:val="none"/>
        </w:rPr>
        <w:t>3.本项目不接受联合体投标；</w:t>
      </w:r>
    </w:p>
    <w:p>
      <w:pPr>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4.符合下列情形之一：</w:t>
      </w:r>
    </w:p>
    <w:p>
      <w:pPr>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1)开标日前两年内未被合肥市及其所辖县（市）公共资源交易监督管理局记不良行为记录或记不良行为记录累计未满10分的。 </w:t>
      </w:r>
    </w:p>
    <w:p>
      <w:pPr>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2)最近一次被合肥市及其所辖县（市）公共资源交易监督管理局记不良行为记录累计记分达10分(含10分)到15分且公布日距开标日超过6个月。 </w:t>
      </w:r>
    </w:p>
    <w:p>
      <w:pPr>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3)最近一次被合肥市及其所辖县（市）公共资源交易监督管理局记不良行为记录累计记分达15分(含15分)到20分且公布日距开标日超过12个月。 </w:t>
      </w:r>
    </w:p>
    <w:p>
      <w:pPr>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4)最近一次被合肥市及其所辖县（市）公共资源交易监督管理局记不良行为记录累计记分达20分(含20分)及以上且公布日距开标日超过24个月。</w:t>
      </w:r>
    </w:p>
    <w:p>
      <w:pPr>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5.投标人存在以下不良信用记录情形之一的，不得推荐为中标候选人，不得确定为中标人：</w:t>
      </w:r>
    </w:p>
    <w:p>
      <w:pPr>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1）投标人被人民法院列入失信被执行人的；</w:t>
      </w:r>
    </w:p>
    <w:p>
      <w:pPr>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2）投标人或其法定代表人或拟派项目经理（项目负责人）被人民检察院列入行贿犯罪档案的； </w:t>
      </w:r>
    </w:p>
    <w:p>
      <w:pPr>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3）投标人被工商行政管理部门列入企业经营异常名录的；</w:t>
      </w:r>
    </w:p>
    <w:p>
      <w:pPr>
        <w:autoSpaceDE w:val="0"/>
        <w:autoSpaceDN w:val="0"/>
        <w:adjustRightIn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4）投标人被税务部门列入重大税收违法案件当事人名单的。</w:t>
      </w:r>
    </w:p>
    <w:p>
      <w:pPr>
        <w:autoSpaceDE w:val="0"/>
        <w:autoSpaceDN w:val="0"/>
        <w:adjustRightInd w:val="0"/>
        <w:spacing w:line="460" w:lineRule="exact"/>
        <w:ind w:firstLine="241" w:firstLineChars="100"/>
        <w:jc w:val="left"/>
        <w:rPr>
          <w:rFonts w:ascii="宋体" w:hAnsi="宋体"/>
          <w:b/>
          <w:bCs/>
          <w:color w:val="auto"/>
          <w:sz w:val="24"/>
          <w:szCs w:val="24"/>
          <w:highlight w:val="none"/>
        </w:rPr>
      </w:pPr>
      <w:r>
        <w:rPr>
          <w:rFonts w:hint="eastAsia" w:ascii="宋体" w:hAnsi="宋体"/>
          <w:b/>
          <w:bCs/>
          <w:color w:val="auto"/>
          <w:sz w:val="24"/>
          <w:szCs w:val="24"/>
          <w:highlight w:val="none"/>
        </w:rPr>
        <w:t>三、投标报名</w:t>
      </w:r>
    </w:p>
    <w:p>
      <w:pPr>
        <w:autoSpaceDE w:val="0"/>
        <w:autoSpaceDN w:val="0"/>
        <w:adjustRightInd w:val="0"/>
        <w:spacing w:line="360" w:lineRule="auto"/>
        <w:ind w:firstLine="200"/>
        <w:jc w:val="left"/>
        <w:rPr>
          <w:rFonts w:ascii="宋体" w:hAnsi="宋体" w:cs="宋体"/>
          <w:color w:val="auto"/>
          <w:kern w:val="0"/>
          <w:sz w:val="24"/>
          <w:szCs w:val="24"/>
          <w:highlight w:val="none"/>
          <w:u w:val="single"/>
        </w:rPr>
      </w:pPr>
      <w:r>
        <w:rPr>
          <w:rFonts w:hint="eastAsia" w:ascii="宋体" w:hAnsi="宋体"/>
          <w:bCs/>
          <w:color w:val="auto"/>
          <w:sz w:val="24"/>
          <w:szCs w:val="24"/>
          <w:highlight w:val="none"/>
        </w:rPr>
        <w:t>1.</w:t>
      </w:r>
      <w:r>
        <w:rPr>
          <w:rFonts w:hint="eastAsia" w:ascii="宋体" w:hAnsi="宋体" w:cs="宋体"/>
          <w:color w:val="auto"/>
          <w:kern w:val="0"/>
          <w:sz w:val="24"/>
          <w:szCs w:val="24"/>
          <w:highlight w:val="none"/>
        </w:rPr>
        <w:t>报名日期：</w:t>
      </w:r>
      <w:r>
        <w:rPr>
          <w:rFonts w:hint="eastAsia" w:ascii="宋体" w:hAnsi="宋体" w:cs="宋体"/>
          <w:color w:val="auto"/>
          <w:kern w:val="0"/>
          <w:sz w:val="24"/>
          <w:szCs w:val="24"/>
          <w:highlight w:val="none"/>
          <w:u w:val="single"/>
        </w:rPr>
        <w:t>2023年</w:t>
      </w:r>
      <w:r>
        <w:rPr>
          <w:rFonts w:hint="eastAsia" w:ascii="宋体" w:hAnsi="宋体" w:cs="宋体"/>
          <w:color w:val="auto"/>
          <w:kern w:val="0"/>
          <w:sz w:val="24"/>
          <w:szCs w:val="24"/>
          <w:highlight w:val="none"/>
          <w:u w:val="single"/>
          <w:lang w:val="en-US" w:eastAsia="zh-CN"/>
        </w:rPr>
        <w:t>9</w:t>
      </w:r>
      <w:r>
        <w:rPr>
          <w:rFonts w:hint="eastAsia" w:ascii="宋体" w:hAnsi="宋体" w:cs="宋体"/>
          <w:color w:val="auto"/>
          <w:kern w:val="0"/>
          <w:sz w:val="24"/>
          <w:szCs w:val="24"/>
          <w:highlight w:val="none"/>
          <w:u w:val="single"/>
        </w:rPr>
        <w:t>月</w:t>
      </w:r>
      <w:r>
        <w:rPr>
          <w:rFonts w:hint="eastAsia" w:ascii="宋体" w:hAnsi="宋体" w:cs="宋体"/>
          <w:color w:val="auto"/>
          <w:kern w:val="0"/>
          <w:sz w:val="24"/>
          <w:szCs w:val="24"/>
          <w:highlight w:val="none"/>
          <w:u w:val="single"/>
          <w:lang w:val="en-US" w:eastAsia="zh-CN"/>
        </w:rPr>
        <w:t>8</w:t>
      </w:r>
      <w:r>
        <w:rPr>
          <w:rFonts w:hint="eastAsia" w:ascii="宋体" w:hAnsi="宋体" w:cs="宋体"/>
          <w:color w:val="auto"/>
          <w:kern w:val="0"/>
          <w:sz w:val="24"/>
          <w:szCs w:val="24"/>
          <w:highlight w:val="none"/>
          <w:u w:val="single"/>
        </w:rPr>
        <w:t>日上午</w:t>
      </w:r>
      <w:r>
        <w:rPr>
          <w:rFonts w:hint="eastAsia" w:ascii="宋体" w:hAnsi="宋体" w:cs="宋体"/>
          <w:color w:val="auto"/>
          <w:kern w:val="0"/>
          <w:sz w:val="24"/>
          <w:szCs w:val="24"/>
          <w:highlight w:val="none"/>
          <w:u w:val="single"/>
          <w:lang w:val="en-US" w:eastAsia="zh-CN"/>
        </w:rPr>
        <w:t>12</w:t>
      </w:r>
      <w:r>
        <w:rPr>
          <w:rFonts w:hint="eastAsia" w:ascii="宋体" w:hAnsi="宋体" w:cs="宋体"/>
          <w:color w:val="auto"/>
          <w:kern w:val="0"/>
          <w:sz w:val="24"/>
          <w:szCs w:val="24"/>
          <w:highlight w:val="none"/>
          <w:u w:val="single"/>
        </w:rPr>
        <w:t>:00至2023年</w:t>
      </w:r>
      <w:r>
        <w:rPr>
          <w:rFonts w:hint="eastAsia" w:ascii="宋体" w:hAnsi="宋体" w:cs="宋体"/>
          <w:color w:val="auto"/>
          <w:kern w:val="0"/>
          <w:sz w:val="24"/>
          <w:szCs w:val="24"/>
          <w:highlight w:val="none"/>
          <w:u w:val="single"/>
          <w:lang w:val="en-US" w:eastAsia="zh-CN"/>
        </w:rPr>
        <w:t>9</w:t>
      </w:r>
      <w:r>
        <w:rPr>
          <w:rFonts w:hint="eastAsia" w:ascii="宋体" w:hAnsi="宋体" w:cs="宋体"/>
          <w:color w:val="auto"/>
          <w:kern w:val="0"/>
          <w:sz w:val="24"/>
          <w:szCs w:val="24"/>
          <w:highlight w:val="none"/>
          <w:u w:val="single"/>
        </w:rPr>
        <w:t>月</w:t>
      </w:r>
      <w:r>
        <w:rPr>
          <w:rFonts w:hint="eastAsia" w:ascii="宋体" w:hAnsi="宋体" w:cs="宋体"/>
          <w:color w:val="auto"/>
          <w:kern w:val="0"/>
          <w:sz w:val="24"/>
          <w:szCs w:val="24"/>
          <w:highlight w:val="none"/>
          <w:u w:val="single"/>
          <w:lang w:val="en-US" w:eastAsia="zh-CN"/>
        </w:rPr>
        <w:t>15</w:t>
      </w:r>
      <w:r>
        <w:rPr>
          <w:rFonts w:hint="eastAsia" w:ascii="宋体" w:hAnsi="宋体" w:cs="宋体"/>
          <w:color w:val="auto"/>
          <w:kern w:val="0"/>
          <w:sz w:val="24"/>
          <w:szCs w:val="24"/>
          <w:highlight w:val="none"/>
          <w:u w:val="single"/>
        </w:rPr>
        <w:t>日下午17:00</w:t>
      </w:r>
    </w:p>
    <w:p>
      <w:pPr>
        <w:autoSpaceDE w:val="0"/>
        <w:autoSpaceDN w:val="0"/>
        <w:adjustRightInd w:val="0"/>
        <w:spacing w:line="360" w:lineRule="auto"/>
        <w:ind w:firstLine="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2.领取方法：登录合肥文旅博览集团有限公司网站</w:t>
      </w:r>
      <w:r>
        <w:rPr>
          <w:rFonts w:ascii="宋体" w:hAnsi="宋体" w:cs="宋体"/>
          <w:color w:val="auto"/>
          <w:kern w:val="0"/>
          <w:sz w:val="24"/>
          <w:szCs w:val="24"/>
          <w:highlight w:val="none"/>
        </w:rPr>
        <w:t>http://www.zwzcgl.com</w:t>
      </w:r>
      <w:r>
        <w:rPr>
          <w:rFonts w:hint="eastAsia" w:ascii="宋体" w:hAnsi="宋体" w:cs="宋体"/>
          <w:color w:val="auto"/>
          <w:kern w:val="0"/>
          <w:sz w:val="24"/>
          <w:szCs w:val="24"/>
          <w:highlight w:val="none"/>
        </w:rPr>
        <w:t>下载标书</w:t>
      </w:r>
    </w:p>
    <w:p>
      <w:pPr>
        <w:autoSpaceDE w:val="0"/>
        <w:autoSpaceDN w:val="0"/>
        <w:adjustRightInd w:val="0"/>
        <w:spacing w:line="360" w:lineRule="auto"/>
        <w:ind w:firstLine="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3.报名方法：下载附件《××单位投××项目报名信息表》并完整填写信息后在规定的报名日期内发送至邮箱：</w:t>
      </w:r>
      <w:r>
        <w:rPr>
          <w:color w:val="auto"/>
          <w:highlight w:val="none"/>
        </w:rPr>
        <w:fldChar w:fldCharType="begin"/>
      </w:r>
      <w:r>
        <w:rPr>
          <w:color w:val="auto"/>
          <w:highlight w:val="none"/>
        </w:rPr>
        <w:instrText xml:space="preserve"> HYPERLINK "mailto:120156961@qq.com" </w:instrText>
      </w:r>
      <w:r>
        <w:rPr>
          <w:color w:val="auto"/>
          <w:highlight w:val="none"/>
        </w:rPr>
        <w:fldChar w:fldCharType="separate"/>
      </w:r>
      <w:r>
        <w:rPr>
          <w:rFonts w:hint="eastAsia" w:cs="宋体"/>
          <w:color w:val="auto"/>
          <w:kern w:val="0"/>
          <w:sz w:val="24"/>
          <w:szCs w:val="24"/>
          <w:highlight w:val="none"/>
          <w:u w:val="single"/>
        </w:rPr>
        <w:t>31833846@qq.com</w:t>
      </w:r>
      <w:r>
        <w:rPr>
          <w:rFonts w:hint="eastAsia" w:cs="宋体"/>
          <w:color w:val="auto"/>
          <w:kern w:val="0"/>
          <w:sz w:val="24"/>
          <w:szCs w:val="24"/>
          <w:highlight w:val="none"/>
          <w:u w:val="single"/>
        </w:rPr>
        <w:fldChar w:fldCharType="end"/>
      </w:r>
    </w:p>
    <w:p>
      <w:pPr>
        <w:autoSpaceDE w:val="0"/>
        <w:autoSpaceDN w:val="0"/>
        <w:adjustRightInd w:val="0"/>
        <w:spacing w:line="360" w:lineRule="auto"/>
        <w:ind w:firstLine="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四、投标保证金</w:t>
      </w:r>
    </w:p>
    <w:p>
      <w:pPr>
        <w:autoSpaceDE w:val="0"/>
        <w:autoSpaceDN w:val="0"/>
        <w:adjustRightInd w:val="0"/>
        <w:spacing w:line="360" w:lineRule="auto"/>
        <w:ind w:firstLine="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投标保证金缴纳详见第二章投标人须知前附表</w:t>
      </w:r>
    </w:p>
    <w:p>
      <w:pPr>
        <w:autoSpaceDE w:val="0"/>
        <w:autoSpaceDN w:val="0"/>
        <w:adjustRightInd w:val="0"/>
        <w:spacing w:line="360" w:lineRule="auto"/>
        <w:ind w:firstLine="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五、开标时间及地点</w:t>
      </w:r>
    </w:p>
    <w:p>
      <w:pPr>
        <w:autoSpaceDE w:val="0"/>
        <w:autoSpaceDN w:val="0"/>
        <w:adjustRightInd w:val="0"/>
        <w:spacing w:line="360" w:lineRule="auto"/>
        <w:ind w:firstLine="200"/>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1.开标时间：</w:t>
      </w:r>
      <w:r>
        <w:rPr>
          <w:rFonts w:hint="eastAsia" w:ascii="宋体" w:hAnsi="宋体" w:cs="宋体"/>
          <w:color w:val="auto"/>
          <w:kern w:val="0"/>
          <w:sz w:val="24"/>
          <w:szCs w:val="24"/>
          <w:highlight w:val="none"/>
          <w:u w:val="single"/>
        </w:rPr>
        <w:t>2023年9月</w:t>
      </w:r>
      <w:r>
        <w:rPr>
          <w:rFonts w:hint="eastAsia" w:ascii="宋体" w:hAnsi="宋体" w:cs="宋体"/>
          <w:color w:val="auto"/>
          <w:kern w:val="0"/>
          <w:sz w:val="24"/>
          <w:szCs w:val="24"/>
          <w:highlight w:val="none"/>
          <w:u w:val="single"/>
          <w:lang w:val="en-US" w:eastAsia="zh-CN"/>
        </w:rPr>
        <w:t>19</w:t>
      </w:r>
      <w:r>
        <w:rPr>
          <w:rFonts w:hint="eastAsia" w:ascii="宋体" w:hAnsi="宋体" w:cs="宋体"/>
          <w:color w:val="auto"/>
          <w:kern w:val="0"/>
          <w:sz w:val="24"/>
          <w:szCs w:val="24"/>
          <w:highlight w:val="none"/>
          <w:u w:val="single"/>
        </w:rPr>
        <w:t>日</w:t>
      </w:r>
      <w:r>
        <w:rPr>
          <w:rFonts w:hint="eastAsia" w:ascii="宋体" w:hAnsi="宋体" w:cs="宋体"/>
          <w:color w:val="auto"/>
          <w:kern w:val="0"/>
          <w:sz w:val="24"/>
          <w:szCs w:val="24"/>
          <w:highlight w:val="none"/>
          <w:u w:val="single"/>
          <w:lang w:val="en-US" w:eastAsia="zh-CN"/>
        </w:rPr>
        <w:t>9</w:t>
      </w:r>
      <w:r>
        <w:rPr>
          <w:rFonts w:hint="eastAsia" w:ascii="宋体" w:hAnsi="宋体" w:cs="宋体"/>
          <w:color w:val="auto"/>
          <w:kern w:val="0"/>
          <w:sz w:val="24"/>
          <w:szCs w:val="24"/>
          <w:highlight w:val="none"/>
          <w:u w:val="single"/>
        </w:rPr>
        <w:t>：00</w:t>
      </w:r>
    </w:p>
    <w:p>
      <w:pPr>
        <w:autoSpaceDE w:val="0"/>
        <w:autoSpaceDN w:val="0"/>
        <w:adjustRightInd w:val="0"/>
        <w:spacing w:line="360" w:lineRule="auto"/>
        <w:ind w:firstLine="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2.开标地点：合肥市蜀山区习友路与茂荫路交口投资大厦3楼多功能厅</w:t>
      </w:r>
    </w:p>
    <w:p>
      <w:pPr>
        <w:autoSpaceDE w:val="0"/>
        <w:autoSpaceDN w:val="0"/>
        <w:adjustRightInd w:val="0"/>
        <w:spacing w:line="360" w:lineRule="auto"/>
        <w:ind w:firstLine="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六、投标截止时间</w:t>
      </w:r>
    </w:p>
    <w:p>
      <w:pPr>
        <w:autoSpaceDE w:val="0"/>
        <w:autoSpaceDN w:val="0"/>
        <w:adjustRightInd w:val="0"/>
        <w:spacing w:line="360" w:lineRule="auto"/>
        <w:ind w:firstLine="200"/>
        <w:jc w:val="left"/>
        <w:rPr>
          <w:rFonts w:ascii="宋体" w:hAnsi="宋体" w:cs="宋体"/>
          <w:color w:val="auto"/>
          <w:kern w:val="0"/>
          <w:sz w:val="24"/>
          <w:szCs w:val="24"/>
          <w:highlight w:val="none"/>
          <w:u w:val="single"/>
        </w:rPr>
      </w:pPr>
      <w:r>
        <w:rPr>
          <w:rFonts w:ascii="宋体" w:hAnsi="宋体" w:cs="宋体"/>
          <w:color w:val="auto"/>
          <w:kern w:val="0"/>
          <w:sz w:val="24"/>
          <w:szCs w:val="24"/>
          <w:highlight w:val="none"/>
          <w:u w:val="single"/>
        </w:rPr>
        <w:t>2</w:t>
      </w:r>
      <w:r>
        <w:rPr>
          <w:rFonts w:hint="eastAsia" w:ascii="宋体" w:hAnsi="宋体" w:cs="宋体"/>
          <w:color w:val="auto"/>
          <w:kern w:val="0"/>
          <w:sz w:val="24"/>
          <w:szCs w:val="24"/>
          <w:highlight w:val="none"/>
          <w:u w:val="single"/>
        </w:rPr>
        <w:t>023年9月</w:t>
      </w:r>
      <w:r>
        <w:rPr>
          <w:rFonts w:hint="eastAsia" w:ascii="宋体" w:hAnsi="宋体" w:cs="宋体"/>
          <w:color w:val="auto"/>
          <w:kern w:val="0"/>
          <w:sz w:val="24"/>
          <w:szCs w:val="24"/>
          <w:highlight w:val="none"/>
          <w:u w:val="single"/>
          <w:lang w:val="en-US" w:eastAsia="zh-CN"/>
        </w:rPr>
        <w:t>19</w:t>
      </w:r>
      <w:r>
        <w:rPr>
          <w:rFonts w:hint="eastAsia" w:ascii="宋体" w:hAnsi="宋体" w:cs="宋体"/>
          <w:color w:val="auto"/>
          <w:kern w:val="0"/>
          <w:sz w:val="24"/>
          <w:szCs w:val="24"/>
          <w:highlight w:val="none"/>
          <w:u w:val="single"/>
        </w:rPr>
        <w:t>日</w:t>
      </w:r>
      <w:r>
        <w:rPr>
          <w:rFonts w:hint="eastAsia" w:ascii="宋体" w:hAnsi="宋体" w:cs="宋体"/>
          <w:color w:val="auto"/>
          <w:kern w:val="0"/>
          <w:sz w:val="24"/>
          <w:szCs w:val="24"/>
          <w:highlight w:val="none"/>
          <w:u w:val="single"/>
          <w:lang w:val="en-US" w:eastAsia="zh-CN"/>
        </w:rPr>
        <w:t>9</w:t>
      </w:r>
      <w:bookmarkStart w:id="161" w:name="_GoBack"/>
      <w:bookmarkEnd w:id="161"/>
      <w:r>
        <w:rPr>
          <w:rFonts w:hint="eastAsia" w:ascii="宋体" w:hAnsi="宋体" w:cs="宋体"/>
          <w:color w:val="auto"/>
          <w:kern w:val="0"/>
          <w:sz w:val="24"/>
          <w:szCs w:val="24"/>
          <w:highlight w:val="none"/>
          <w:u w:val="single"/>
        </w:rPr>
        <w:t>：00</w:t>
      </w:r>
    </w:p>
    <w:p>
      <w:pPr>
        <w:autoSpaceDE w:val="0"/>
        <w:autoSpaceDN w:val="0"/>
        <w:adjustRightInd w:val="0"/>
        <w:spacing w:line="360" w:lineRule="auto"/>
        <w:ind w:firstLine="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七、联系方法</w:t>
      </w:r>
    </w:p>
    <w:p>
      <w:pPr>
        <w:autoSpaceDE w:val="0"/>
        <w:autoSpaceDN w:val="0"/>
        <w:adjustRightInd w:val="0"/>
        <w:spacing w:line="360" w:lineRule="auto"/>
        <w:ind w:firstLine="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招 标 人：合肥文旅博览集团有限公司</w:t>
      </w:r>
    </w:p>
    <w:p>
      <w:pPr>
        <w:autoSpaceDE w:val="0"/>
        <w:autoSpaceDN w:val="0"/>
        <w:adjustRightInd w:val="0"/>
        <w:spacing w:line="360" w:lineRule="auto"/>
        <w:ind w:firstLine="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地    址：合肥市蜀山区习友路与茂荫路交口投资大厦</w:t>
      </w:r>
    </w:p>
    <w:p>
      <w:pPr>
        <w:autoSpaceDE w:val="0"/>
        <w:autoSpaceDN w:val="0"/>
        <w:adjustRightInd w:val="0"/>
        <w:spacing w:line="360" w:lineRule="auto"/>
        <w:ind w:firstLine="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联 系 人：</w:t>
      </w:r>
      <w:r>
        <w:rPr>
          <w:rFonts w:hint="eastAsia" w:ascii="宋体" w:hAnsi="宋体" w:cs="宋体"/>
          <w:color w:val="auto"/>
          <w:kern w:val="0"/>
          <w:sz w:val="24"/>
          <w:szCs w:val="24"/>
          <w:highlight w:val="none"/>
          <w:lang w:val="en-US" w:eastAsia="zh-CN"/>
        </w:rPr>
        <w:t xml:space="preserve">吴艺        </w:t>
      </w:r>
      <w:r>
        <w:rPr>
          <w:rFonts w:hint="eastAsia" w:ascii="宋体" w:hAnsi="宋体" w:cs="宋体"/>
          <w:color w:val="auto"/>
          <w:kern w:val="0"/>
          <w:sz w:val="24"/>
          <w:szCs w:val="24"/>
          <w:highlight w:val="none"/>
        </w:rPr>
        <w:t>电话：0551-63530687</w:t>
      </w:r>
    </w:p>
    <w:p>
      <w:pPr>
        <w:autoSpaceDE w:val="0"/>
        <w:autoSpaceDN w:val="0"/>
        <w:adjustRightInd w:val="0"/>
        <w:spacing w:line="360" w:lineRule="auto"/>
        <w:ind w:left="29" w:leftChars="14" w:firstLine="118" w:firstLineChars="49"/>
        <w:jc w:val="left"/>
        <w:rPr>
          <w:rFonts w:ascii="宋体" w:hAnsi="宋体" w:cs="宋体"/>
          <w:color w:val="auto"/>
          <w:sz w:val="24"/>
          <w:szCs w:val="24"/>
          <w:highlight w:val="none"/>
        </w:rPr>
      </w:pPr>
      <w:r>
        <w:rPr>
          <w:rFonts w:hint="eastAsia" w:ascii="宋体" w:hAnsi="宋体"/>
          <w:b/>
          <w:bCs/>
          <w:color w:val="auto"/>
          <w:sz w:val="24"/>
          <w:szCs w:val="24"/>
          <w:highlight w:val="none"/>
        </w:rPr>
        <w:t>八、其他补充事宜</w:t>
      </w:r>
      <w:r>
        <w:rPr>
          <w:rFonts w:ascii="宋体" w:hAnsi="宋体" w:cs="宋体"/>
          <w:color w:val="auto"/>
          <w:sz w:val="24"/>
          <w:szCs w:val="24"/>
          <w:highlight w:val="none"/>
        </w:rPr>
        <w:br w:type="textWrapping"/>
      </w:r>
      <w:r>
        <w:rPr>
          <w:rFonts w:ascii="宋体" w:hAnsi="宋体" w:cs="宋体"/>
          <w:color w:val="auto"/>
          <w:sz w:val="24"/>
          <w:szCs w:val="24"/>
          <w:highlight w:val="none"/>
        </w:rPr>
        <w:t>有任何疑问或问题，请在工作时间（周一至周五，上午08:00-12:00，下午2:30-5:30，</w:t>
      </w:r>
    </w:p>
    <w:p>
      <w:pPr>
        <w:autoSpaceDE w:val="0"/>
        <w:autoSpaceDN w:val="0"/>
        <w:adjustRightInd w:val="0"/>
        <w:spacing w:line="360" w:lineRule="auto"/>
        <w:ind w:left="29" w:leftChars="14"/>
        <w:jc w:val="left"/>
        <w:rPr>
          <w:rFonts w:ascii="宋体" w:hAnsi="宋体" w:cs="宋体"/>
          <w:color w:val="auto"/>
          <w:kern w:val="0"/>
          <w:sz w:val="24"/>
          <w:szCs w:val="24"/>
          <w:highlight w:val="none"/>
        </w:rPr>
      </w:pPr>
      <w:r>
        <w:rPr>
          <w:rFonts w:ascii="宋体" w:hAnsi="宋体" w:cs="宋体"/>
          <w:color w:val="auto"/>
          <w:sz w:val="24"/>
          <w:szCs w:val="24"/>
          <w:highlight w:val="none"/>
        </w:rPr>
        <w:t>节假日休息）与项目联系人联系。</w:t>
      </w:r>
    </w:p>
    <w:p>
      <w:pPr>
        <w:pStyle w:val="58"/>
        <w:rPr>
          <w:color w:val="auto"/>
          <w:highlight w:val="none"/>
        </w:rPr>
      </w:pPr>
    </w:p>
    <w:p>
      <w:pPr>
        <w:autoSpaceDE w:val="0"/>
        <w:autoSpaceDN w:val="0"/>
        <w:adjustRightInd w:val="0"/>
        <w:spacing w:line="360" w:lineRule="auto"/>
        <w:ind w:firstLine="200"/>
        <w:jc w:val="left"/>
        <w:rPr>
          <w:rFonts w:ascii="宋体" w:hAnsi="宋体" w:cs="宋体"/>
          <w:color w:val="auto"/>
          <w:kern w:val="0"/>
          <w:sz w:val="24"/>
          <w:szCs w:val="24"/>
          <w:highlight w:val="none"/>
        </w:rPr>
      </w:pPr>
    </w:p>
    <w:p>
      <w:pPr>
        <w:pStyle w:val="58"/>
        <w:ind w:firstLine="480"/>
        <w:rPr>
          <w:rFonts w:ascii="宋体" w:hAnsi="宋体" w:cs="宋体"/>
          <w:color w:val="auto"/>
          <w:kern w:val="0"/>
          <w:sz w:val="24"/>
          <w:szCs w:val="24"/>
          <w:highlight w:val="none"/>
        </w:rPr>
      </w:pPr>
    </w:p>
    <w:p>
      <w:pPr>
        <w:pStyle w:val="58"/>
        <w:ind w:firstLine="480"/>
        <w:rPr>
          <w:rFonts w:ascii="宋体" w:hAnsi="宋体" w:cs="宋体"/>
          <w:color w:val="auto"/>
          <w:kern w:val="0"/>
          <w:sz w:val="24"/>
          <w:szCs w:val="24"/>
          <w:highlight w:val="none"/>
        </w:rPr>
      </w:pPr>
    </w:p>
    <w:p>
      <w:pPr>
        <w:pStyle w:val="58"/>
        <w:ind w:firstLine="480"/>
        <w:rPr>
          <w:rFonts w:ascii="宋体" w:hAnsi="宋体" w:cs="宋体"/>
          <w:color w:val="auto"/>
          <w:kern w:val="0"/>
          <w:sz w:val="24"/>
          <w:szCs w:val="24"/>
          <w:highlight w:val="none"/>
        </w:rPr>
      </w:pPr>
    </w:p>
    <w:p>
      <w:pPr>
        <w:autoSpaceDE w:val="0"/>
        <w:autoSpaceDN w:val="0"/>
        <w:adjustRightInd w:val="0"/>
        <w:spacing w:line="360" w:lineRule="auto"/>
        <w:ind w:firstLine="200"/>
        <w:jc w:val="left"/>
        <w:rPr>
          <w:rFonts w:ascii="宋体" w:hAnsi="宋体" w:cs="宋体"/>
          <w:color w:val="auto"/>
          <w:kern w:val="0"/>
          <w:sz w:val="24"/>
          <w:szCs w:val="24"/>
          <w:highlight w:val="none"/>
        </w:rPr>
      </w:pPr>
    </w:p>
    <w:p>
      <w:pPr>
        <w:autoSpaceDE w:val="0"/>
        <w:autoSpaceDN w:val="0"/>
        <w:adjustRightInd w:val="0"/>
        <w:spacing w:line="360" w:lineRule="auto"/>
        <w:ind w:firstLine="200"/>
        <w:jc w:val="left"/>
        <w:rPr>
          <w:rFonts w:ascii="宋体" w:hAnsi="宋体" w:cs="宋体"/>
          <w:color w:val="auto"/>
          <w:kern w:val="0"/>
          <w:sz w:val="24"/>
          <w:szCs w:val="24"/>
          <w:highlight w:val="none"/>
        </w:rPr>
      </w:pPr>
    </w:p>
    <w:p>
      <w:pPr>
        <w:autoSpaceDE w:val="0"/>
        <w:autoSpaceDN w:val="0"/>
        <w:adjustRightInd w:val="0"/>
        <w:spacing w:line="360" w:lineRule="auto"/>
        <w:ind w:firstLine="200"/>
        <w:jc w:val="left"/>
        <w:rPr>
          <w:rFonts w:ascii="宋体" w:hAnsi="宋体" w:cs="宋体"/>
          <w:color w:val="auto"/>
          <w:kern w:val="0"/>
          <w:sz w:val="24"/>
          <w:szCs w:val="24"/>
          <w:highlight w:val="none"/>
        </w:rPr>
      </w:pPr>
    </w:p>
    <w:p>
      <w:pPr>
        <w:pStyle w:val="3"/>
        <w:spacing w:before="0" w:after="0" w:line="430" w:lineRule="exact"/>
        <w:ind w:firstLine="0"/>
        <w:rPr>
          <w:rFonts w:ascii="宋体" w:hAnsi="宋体" w:eastAsia="宋体"/>
          <w:color w:val="auto"/>
          <w:highlight w:val="none"/>
        </w:rPr>
      </w:pPr>
      <w:bookmarkStart w:id="6" w:name="_Toc19946"/>
      <w:r>
        <w:rPr>
          <w:rFonts w:hint="eastAsia" w:ascii="宋体" w:hAnsi="宋体" w:eastAsia="宋体"/>
          <w:color w:val="auto"/>
          <w:highlight w:val="none"/>
        </w:rPr>
        <w:t>第二章 投标人须</w:t>
      </w:r>
      <w:bookmarkEnd w:id="4"/>
      <w:r>
        <w:rPr>
          <w:rFonts w:hint="eastAsia" w:ascii="宋体" w:hAnsi="宋体" w:eastAsia="宋体"/>
          <w:color w:val="auto"/>
          <w:highlight w:val="none"/>
        </w:rPr>
        <w:t>知</w:t>
      </w:r>
      <w:bookmarkEnd w:id="5"/>
      <w:r>
        <w:rPr>
          <w:rFonts w:hint="eastAsia" w:ascii="宋体" w:hAnsi="宋体" w:eastAsia="宋体"/>
          <w:color w:val="auto"/>
          <w:highlight w:val="none"/>
        </w:rPr>
        <w:t>前附表</w:t>
      </w:r>
      <w:bookmarkEnd w:id="6"/>
    </w:p>
    <w:tbl>
      <w:tblPr>
        <w:tblStyle w:val="51"/>
        <w:tblW w:w="983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569"/>
        <w:gridCol w:w="7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r>
              <w:rPr>
                <w:rFonts w:hint="eastAsia" w:ascii="宋体" w:hAnsi="宋体"/>
                <w:b/>
                <w:color w:val="auto"/>
                <w:sz w:val="24"/>
                <w:highlight w:val="none"/>
              </w:rPr>
              <w:t>序号</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color w:val="auto"/>
                <w:sz w:val="24"/>
                <w:highlight w:val="none"/>
              </w:rPr>
            </w:pPr>
            <w:r>
              <w:rPr>
                <w:rFonts w:hint="eastAsia" w:ascii="宋体" w:hAnsi="宋体"/>
                <w:b/>
                <w:color w:val="auto"/>
                <w:sz w:val="24"/>
                <w:highlight w:val="none"/>
              </w:rPr>
              <w:t>内容</w:t>
            </w:r>
          </w:p>
        </w:tc>
        <w:tc>
          <w:tcPr>
            <w:tcW w:w="7552"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line="440" w:lineRule="exact"/>
              <w:rPr>
                <w:bCs w:val="0"/>
                <w:color w:val="auto"/>
                <w:kern w:val="2"/>
                <w:sz w:val="24"/>
                <w:szCs w:val="20"/>
                <w:highlight w:val="none"/>
              </w:rPr>
            </w:pPr>
            <w:r>
              <w:rPr>
                <w:rFonts w:hint="eastAsia"/>
                <w:bCs w:val="0"/>
                <w:color w:val="auto"/>
                <w:kern w:val="2"/>
                <w:sz w:val="24"/>
                <w:szCs w:val="20"/>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tcBorders>
              <w:top w:val="single" w:color="auto" w:sz="4" w:space="0"/>
              <w:left w:val="single" w:color="auto" w:sz="4" w:space="0"/>
              <w:bottom w:val="single" w:color="auto" w:sz="4" w:space="0"/>
              <w:right w:val="single" w:color="auto" w:sz="4" w:space="0"/>
            </w:tcBorders>
            <w:vAlign w:val="center"/>
          </w:tcPr>
          <w:p>
            <w:pPr>
              <w:pStyle w:val="111"/>
              <w:pBdr>
                <w:bottom w:val="none" w:color="auto" w:sz="0" w:space="0"/>
              </w:pBdr>
              <w:tabs>
                <w:tab w:val="left" w:pos="420"/>
              </w:tabs>
              <w:adjustRightInd/>
              <w:spacing w:line="240" w:lineRule="auto"/>
              <w:rPr>
                <w:rFonts w:ascii="宋体" w:hAnsi="宋体"/>
                <w:bCs/>
                <w:color w:val="auto"/>
                <w:kern w:val="2"/>
                <w:highlight w:val="none"/>
              </w:rPr>
            </w:pPr>
            <w:r>
              <w:rPr>
                <w:rFonts w:hint="eastAsia" w:ascii="宋体" w:hAnsi="宋体"/>
                <w:bCs/>
                <w:color w:val="auto"/>
                <w:kern w:val="2"/>
                <w:highlight w:val="none"/>
              </w:rPr>
              <w:t>1</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 w:val="24"/>
                <w:highlight w:val="none"/>
              </w:rPr>
            </w:pPr>
            <w:r>
              <w:rPr>
                <w:rFonts w:hint="eastAsia" w:ascii="宋体" w:hAnsi="宋体"/>
                <w:bCs/>
                <w:color w:val="auto"/>
                <w:sz w:val="24"/>
                <w:highlight w:val="none"/>
              </w:rPr>
              <w:t>招标人</w:t>
            </w:r>
          </w:p>
        </w:tc>
        <w:tc>
          <w:tcPr>
            <w:tcW w:w="7552"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jc w:val="both"/>
              <w:rPr>
                <w:b w:val="0"/>
                <w:color w:val="auto"/>
                <w:kern w:val="2"/>
                <w:sz w:val="24"/>
                <w:szCs w:val="20"/>
                <w:highlight w:val="none"/>
              </w:rPr>
            </w:pPr>
            <w:r>
              <w:rPr>
                <w:rFonts w:hint="eastAsia"/>
                <w:b w:val="0"/>
                <w:color w:val="auto"/>
                <w:kern w:val="2"/>
                <w:sz w:val="24"/>
                <w:szCs w:val="20"/>
                <w:highlight w:val="none"/>
              </w:rPr>
              <w:t>合肥文旅博览集团有限公司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 w:val="24"/>
                <w:highlight w:val="none"/>
              </w:rPr>
            </w:pPr>
            <w:r>
              <w:rPr>
                <w:rFonts w:hint="eastAsia" w:ascii="宋体" w:hAnsi="宋体"/>
                <w:bCs/>
                <w:color w:val="auto"/>
                <w:sz w:val="24"/>
                <w:highlight w:val="none"/>
              </w:rPr>
              <w:t>2</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 w:val="24"/>
                <w:highlight w:val="none"/>
              </w:rPr>
            </w:pPr>
            <w:r>
              <w:rPr>
                <w:rFonts w:hint="eastAsia" w:ascii="宋体" w:hAnsi="宋体"/>
                <w:bCs/>
                <w:color w:val="auto"/>
                <w:sz w:val="24"/>
                <w:highlight w:val="none"/>
              </w:rPr>
              <w:t>委托人</w:t>
            </w:r>
          </w:p>
        </w:tc>
        <w:tc>
          <w:tcPr>
            <w:tcW w:w="7552"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jc w:val="both"/>
              <w:rPr>
                <w:b w:val="0"/>
                <w:bCs w:val="0"/>
                <w:color w:val="auto"/>
                <w:sz w:val="24"/>
                <w:szCs w:val="18"/>
                <w:highlight w:val="none"/>
              </w:rPr>
            </w:pPr>
            <w:r>
              <w:rPr>
                <w:rFonts w:hint="eastAsia"/>
                <w:b w:val="0"/>
                <w:color w:val="auto"/>
                <w:sz w:val="24"/>
                <w:szCs w:val="24"/>
                <w:highlight w:val="none"/>
              </w:rPr>
              <w:t>合肥文旅博览集团有限公司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 w:val="24"/>
                <w:highlight w:val="none"/>
              </w:rPr>
            </w:pPr>
            <w:r>
              <w:rPr>
                <w:rFonts w:hint="eastAsia" w:ascii="宋体" w:hAnsi="宋体"/>
                <w:bCs/>
                <w:color w:val="auto"/>
                <w:sz w:val="24"/>
                <w:highlight w:val="none"/>
              </w:rPr>
              <w:t>3</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项目名称</w:t>
            </w:r>
          </w:p>
        </w:tc>
        <w:tc>
          <w:tcPr>
            <w:tcW w:w="7552"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jc w:val="both"/>
              <w:rPr>
                <w:color w:val="auto"/>
                <w:sz w:val="30"/>
                <w:szCs w:val="30"/>
                <w:highlight w:val="none"/>
              </w:rPr>
            </w:pPr>
            <w:r>
              <w:rPr>
                <w:rFonts w:hint="eastAsia"/>
                <w:b w:val="0"/>
                <w:color w:val="auto"/>
                <w:sz w:val="24"/>
                <w:szCs w:val="24"/>
                <w:highlight w:val="none"/>
              </w:rPr>
              <w:t>合肥文旅博览集团2023年人才招聘项目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 w:val="24"/>
                <w:highlight w:val="none"/>
              </w:rPr>
            </w:pPr>
            <w:r>
              <w:rPr>
                <w:rFonts w:hint="eastAsia" w:ascii="宋体" w:hAnsi="宋体"/>
                <w:bCs/>
                <w:color w:val="auto"/>
                <w:sz w:val="24"/>
                <w:highlight w:val="none"/>
              </w:rPr>
              <w:t>4</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项目编号</w:t>
            </w:r>
          </w:p>
        </w:tc>
        <w:tc>
          <w:tcPr>
            <w:tcW w:w="755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auto"/>
                <w:sz w:val="24"/>
                <w:highlight w:val="none"/>
              </w:rPr>
            </w:pPr>
            <w:r>
              <w:rPr>
                <w:rFonts w:ascii="宋体" w:hAnsi="宋体" w:eastAsia="宋体" w:cs="宋体"/>
                <w:sz w:val="24"/>
                <w:szCs w:val="24"/>
              </w:rPr>
              <w:t>2023WLBLZB00077号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 w:val="24"/>
                <w:highlight w:val="none"/>
              </w:rPr>
            </w:pPr>
            <w:r>
              <w:rPr>
                <w:rFonts w:hint="eastAsia" w:ascii="宋体" w:hAnsi="宋体"/>
                <w:bCs/>
                <w:color w:val="auto"/>
                <w:sz w:val="24"/>
                <w:highlight w:val="none"/>
              </w:rPr>
              <w:t>5</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项目性质</w:t>
            </w:r>
          </w:p>
        </w:tc>
        <w:tc>
          <w:tcPr>
            <w:tcW w:w="75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olor w:val="auto"/>
                <w:sz w:val="24"/>
                <w:szCs w:val="24"/>
                <w:highlight w:val="none"/>
              </w:rPr>
            </w:pPr>
            <w:r>
              <w:rPr>
                <w:rFonts w:hint="eastAsia"/>
                <w:bCs/>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 w:val="24"/>
                <w:highlight w:val="none"/>
              </w:rPr>
            </w:pPr>
            <w:r>
              <w:rPr>
                <w:rFonts w:hint="eastAsia" w:ascii="宋体" w:hAnsi="宋体"/>
                <w:bCs/>
                <w:color w:val="auto"/>
                <w:sz w:val="24"/>
                <w:highlight w:val="none"/>
              </w:rPr>
              <w:t>6</w:t>
            </w:r>
          </w:p>
        </w:tc>
        <w:tc>
          <w:tcPr>
            <w:tcW w:w="156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auto"/>
                <w:sz w:val="24"/>
                <w:highlight w:val="none"/>
              </w:rPr>
            </w:pPr>
            <w:r>
              <w:rPr>
                <w:rFonts w:hint="eastAsia" w:ascii="宋体" w:hAnsi="宋体"/>
                <w:color w:val="auto"/>
                <w:sz w:val="24"/>
                <w:highlight w:val="none"/>
              </w:rPr>
              <w:t>资金来源</w:t>
            </w:r>
          </w:p>
        </w:tc>
        <w:tc>
          <w:tcPr>
            <w:tcW w:w="7552" w:type="dxa"/>
            <w:tcBorders>
              <w:top w:val="single" w:color="auto" w:sz="4" w:space="0"/>
              <w:left w:val="single" w:color="auto" w:sz="4" w:space="0"/>
              <w:bottom w:val="single" w:color="auto" w:sz="4" w:space="0"/>
              <w:right w:val="single" w:color="auto" w:sz="4" w:space="0"/>
            </w:tcBorders>
            <w:vAlign w:val="center"/>
          </w:tcPr>
          <w:p>
            <w:pPr>
              <w:pStyle w:val="104"/>
              <w:widowControl w:val="0"/>
              <w:spacing w:before="0" w:beforeAutospacing="0" w:after="0" w:afterAutospacing="0"/>
              <w:jc w:val="both"/>
              <w:rPr>
                <w:b w:val="0"/>
                <w:bCs w:val="0"/>
                <w:color w:val="auto"/>
                <w:sz w:val="24"/>
                <w:highlight w:val="none"/>
              </w:rPr>
            </w:pPr>
            <w:r>
              <w:rPr>
                <w:rFonts w:hint="eastAsia"/>
                <w:b w:val="0"/>
                <w:bCs w:val="0"/>
                <w:color w:val="auto"/>
                <w:sz w:val="24"/>
                <w:highlight w:val="none"/>
              </w:rPr>
              <w:t xml:space="preserve">□财政投资    </w:t>
            </w:r>
            <w:r>
              <w:rPr>
                <w:rFonts w:hint="eastAsia"/>
                <w:b w:val="0"/>
                <w:bCs w:val="0"/>
                <w:color w:val="auto"/>
                <w:sz w:val="24"/>
                <w:highlight w:val="none"/>
              </w:rPr>
              <w:sym w:font="Wingdings" w:char="F0FE"/>
            </w:r>
            <w:r>
              <w:rPr>
                <w:rFonts w:hint="eastAsia"/>
                <w:b w:val="0"/>
                <w:bCs w:val="0"/>
                <w:color w:val="auto"/>
                <w:sz w:val="24"/>
                <w:highlight w:val="none"/>
              </w:rPr>
              <w:t>委托人</w:t>
            </w:r>
            <w:r>
              <w:rPr>
                <w:rFonts w:hint="eastAsia"/>
                <w:b w:val="0"/>
                <w:color w:val="auto"/>
                <w:sz w:val="24"/>
                <w:highlight w:val="none"/>
              </w:rPr>
              <w:t xml:space="preserve">自筹    </w:t>
            </w:r>
            <w:r>
              <w:rPr>
                <w:rFonts w:hint="eastAsia"/>
                <w:b w:val="0"/>
                <w:bCs w:val="0"/>
                <w:color w:val="auto"/>
                <w:sz w:val="24"/>
                <w:highlight w:val="none"/>
              </w:rPr>
              <w:t>□</w:t>
            </w:r>
            <w:r>
              <w:rPr>
                <w:rFonts w:hint="eastAsia"/>
                <w:b w:val="0"/>
                <w:color w:val="auto"/>
                <w:sz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1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color w:val="auto"/>
                <w:sz w:val="24"/>
                <w:highlight w:val="none"/>
              </w:rPr>
            </w:pPr>
            <w:r>
              <w:rPr>
                <w:rFonts w:hint="eastAsia" w:ascii="宋体" w:hAnsi="宋体"/>
                <w:bCs/>
                <w:color w:val="auto"/>
                <w:sz w:val="24"/>
                <w:highlight w:val="none"/>
              </w:rPr>
              <w:t>7</w:t>
            </w:r>
          </w:p>
        </w:tc>
        <w:tc>
          <w:tcPr>
            <w:tcW w:w="1569"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hAnsi="宋体"/>
                <w:color w:val="auto"/>
                <w:sz w:val="24"/>
                <w:highlight w:val="none"/>
                <w:lang w:val="zh-CN"/>
              </w:rPr>
            </w:pPr>
            <w:r>
              <w:rPr>
                <w:rFonts w:hint="eastAsia" w:ascii="宋体" w:hAnsi="宋体"/>
                <w:color w:val="auto"/>
                <w:sz w:val="24"/>
                <w:highlight w:val="none"/>
              </w:rPr>
              <w:t>标段划分</w:t>
            </w:r>
          </w:p>
        </w:tc>
        <w:tc>
          <w:tcPr>
            <w:tcW w:w="7552" w:type="dxa"/>
            <w:tcBorders>
              <w:top w:val="single" w:color="auto" w:sz="4" w:space="0"/>
              <w:left w:val="single" w:color="auto" w:sz="4" w:space="0"/>
              <w:bottom w:val="single" w:color="auto" w:sz="4" w:space="0"/>
              <w:right w:val="single" w:color="auto" w:sz="4" w:space="0"/>
            </w:tcBorders>
            <w:vAlign w:val="center"/>
          </w:tcPr>
          <w:p>
            <w:pPr>
              <w:spacing w:line="500" w:lineRule="exact"/>
              <w:ind w:left="841" w:hanging="841"/>
              <w:rPr>
                <w:rFonts w:ascii="宋体" w:hAnsi="宋体"/>
                <w:bCs/>
                <w:color w:val="auto"/>
                <w:sz w:val="24"/>
                <w:highlight w:val="none"/>
              </w:rPr>
            </w:pPr>
            <w:r>
              <w:rPr>
                <w:rFonts w:hint="eastAsia"/>
                <w:bCs/>
                <w:color w:val="auto"/>
                <w:sz w:val="24"/>
                <w:highlight w:val="none"/>
              </w:rPr>
              <w:sym w:font="Wingdings" w:char="F0FE"/>
            </w:r>
            <w:r>
              <w:rPr>
                <w:rFonts w:hint="eastAsia" w:ascii="宋体" w:hAnsi="宋体"/>
                <w:color w:val="auto"/>
                <w:sz w:val="24"/>
                <w:highlight w:val="none"/>
              </w:rPr>
              <w:t>不分标段   □分为  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715" w:type="dxa"/>
            <w:tcBorders>
              <w:top w:val="single" w:color="auto" w:sz="4" w:space="0"/>
              <w:left w:val="single" w:color="auto" w:sz="4" w:space="0"/>
              <w:bottom w:val="single" w:color="auto" w:sz="4" w:space="0"/>
              <w:right w:val="single" w:color="auto" w:sz="4" w:space="0"/>
            </w:tcBorders>
            <w:vAlign w:val="center"/>
          </w:tcPr>
          <w:p>
            <w:pPr>
              <w:spacing w:line="500" w:lineRule="exact"/>
              <w:ind w:right="102"/>
              <w:jc w:val="center"/>
              <w:rPr>
                <w:rFonts w:ascii="宋体" w:hAnsi="宋体"/>
                <w:color w:val="auto"/>
                <w:sz w:val="24"/>
                <w:highlight w:val="none"/>
                <w:lang w:val="zh-CN"/>
              </w:rPr>
            </w:pPr>
            <w:r>
              <w:rPr>
                <w:rFonts w:hint="eastAsia" w:ascii="宋体" w:hAnsi="宋体"/>
                <w:color w:val="auto"/>
                <w:sz w:val="24"/>
                <w:highlight w:val="none"/>
                <w:lang w:val="zh-CN"/>
              </w:rPr>
              <w:t>8</w:t>
            </w:r>
          </w:p>
        </w:tc>
        <w:tc>
          <w:tcPr>
            <w:tcW w:w="15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lang w:val="zh-CN"/>
              </w:rPr>
              <w:t>付款方式</w:t>
            </w:r>
          </w:p>
        </w:tc>
        <w:tc>
          <w:tcPr>
            <w:tcW w:w="7552" w:type="dxa"/>
            <w:tcBorders>
              <w:top w:val="single" w:color="auto" w:sz="4" w:space="0"/>
              <w:left w:val="single" w:color="auto" w:sz="4" w:space="0"/>
              <w:bottom w:val="single" w:color="auto" w:sz="4" w:space="0"/>
              <w:right w:val="single" w:color="auto" w:sz="4" w:space="0"/>
            </w:tcBorders>
          </w:tcPr>
          <w:p>
            <w:pPr>
              <w:spacing w:line="460" w:lineRule="exact"/>
              <w:jc w:val="left"/>
              <w:rPr>
                <w:rFonts w:ascii="宋体" w:hAnsi="宋体"/>
                <w:bCs/>
                <w:color w:val="auto"/>
                <w:sz w:val="24"/>
                <w:highlight w:val="none"/>
              </w:rPr>
            </w:pPr>
            <w:r>
              <w:rPr>
                <w:rFonts w:hint="eastAsia" w:ascii="宋体" w:hAnsi="宋体"/>
                <w:bCs/>
                <w:color w:val="auto"/>
                <w:sz w:val="24"/>
                <w:highlight w:val="none"/>
              </w:rPr>
              <w:t>合同签订后，中标人完成所有招聘工作后30日内一次性支付服务费用</w:t>
            </w:r>
            <w:r>
              <w:rPr>
                <w:rFonts w:hint="eastAsia" w:ascii="宋体" w:hAnsi="宋体"/>
                <w:color w:val="auto"/>
                <w:sz w:val="24"/>
                <w:szCs w:val="24"/>
                <w:highlight w:val="none"/>
              </w:rPr>
              <w:t>。</w:t>
            </w:r>
          </w:p>
          <w:p>
            <w:pPr>
              <w:spacing w:line="460" w:lineRule="exact"/>
              <w:jc w:val="left"/>
              <w:rPr>
                <w:rFonts w:ascii="宋体" w:hAnsi="宋体"/>
                <w:bCs/>
                <w:color w:val="auto"/>
                <w:sz w:val="24"/>
                <w:szCs w:val="20"/>
                <w:highlight w:val="none"/>
              </w:rPr>
            </w:pPr>
            <w:r>
              <w:rPr>
                <w:rFonts w:hint="eastAsia" w:ascii="宋体" w:hAnsi="宋体"/>
                <w:bCs/>
                <w:color w:val="auto"/>
                <w:sz w:val="24"/>
                <w:szCs w:val="20"/>
                <w:highlight w:val="none"/>
              </w:rPr>
              <w:t>在委托人付款前，中标人需向委托人交付等额的增值税专用发票，否则委托人有权拒绝或者延迟付款，且不承担违约责任。</w:t>
            </w:r>
          </w:p>
          <w:p>
            <w:pPr>
              <w:autoSpaceDE w:val="0"/>
              <w:autoSpaceDN w:val="0"/>
              <w:adjustRightInd w:val="0"/>
              <w:spacing w:line="460" w:lineRule="exact"/>
              <w:jc w:val="left"/>
              <w:rPr>
                <w:color w:val="auto"/>
                <w:highlight w:val="none"/>
              </w:rPr>
            </w:pPr>
            <w:r>
              <w:rPr>
                <w:rFonts w:hint="eastAsia" w:ascii="宋体" w:hAnsi="宋体"/>
                <w:bCs/>
                <w:color w:val="auto"/>
                <w:sz w:val="24"/>
                <w:highlight w:val="none"/>
              </w:rPr>
              <w:t>投标人提交的投标文件中如有关于付款条件的表述与招标文件规定不符，投标无效。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7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9</w:t>
            </w:r>
          </w:p>
        </w:tc>
        <w:tc>
          <w:tcPr>
            <w:tcW w:w="15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联合体投标</w:t>
            </w:r>
          </w:p>
        </w:tc>
        <w:tc>
          <w:tcPr>
            <w:tcW w:w="7552"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zh-CN"/>
              </w:rPr>
              <w:t xml:space="preserve">接受  </w:t>
            </w:r>
            <w:r>
              <w:rPr>
                <w:b/>
                <w:bCs/>
                <w:color w:val="auto"/>
                <w:sz w:val="24"/>
                <w:highlight w:val="none"/>
              </w:rPr>
              <w:sym w:font="Wingdings" w:char="F0FE"/>
            </w:r>
            <w:r>
              <w:rPr>
                <w:rFonts w:hint="eastAsia" w:ascii="宋体" w:hAnsi="宋体"/>
                <w:color w:val="auto"/>
                <w:sz w:val="24"/>
                <w:highlight w:val="none"/>
              </w:rPr>
              <w:t>不</w:t>
            </w:r>
            <w:r>
              <w:rPr>
                <w:rFonts w:hint="eastAsia" w:ascii="宋体" w:hAnsi="宋体"/>
                <w:color w:val="auto"/>
                <w:sz w:val="24"/>
                <w:highlight w:val="none"/>
                <w:lang w:val="zh-CN"/>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10</w:t>
            </w:r>
          </w:p>
        </w:tc>
        <w:tc>
          <w:tcPr>
            <w:tcW w:w="15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投标有效期</w:t>
            </w:r>
          </w:p>
        </w:tc>
        <w:tc>
          <w:tcPr>
            <w:tcW w:w="7552"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olor w:val="auto"/>
                <w:sz w:val="24"/>
                <w:highlight w:val="none"/>
              </w:rPr>
            </w:pPr>
            <w:r>
              <w:rPr>
                <w:rFonts w:hint="eastAsia" w:ascii="宋体" w:hAnsi="宋体"/>
                <w:color w:val="auto"/>
                <w:sz w:val="24"/>
                <w:highlight w:val="none"/>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11</w:t>
            </w:r>
          </w:p>
        </w:tc>
        <w:tc>
          <w:tcPr>
            <w:tcW w:w="15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服务地点</w:t>
            </w:r>
          </w:p>
        </w:tc>
        <w:tc>
          <w:tcPr>
            <w:tcW w:w="7552"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olor w:val="auto"/>
                <w:kern w:val="0"/>
                <w:sz w:val="24"/>
                <w:highlight w:val="none"/>
              </w:rPr>
            </w:pPr>
            <w:r>
              <w:rPr>
                <w:rFonts w:hint="eastAsia" w:ascii="宋体" w:hAnsi="宋体"/>
                <w:bCs/>
                <w:color w:val="auto"/>
                <w:sz w:val="24"/>
                <w:szCs w:val="24"/>
                <w:highlight w:val="none"/>
              </w:rPr>
              <w:t>合肥市政务区习友路与茂荫路交口投资大厦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12</w:t>
            </w:r>
          </w:p>
        </w:tc>
        <w:tc>
          <w:tcPr>
            <w:tcW w:w="15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服务期限</w:t>
            </w:r>
          </w:p>
        </w:tc>
        <w:tc>
          <w:tcPr>
            <w:tcW w:w="75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30" w:lineRule="exact"/>
              <w:jc w:val="left"/>
              <w:rPr>
                <w:rFonts w:ascii="宋体" w:hAnsi="宋体"/>
                <w:color w:val="auto"/>
                <w:sz w:val="24"/>
                <w:szCs w:val="24"/>
                <w:highlight w:val="none"/>
              </w:rPr>
            </w:pPr>
            <w:r>
              <w:rPr>
                <w:rFonts w:hint="eastAsia" w:ascii="宋体" w:hAnsi="宋体"/>
                <w:color w:val="auto"/>
                <w:sz w:val="24"/>
                <w:szCs w:val="24"/>
                <w:highlight w:val="none"/>
              </w:rPr>
              <w:t>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trPr>
        <w:tc>
          <w:tcPr>
            <w:tcW w:w="7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13</w:t>
            </w:r>
          </w:p>
        </w:tc>
        <w:tc>
          <w:tcPr>
            <w:tcW w:w="15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color w:val="auto"/>
                <w:sz w:val="24"/>
                <w:highlight w:val="none"/>
              </w:rPr>
            </w:pPr>
            <w:r>
              <w:rPr>
                <w:rFonts w:hint="eastAsia" w:ascii="宋体" w:hAnsi="宋体"/>
                <w:bCs/>
                <w:color w:val="auto"/>
                <w:sz w:val="24"/>
                <w:highlight w:val="none"/>
              </w:rPr>
              <w:t>踏勘现场</w:t>
            </w:r>
          </w:p>
        </w:tc>
        <w:tc>
          <w:tcPr>
            <w:tcW w:w="7552"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olor w:val="auto"/>
                <w:sz w:val="24"/>
                <w:highlight w:val="none"/>
                <w:lang w:val="zh-CN"/>
              </w:rPr>
            </w:pPr>
            <w:r>
              <w:rPr>
                <w:rFonts w:hint="eastAsia"/>
                <w:b/>
                <w:bCs/>
                <w:color w:val="auto"/>
                <w:sz w:val="24"/>
                <w:highlight w:val="none"/>
              </w:rPr>
              <w:sym w:font="Wingdings" w:char="F0FE"/>
            </w:r>
            <w:r>
              <w:rPr>
                <w:rFonts w:hint="eastAsia" w:ascii="宋体" w:hAnsi="宋体"/>
                <w:bCs/>
                <w:color w:val="auto"/>
                <w:sz w:val="24"/>
                <w:highlight w:val="none"/>
              </w:rPr>
              <w:t xml:space="preserve">自行踏勘  </w:t>
            </w:r>
            <w:r>
              <w:rPr>
                <w:rFonts w:hint="eastAsia" w:ascii="宋体" w:hAnsi="宋体"/>
                <w:color w:val="auto"/>
                <w:sz w:val="24"/>
                <w:highlight w:val="none"/>
              </w:rPr>
              <w:t>□招标人</w:t>
            </w:r>
            <w:r>
              <w:rPr>
                <w:rFonts w:hint="eastAsia" w:ascii="宋体" w:hAnsi="宋体"/>
                <w:color w:val="auto"/>
                <w:sz w:val="24"/>
                <w:highlight w:val="none"/>
                <w:lang w:val="zh-CN"/>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7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14</w:t>
            </w:r>
          </w:p>
        </w:tc>
        <w:tc>
          <w:tcPr>
            <w:tcW w:w="15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color w:val="auto"/>
                <w:sz w:val="24"/>
                <w:highlight w:val="none"/>
              </w:rPr>
            </w:pPr>
            <w:r>
              <w:rPr>
                <w:rFonts w:hint="eastAsia" w:ascii="宋体" w:hAnsi="宋体"/>
                <w:bCs/>
                <w:color w:val="auto"/>
                <w:sz w:val="24"/>
                <w:highlight w:val="none"/>
              </w:rPr>
              <w:t>投标文件</w:t>
            </w:r>
          </w:p>
        </w:tc>
        <w:tc>
          <w:tcPr>
            <w:tcW w:w="7552" w:type="dxa"/>
            <w:tcBorders>
              <w:top w:val="single" w:color="auto" w:sz="4" w:space="0"/>
              <w:left w:val="single" w:color="auto" w:sz="4" w:space="0"/>
              <w:bottom w:val="single" w:color="auto" w:sz="4" w:space="0"/>
              <w:right w:val="single" w:color="auto" w:sz="4" w:space="0"/>
            </w:tcBorders>
            <w:vAlign w:val="center"/>
          </w:tcPr>
          <w:p>
            <w:pPr>
              <w:spacing w:line="440" w:lineRule="exact"/>
              <w:rPr>
                <w:b/>
                <w:bCs/>
                <w:color w:val="auto"/>
                <w:sz w:val="24"/>
                <w:highlight w:val="none"/>
              </w:rPr>
            </w:pPr>
            <w:r>
              <w:rPr>
                <w:rFonts w:hint="eastAsia" w:ascii="宋体" w:hAnsi="宋体"/>
                <w:color w:val="auto"/>
                <w:kern w:val="0"/>
                <w:sz w:val="24"/>
                <w:highlight w:val="none"/>
              </w:rPr>
              <w:t>正、副本各一，装订成册并封装于一个文件袋内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15</w:t>
            </w:r>
          </w:p>
        </w:tc>
        <w:tc>
          <w:tcPr>
            <w:tcW w:w="15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开标时间</w:t>
            </w:r>
          </w:p>
          <w:p>
            <w:pPr>
              <w:spacing w:line="500" w:lineRule="exact"/>
              <w:jc w:val="center"/>
              <w:rPr>
                <w:rFonts w:ascii="宋体" w:hAnsi="宋体"/>
                <w:bCs/>
                <w:color w:val="auto"/>
                <w:sz w:val="24"/>
                <w:highlight w:val="none"/>
              </w:rPr>
            </w:pPr>
            <w:r>
              <w:rPr>
                <w:rFonts w:hint="eastAsia" w:ascii="宋体" w:hAnsi="宋体"/>
                <w:color w:val="auto"/>
                <w:sz w:val="24"/>
                <w:highlight w:val="none"/>
              </w:rPr>
              <w:t>及地点</w:t>
            </w:r>
          </w:p>
        </w:tc>
        <w:tc>
          <w:tcPr>
            <w:tcW w:w="75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bCs/>
                <w:color w:val="auto"/>
                <w:sz w:val="24"/>
                <w:highlight w:val="none"/>
                <w:u w:val="single"/>
              </w:rPr>
            </w:pPr>
            <w:r>
              <w:rPr>
                <w:rFonts w:hint="eastAsia" w:ascii="宋体" w:hAnsi="宋体"/>
                <w:color w:val="auto"/>
                <w:sz w:val="24"/>
                <w:highlight w:val="none"/>
              </w:rPr>
              <w:t>开标时间：</w:t>
            </w:r>
            <w:r>
              <w:rPr>
                <w:rFonts w:hint="eastAsia" w:ascii="宋体" w:hAnsi="宋体"/>
                <w:color w:val="auto"/>
                <w:sz w:val="24"/>
                <w:highlight w:val="none"/>
                <w:lang w:val="zh-CN"/>
              </w:rPr>
              <w:t>详见招标公告</w:t>
            </w:r>
          </w:p>
          <w:p>
            <w:pPr>
              <w:spacing w:line="440" w:lineRule="exact"/>
              <w:rPr>
                <w:rFonts w:ascii="宋体" w:hAnsi="宋体"/>
                <w:color w:val="auto"/>
                <w:sz w:val="24"/>
                <w:highlight w:val="none"/>
              </w:rPr>
            </w:pPr>
            <w:r>
              <w:rPr>
                <w:rFonts w:hint="eastAsia" w:ascii="宋体" w:hAnsi="宋体"/>
                <w:color w:val="auto"/>
                <w:sz w:val="24"/>
                <w:highlight w:val="none"/>
              </w:rPr>
              <w:t>开标地点：</w:t>
            </w:r>
            <w:r>
              <w:rPr>
                <w:rFonts w:hint="eastAsia" w:ascii="宋体" w:hAnsi="宋体"/>
                <w:color w:val="auto"/>
                <w:sz w:val="24"/>
                <w:highlight w:val="none"/>
                <w:lang w:val="zh-CN"/>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16</w:t>
            </w:r>
          </w:p>
        </w:tc>
        <w:tc>
          <w:tcPr>
            <w:tcW w:w="15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评标办法</w:t>
            </w:r>
          </w:p>
        </w:tc>
        <w:tc>
          <w:tcPr>
            <w:tcW w:w="75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olor w:val="auto"/>
                <w:sz w:val="24"/>
                <w:highlight w:val="none"/>
              </w:rPr>
            </w:pPr>
            <w:r>
              <w:rPr>
                <w:rFonts w:hint="eastAsia" w:ascii="宋体" w:hAnsi="宋体"/>
                <w:color w:val="auto"/>
                <w:sz w:val="24"/>
                <w:highlight w:val="none"/>
              </w:rPr>
              <w:t>综合评分法。详见招标</w:t>
            </w:r>
            <w:r>
              <w:rPr>
                <w:rFonts w:hint="eastAsia" w:ascii="宋体" w:hAnsi="宋体"/>
                <w:color w:val="auto"/>
                <w:sz w:val="24"/>
                <w:highlight w:val="none"/>
                <w:lang w:val="zh-CN"/>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17</w:t>
            </w:r>
          </w:p>
        </w:tc>
        <w:tc>
          <w:tcPr>
            <w:tcW w:w="15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color w:val="auto"/>
                <w:sz w:val="24"/>
                <w:highlight w:val="none"/>
              </w:rPr>
            </w:pPr>
            <w:r>
              <w:rPr>
                <w:rFonts w:hint="eastAsia" w:ascii="宋体" w:hAnsi="宋体"/>
                <w:bCs/>
                <w:color w:val="auto"/>
                <w:sz w:val="24"/>
                <w:highlight w:val="none"/>
              </w:rPr>
              <w:t>踏勘现场</w:t>
            </w:r>
          </w:p>
        </w:tc>
        <w:tc>
          <w:tcPr>
            <w:tcW w:w="75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olor w:val="auto"/>
                <w:sz w:val="24"/>
                <w:highlight w:val="none"/>
                <w:lang w:val="zh-CN"/>
              </w:rPr>
            </w:pPr>
            <w:r>
              <w:rPr>
                <w:b/>
                <w:bCs/>
                <w:color w:val="auto"/>
                <w:sz w:val="24"/>
                <w:highlight w:val="none"/>
              </w:rPr>
              <w:sym w:font="Wingdings" w:char="F0FE"/>
            </w:r>
            <w:r>
              <w:rPr>
                <w:rFonts w:hint="eastAsia" w:ascii="宋体" w:hAnsi="宋体"/>
                <w:bCs/>
                <w:color w:val="auto"/>
                <w:sz w:val="24"/>
                <w:highlight w:val="none"/>
              </w:rPr>
              <w:t xml:space="preserve">自行踏勘  </w:t>
            </w:r>
            <w:r>
              <w:rPr>
                <w:rFonts w:hint="eastAsia" w:ascii="宋体" w:hAnsi="宋体"/>
                <w:color w:val="auto"/>
                <w:sz w:val="24"/>
                <w:highlight w:val="none"/>
              </w:rPr>
              <w:t>□招标人</w:t>
            </w:r>
            <w:r>
              <w:rPr>
                <w:rFonts w:hint="eastAsia" w:ascii="宋体" w:hAnsi="宋体"/>
                <w:color w:val="auto"/>
                <w:sz w:val="24"/>
                <w:highlight w:val="none"/>
                <w:lang w:val="zh-CN"/>
              </w:rPr>
              <w:t>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18</w:t>
            </w:r>
          </w:p>
        </w:tc>
        <w:tc>
          <w:tcPr>
            <w:tcW w:w="15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bCs/>
                <w:color w:val="auto"/>
                <w:sz w:val="24"/>
                <w:szCs w:val="24"/>
                <w:highlight w:val="none"/>
              </w:rPr>
            </w:pPr>
            <w:r>
              <w:rPr>
                <w:rFonts w:hint="eastAsia" w:ascii="宋体" w:hAnsi="宋体"/>
                <w:color w:val="auto"/>
                <w:sz w:val="24"/>
                <w:szCs w:val="24"/>
                <w:highlight w:val="none"/>
              </w:rPr>
              <w:t>履约保证金</w:t>
            </w:r>
          </w:p>
        </w:tc>
        <w:tc>
          <w:tcPr>
            <w:tcW w:w="75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olor w:val="auto"/>
                <w:sz w:val="24"/>
                <w:szCs w:val="24"/>
                <w:highlight w:val="none"/>
              </w:rPr>
            </w:pPr>
            <w:r>
              <w:rPr>
                <w:rFonts w:hint="eastAsia" w:ascii="宋体" w:hAnsi="宋体"/>
                <w:color w:val="auto"/>
                <w:sz w:val="24"/>
                <w:szCs w:val="24"/>
                <w:highlight w:val="none"/>
              </w:rPr>
              <w:t>1.履约保证金数额：中标价的</w:t>
            </w:r>
            <w:r>
              <w:rPr>
                <w:rFonts w:ascii="宋体" w:hAnsi="宋体"/>
                <w:color w:val="auto"/>
                <w:sz w:val="24"/>
                <w:szCs w:val="24"/>
                <w:highlight w:val="none"/>
                <w:u w:val="single"/>
              </w:rPr>
              <w:t xml:space="preserve"> / </w:t>
            </w:r>
            <w:r>
              <w:rPr>
                <w:rFonts w:hint="eastAsia" w:ascii="宋体" w:hAnsi="宋体"/>
                <w:color w:val="auto"/>
                <w:sz w:val="24"/>
                <w:szCs w:val="24"/>
                <w:highlight w:val="none"/>
              </w:rPr>
              <w:t>％</w:t>
            </w:r>
          </w:p>
          <w:p>
            <w:pPr>
              <w:spacing w:line="440" w:lineRule="exact"/>
              <w:ind w:left="841" w:hanging="841"/>
              <w:rPr>
                <w:rFonts w:ascii="宋体" w:hAnsi="宋体"/>
                <w:color w:val="auto"/>
                <w:sz w:val="24"/>
                <w:szCs w:val="24"/>
                <w:highlight w:val="none"/>
              </w:rPr>
            </w:pPr>
            <w:r>
              <w:rPr>
                <w:rFonts w:hint="eastAsia" w:ascii="宋体" w:hAnsi="宋体"/>
                <w:color w:val="auto"/>
                <w:sz w:val="24"/>
                <w:szCs w:val="24"/>
                <w:highlight w:val="none"/>
              </w:rPr>
              <w:t>2.收受方式为：</w:t>
            </w:r>
            <w:r>
              <w:rPr>
                <w:rFonts w:hint="eastAsia" w:ascii="MS Mincho" w:hAnsi="MS Mincho" w:eastAsia="MS Mincho" w:cs="MS Mincho"/>
                <w:color w:val="auto"/>
                <w:sz w:val="24"/>
                <w:szCs w:val="24"/>
                <w:highlight w:val="none"/>
              </w:rPr>
              <w:t>□</w:t>
            </w:r>
            <w:r>
              <w:rPr>
                <w:rFonts w:hint="eastAsia" w:ascii="宋体" w:hAnsi="宋体" w:cs="宋体"/>
                <w:color w:val="auto"/>
                <w:sz w:val="24"/>
                <w:szCs w:val="24"/>
                <w:highlight w:val="none"/>
              </w:rPr>
              <w:t>现金保证</w:t>
            </w:r>
            <w:r>
              <w:rPr>
                <w:rFonts w:hint="eastAsia" w:ascii="宋体" w:hAnsi="宋体"/>
                <w:color w:val="auto"/>
                <w:sz w:val="24"/>
                <w:highlight w:val="none"/>
              </w:rPr>
              <w:t>□</w:t>
            </w:r>
            <w:r>
              <w:rPr>
                <w:rFonts w:hint="eastAsia" w:ascii="宋体" w:hAnsi="宋体" w:cs="宋体"/>
                <w:color w:val="auto"/>
                <w:sz w:val="24"/>
                <w:szCs w:val="24"/>
                <w:highlight w:val="none"/>
              </w:rPr>
              <w:t>现金支票</w:t>
            </w:r>
            <w:r>
              <w:rPr>
                <w:rFonts w:hint="eastAsia" w:ascii="宋体" w:hAnsi="宋体"/>
                <w:color w:val="auto"/>
                <w:sz w:val="24"/>
                <w:highlight w:val="none"/>
              </w:rPr>
              <w:t>□</w:t>
            </w:r>
            <w:r>
              <w:rPr>
                <w:rFonts w:hint="eastAsia" w:ascii="宋体" w:hAnsi="宋体" w:cs="宋体"/>
                <w:color w:val="auto"/>
                <w:sz w:val="24"/>
                <w:szCs w:val="24"/>
                <w:highlight w:val="none"/>
              </w:rPr>
              <w:t>银行汇</w:t>
            </w:r>
            <w:r>
              <w:rPr>
                <w:rFonts w:hint="eastAsia" w:ascii="宋体" w:hAnsi="宋体"/>
                <w:color w:val="auto"/>
                <w:sz w:val="24"/>
                <w:szCs w:val="24"/>
                <w:highlight w:val="none"/>
              </w:rPr>
              <w:t>票</w:t>
            </w:r>
          </w:p>
          <w:p>
            <w:pPr>
              <w:spacing w:line="440" w:lineRule="exact"/>
              <w:ind w:left="839" w:leftChars="114" w:hanging="600" w:hangingChars="250"/>
              <w:rPr>
                <w:rFonts w:ascii="宋体" w:hAnsi="宋体"/>
                <w:color w:val="auto"/>
                <w:sz w:val="24"/>
                <w:szCs w:val="24"/>
                <w:highlight w:val="none"/>
              </w:rPr>
            </w:pPr>
            <w:r>
              <w:rPr>
                <w:rFonts w:hint="eastAsia" w:ascii="MS Mincho" w:hAnsi="MS Mincho" w:eastAsia="MS Mincho" w:cs="MS Mincho"/>
                <w:color w:val="auto"/>
                <w:sz w:val="24"/>
                <w:szCs w:val="24"/>
                <w:highlight w:val="none"/>
              </w:rPr>
              <w:t>□</w:t>
            </w:r>
            <w:r>
              <w:rPr>
                <w:rFonts w:hint="eastAsia" w:ascii="宋体" w:hAnsi="宋体" w:cs="宋体"/>
                <w:color w:val="auto"/>
                <w:sz w:val="24"/>
                <w:szCs w:val="24"/>
                <w:highlight w:val="none"/>
              </w:rPr>
              <w:t>银行保函</w:t>
            </w:r>
            <w:r>
              <w:rPr>
                <w:rFonts w:ascii="Segoe UI Symbol" w:hAnsi="Segoe UI Symbol" w:eastAsia="MS Mincho" w:cs="Segoe UI Symbol"/>
                <w:color w:val="auto"/>
                <w:sz w:val="24"/>
                <w:szCs w:val="24"/>
                <w:highlight w:val="none"/>
              </w:rPr>
              <w:t>☑</w:t>
            </w:r>
            <w:r>
              <w:rPr>
                <w:rFonts w:hint="eastAsia" w:ascii="宋体" w:hAnsi="宋体" w:cs="宋体"/>
                <w:color w:val="auto"/>
                <w:sz w:val="24"/>
                <w:szCs w:val="24"/>
                <w:highlight w:val="none"/>
              </w:rPr>
              <w:t>银行转账</w:t>
            </w:r>
            <w:r>
              <w:rPr>
                <w:rFonts w:hint="eastAsia" w:ascii="宋体" w:hAnsi="宋体"/>
                <w:color w:val="auto"/>
                <w:sz w:val="24"/>
                <w:highlight w:val="none"/>
              </w:rPr>
              <w:t>□</w:t>
            </w:r>
            <w:r>
              <w:rPr>
                <w:rFonts w:hint="eastAsia" w:ascii="宋体" w:hAnsi="宋体" w:cs="宋体"/>
                <w:color w:val="auto"/>
                <w:sz w:val="24"/>
                <w:szCs w:val="24"/>
                <w:highlight w:val="none"/>
              </w:rPr>
              <w:t>工程担保</w:t>
            </w:r>
            <w:r>
              <w:rPr>
                <w:rFonts w:hint="eastAsia" w:ascii="宋体" w:hAnsi="宋体"/>
                <w:color w:val="auto"/>
                <w:sz w:val="24"/>
                <w:highlight w:val="none"/>
              </w:rPr>
              <w:t>□</w:t>
            </w:r>
            <w:r>
              <w:rPr>
                <w:rFonts w:hint="eastAsia" w:ascii="宋体" w:hAnsi="宋体" w:cs="宋体"/>
                <w:color w:val="auto"/>
                <w:sz w:val="24"/>
                <w:szCs w:val="24"/>
                <w:highlight w:val="none"/>
              </w:rPr>
              <w:t>保证保</w:t>
            </w:r>
            <w:r>
              <w:rPr>
                <w:rFonts w:hint="eastAsia" w:ascii="宋体" w:hAnsi="宋体"/>
                <w:color w:val="auto"/>
                <w:sz w:val="24"/>
                <w:szCs w:val="24"/>
                <w:highlight w:val="none"/>
              </w:rPr>
              <w:t>险</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3.收受人为:□招标人、</w:t>
            </w:r>
            <w:r>
              <w:rPr>
                <w:rFonts w:ascii="宋体" w:hAnsi="宋体"/>
                <w:color w:val="auto"/>
                <w:sz w:val="24"/>
                <w:szCs w:val="24"/>
                <w:highlight w:val="none"/>
              </w:rPr>
              <w:sym w:font="Wingdings" w:char="F0FE"/>
            </w:r>
            <w:r>
              <w:rPr>
                <w:rFonts w:hint="eastAsia" w:ascii="宋体" w:hAnsi="宋体"/>
                <w:color w:val="auto"/>
                <w:sz w:val="24"/>
                <w:szCs w:val="24"/>
                <w:highlight w:val="none"/>
              </w:rPr>
              <w:t>委托人</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4.提交时限：合同签订前按规定提交履约保证金，若中标人在规定时限内未提交保证金的，招标人将书面通知中标人，5日内不能办理的，招标人将有权取消其中标资格。</w:t>
            </w:r>
          </w:p>
          <w:p>
            <w:pPr>
              <w:spacing w:line="440" w:lineRule="exact"/>
              <w:rPr>
                <w:rFonts w:ascii="宋体" w:hAnsi="宋体"/>
                <w:color w:val="auto"/>
                <w:sz w:val="24"/>
                <w:szCs w:val="24"/>
                <w:highlight w:val="none"/>
                <w:u w:val="single"/>
              </w:rPr>
            </w:pPr>
            <w:r>
              <w:rPr>
                <w:rFonts w:hint="eastAsia" w:ascii="宋体" w:hAnsi="宋体"/>
                <w:color w:val="auto"/>
                <w:sz w:val="24"/>
                <w:szCs w:val="24"/>
                <w:highlight w:val="none"/>
              </w:rPr>
              <w:t>5.退还：</w:t>
            </w:r>
            <w:r>
              <w:rPr>
                <w:rFonts w:hint="eastAsia" w:ascii="宋体" w:hAnsi="宋体"/>
                <w:color w:val="auto"/>
                <w:sz w:val="24"/>
                <w:szCs w:val="24"/>
                <w:highlight w:val="none"/>
                <w:u w:val="single"/>
              </w:rPr>
              <w:t>合同签订后若双方无任何争议的情况下满三个月招标人一次性退还（无息）。</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6.如采用银行保函，银行保函由合肥本地银行或在合肥具有分支机构的银行出具的见索即付无条件保函。</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7.如采用工程担保，工程担保由注册地在合肥市或在合肥具有分支机构的国有担保公司出具的无条件担保。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19</w:t>
            </w:r>
          </w:p>
        </w:tc>
        <w:tc>
          <w:tcPr>
            <w:tcW w:w="15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szCs w:val="24"/>
                <w:highlight w:val="none"/>
              </w:rPr>
              <w:t>投标保证金金额</w:t>
            </w:r>
          </w:p>
        </w:tc>
        <w:tc>
          <w:tcPr>
            <w:tcW w:w="75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olor w:val="auto"/>
                <w:sz w:val="24"/>
                <w:szCs w:val="24"/>
                <w:highlight w:val="none"/>
              </w:rPr>
            </w:pPr>
            <w:r>
              <w:rPr>
                <w:rFonts w:hint="eastAsia" w:ascii="宋体" w:hAnsi="宋体"/>
                <w:color w:val="auto"/>
                <w:sz w:val="24"/>
                <w:szCs w:val="24"/>
                <w:highlight w:val="none"/>
              </w:rPr>
              <w:t>人民币大写</w:t>
            </w:r>
            <w:r>
              <w:rPr>
                <w:rFonts w:hint="eastAsia" w:ascii="宋体" w:hAnsi="宋体"/>
                <w:color w:val="auto"/>
                <w:sz w:val="24"/>
                <w:szCs w:val="24"/>
                <w:highlight w:val="none"/>
                <w:u w:val="single"/>
              </w:rPr>
              <w:t>叁仟元整（小写：3000.00）</w:t>
            </w:r>
            <w:r>
              <w:rPr>
                <w:rFonts w:hint="eastAsia" w:ascii="宋体" w:hAnsi="宋体"/>
                <w:color w:val="auto"/>
                <w:sz w:val="24"/>
                <w:szCs w:val="24"/>
                <w:highlight w:val="none"/>
              </w:rPr>
              <w:t>，投标保证金应当在报名截止时间前足额到达本次招标公告指定账号（项目多标的，应向所投标的对应账号交纳），且应当从投标人本单位账号转出。</w:t>
            </w:r>
          </w:p>
          <w:p>
            <w:pPr>
              <w:widowControl/>
              <w:spacing w:line="440" w:lineRule="exact"/>
              <w:jc w:val="left"/>
              <w:rPr>
                <w:color w:val="auto"/>
                <w:spacing w:val="-5"/>
                <w:sz w:val="24"/>
                <w:szCs w:val="24"/>
                <w:highlight w:val="none"/>
              </w:rPr>
            </w:pPr>
            <w:r>
              <w:rPr>
                <w:rFonts w:hint="eastAsia" w:ascii="宋体" w:hAnsi="宋体"/>
                <w:color w:val="auto"/>
                <w:sz w:val="24"/>
                <w:szCs w:val="24"/>
                <w:highlight w:val="none"/>
              </w:rPr>
              <w:t>详见招标文件第三章投标人须知第2条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20</w:t>
            </w:r>
          </w:p>
        </w:tc>
        <w:tc>
          <w:tcPr>
            <w:tcW w:w="15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szCs w:val="24"/>
                <w:highlight w:val="none"/>
              </w:rPr>
              <w:t>投标保证金交纳账号</w:t>
            </w:r>
          </w:p>
        </w:tc>
        <w:tc>
          <w:tcPr>
            <w:tcW w:w="75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olor w:val="auto"/>
                <w:sz w:val="24"/>
                <w:szCs w:val="24"/>
                <w:highlight w:val="none"/>
              </w:rPr>
            </w:pPr>
            <w:r>
              <w:rPr>
                <w:rFonts w:hint="eastAsia" w:ascii="宋体" w:hAnsi="宋体"/>
                <w:color w:val="auto"/>
                <w:sz w:val="24"/>
                <w:szCs w:val="24"/>
                <w:highlight w:val="none"/>
              </w:rPr>
              <w:t>单位名称：合肥文旅博览集团有限公司</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开户银行账号：1302010509200182305</w:t>
            </w:r>
          </w:p>
          <w:p>
            <w:pPr>
              <w:spacing w:line="440" w:lineRule="exact"/>
              <w:rPr>
                <w:rFonts w:ascii="宋体" w:hAnsi="宋体"/>
                <w:color w:val="auto"/>
                <w:sz w:val="24"/>
                <w:szCs w:val="24"/>
                <w:highlight w:val="none"/>
              </w:rPr>
            </w:pPr>
            <w:r>
              <w:rPr>
                <w:rFonts w:hint="eastAsia" w:ascii="宋体" w:hAnsi="宋体"/>
                <w:color w:val="auto"/>
                <w:sz w:val="24"/>
                <w:szCs w:val="24"/>
                <w:highlight w:val="none"/>
              </w:rPr>
              <w:t>开户银行：中国工商银行合肥望江路支行</w:t>
            </w:r>
          </w:p>
          <w:p>
            <w:pPr>
              <w:widowControl/>
              <w:spacing w:line="440" w:lineRule="exact"/>
              <w:jc w:val="left"/>
              <w:rPr>
                <w:rFonts w:ascii="宋体" w:hAnsi="宋体"/>
                <w:color w:val="auto"/>
                <w:sz w:val="24"/>
                <w:szCs w:val="24"/>
                <w:highlight w:val="none"/>
              </w:rPr>
            </w:pPr>
            <w:r>
              <w:rPr>
                <w:rFonts w:hint="eastAsia" w:ascii="宋体" w:hAnsi="宋体"/>
                <w:color w:val="auto"/>
                <w:sz w:val="24"/>
                <w:szCs w:val="24"/>
                <w:highlight w:val="none"/>
              </w:rPr>
              <w:t>备注：</w:t>
            </w:r>
          </w:p>
          <w:p>
            <w:pPr>
              <w:widowControl/>
              <w:spacing w:line="440" w:lineRule="exact"/>
              <w:jc w:val="left"/>
              <w:rPr>
                <w:rFonts w:ascii="宋体" w:hAnsi="宋体"/>
                <w:color w:val="auto"/>
                <w:sz w:val="24"/>
                <w:szCs w:val="24"/>
                <w:highlight w:val="none"/>
              </w:rPr>
            </w:pPr>
            <w:r>
              <w:rPr>
                <w:rFonts w:hint="eastAsia" w:ascii="宋体" w:hAnsi="宋体"/>
                <w:color w:val="auto"/>
                <w:sz w:val="24"/>
                <w:szCs w:val="24"/>
                <w:highlight w:val="none"/>
              </w:rPr>
              <w:t>（1）转帐时请备注“××项目投标保证金，并将转账凭证扫描件发送至31833846@qq.com邮箱；</w:t>
            </w:r>
          </w:p>
          <w:p>
            <w:pPr>
              <w:widowControl/>
              <w:spacing w:line="440" w:lineRule="exact"/>
              <w:jc w:val="left"/>
              <w:rPr>
                <w:color w:val="auto"/>
                <w:spacing w:val="-5"/>
                <w:sz w:val="24"/>
                <w:szCs w:val="24"/>
                <w:highlight w:val="none"/>
              </w:rPr>
            </w:pPr>
            <w:r>
              <w:rPr>
                <w:rFonts w:hint="eastAsia" w:ascii="宋体" w:hAnsi="宋体"/>
                <w:color w:val="auto"/>
                <w:sz w:val="24"/>
                <w:szCs w:val="24"/>
                <w:highlight w:val="none"/>
              </w:rPr>
              <w:t>（2）投标保证金缴纳截止日为报名截止日。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71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olor w:val="auto"/>
                <w:sz w:val="24"/>
                <w:highlight w:val="none"/>
              </w:rPr>
            </w:pPr>
            <w:r>
              <w:rPr>
                <w:rFonts w:hint="eastAsia" w:ascii="宋体" w:hAnsi="宋体"/>
                <w:color w:val="auto"/>
                <w:sz w:val="24"/>
                <w:highlight w:val="none"/>
              </w:rPr>
              <w:t>21</w:t>
            </w:r>
          </w:p>
        </w:tc>
        <w:tc>
          <w:tcPr>
            <w:tcW w:w="156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szCs w:val="24"/>
                <w:highlight w:val="none"/>
              </w:rPr>
            </w:pPr>
            <w:r>
              <w:rPr>
                <w:rFonts w:hint="eastAsia" w:ascii="宋体" w:hAnsi="宋体"/>
                <w:color w:val="auto"/>
                <w:sz w:val="24"/>
                <w:szCs w:val="24"/>
                <w:highlight w:val="none"/>
              </w:rPr>
              <w:t>投标人信用记录</w:t>
            </w:r>
          </w:p>
        </w:tc>
        <w:tc>
          <w:tcPr>
            <w:tcW w:w="755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宋体" w:hAnsi="宋体"/>
                <w:color w:val="auto"/>
                <w:sz w:val="24"/>
                <w:szCs w:val="24"/>
                <w:highlight w:val="none"/>
              </w:rPr>
            </w:pPr>
            <w:r>
              <w:rPr>
                <w:rFonts w:hint="eastAsia" w:ascii="宋体" w:hAnsi="宋体"/>
                <w:color w:val="auto"/>
                <w:sz w:val="24"/>
                <w:szCs w:val="24"/>
                <w:highlight w:val="none"/>
              </w:rPr>
              <w:t>投标文件中须提供投标人信用承诺（格式见第七章“投标人信用承诺”）“投标人信用承诺”须盖投标人公章。</w:t>
            </w:r>
            <w:r>
              <w:rPr>
                <w:rFonts w:hint="eastAsia" w:ascii="宋体" w:hAnsi="宋体"/>
                <w:b/>
                <w:color w:val="auto"/>
                <w:sz w:val="24"/>
                <w:szCs w:val="24"/>
                <w:highlight w:val="none"/>
              </w:rPr>
              <w:t>（未提供或提供不符合的，投标无效）</w:t>
            </w:r>
          </w:p>
        </w:tc>
      </w:tr>
    </w:tbl>
    <w:p>
      <w:pPr>
        <w:rPr>
          <w:color w:val="auto"/>
          <w:highlight w:val="none"/>
        </w:rPr>
      </w:pPr>
      <w:bookmarkStart w:id="7" w:name="_Hlt519045778"/>
      <w:bookmarkEnd w:id="7"/>
      <w:bookmarkStart w:id="8" w:name="_Hlt509649645"/>
      <w:bookmarkEnd w:id="8"/>
      <w:bookmarkStart w:id="9" w:name="_Hlt509649795"/>
      <w:bookmarkEnd w:id="9"/>
      <w:bookmarkStart w:id="10" w:name="_Hlt509650961"/>
      <w:bookmarkEnd w:id="10"/>
      <w:bookmarkStart w:id="11" w:name="_Hlt509650116"/>
      <w:bookmarkEnd w:id="11"/>
      <w:bookmarkStart w:id="12" w:name="_Hlt509650932"/>
      <w:bookmarkEnd w:id="12"/>
      <w:bookmarkStart w:id="13" w:name="_Hlt509650027"/>
      <w:bookmarkEnd w:id="13"/>
      <w:bookmarkStart w:id="14" w:name="_Hlt509650690"/>
      <w:bookmarkEnd w:id="14"/>
      <w:bookmarkStart w:id="15" w:name="_Hlt509650103"/>
      <w:bookmarkEnd w:id="15"/>
      <w:bookmarkStart w:id="16" w:name="_Hlt509649678"/>
      <w:bookmarkEnd w:id="16"/>
      <w:bookmarkStart w:id="17" w:name="_Hlt509649669"/>
      <w:bookmarkEnd w:id="17"/>
      <w:bookmarkStart w:id="18" w:name="_Hlt509649330"/>
      <w:bookmarkEnd w:id="18"/>
      <w:bookmarkStart w:id="19" w:name="_Hlt509650936"/>
      <w:bookmarkEnd w:id="19"/>
      <w:bookmarkStart w:id="20" w:name="_Hlt526418153"/>
      <w:bookmarkEnd w:id="20"/>
      <w:bookmarkStart w:id="21" w:name="_Hlt509650929"/>
      <w:bookmarkEnd w:id="21"/>
      <w:bookmarkStart w:id="22" w:name="_Hlt509650333"/>
      <w:bookmarkEnd w:id="22"/>
      <w:bookmarkStart w:id="23" w:name="_Toc459990137"/>
      <w:bookmarkStart w:id="24" w:name="_Toc508363589"/>
    </w:p>
    <w:p>
      <w:pPr>
        <w:rPr>
          <w:color w:val="auto"/>
          <w:highlight w:val="none"/>
        </w:rPr>
      </w:pPr>
    </w:p>
    <w:p>
      <w:pPr>
        <w:pStyle w:val="3"/>
        <w:spacing w:before="0" w:line="500" w:lineRule="exact"/>
        <w:ind w:firstLine="0"/>
        <w:rPr>
          <w:rFonts w:ascii="宋体" w:hAnsi="宋体" w:eastAsia="宋体"/>
          <w:color w:val="auto"/>
          <w:highlight w:val="none"/>
        </w:rPr>
      </w:pPr>
      <w:bookmarkStart w:id="25" w:name="_Toc15286"/>
      <w:r>
        <w:rPr>
          <w:rFonts w:hint="eastAsia" w:ascii="宋体" w:hAnsi="宋体" w:eastAsia="宋体"/>
          <w:color w:val="auto"/>
          <w:highlight w:val="none"/>
        </w:rPr>
        <w:t>第三章 投标人须知</w:t>
      </w:r>
      <w:bookmarkEnd w:id="25"/>
      <w:bookmarkStart w:id="26" w:name="_Toc459990138"/>
    </w:p>
    <w:p>
      <w:pPr>
        <w:pStyle w:val="4"/>
        <w:spacing w:line="360" w:lineRule="auto"/>
        <w:ind w:firstLine="628"/>
        <w:rPr>
          <w:rFonts w:hAnsi="宋体"/>
          <w:color w:val="auto"/>
          <w:sz w:val="28"/>
          <w:highlight w:val="none"/>
        </w:rPr>
      </w:pPr>
      <w:bookmarkStart w:id="27" w:name="_Toc30589"/>
      <w:r>
        <w:rPr>
          <w:rFonts w:hint="eastAsia" w:hAnsi="宋体"/>
          <w:color w:val="auto"/>
          <w:sz w:val="28"/>
          <w:highlight w:val="none"/>
        </w:rPr>
        <w:t>一．投标文件的编制</w:t>
      </w:r>
      <w:bookmarkEnd w:id="26"/>
      <w:bookmarkEnd w:id="27"/>
    </w:p>
    <w:p>
      <w:pPr>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1.投标文件的编写要求</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1.1投标人须以招标人正式发布的《招标文件》为制作《投标文件》的依据；</w:t>
      </w:r>
    </w:p>
    <w:p>
      <w:pPr>
        <w:spacing w:line="360" w:lineRule="auto"/>
        <w:ind w:firstLine="480" w:firstLineChars="200"/>
        <w:rPr>
          <w:rFonts w:ascii="宋体" w:hAnsi="宋体"/>
          <w:color w:val="auto"/>
          <w:kern w:val="0"/>
          <w:sz w:val="24"/>
          <w:highlight w:val="none"/>
        </w:rPr>
      </w:pPr>
      <w:r>
        <w:rPr>
          <w:rFonts w:hint="eastAsia" w:ascii="宋体" w:hAnsi="宋体" w:cs="宋体"/>
          <w:color w:val="auto"/>
          <w:kern w:val="0"/>
          <w:sz w:val="24"/>
          <w:highlight w:val="none"/>
        </w:rPr>
        <w:t>1.2</w:t>
      </w:r>
      <w:r>
        <w:rPr>
          <w:rFonts w:hint="eastAsia" w:ascii="宋体" w:hAnsi="宋体"/>
          <w:color w:val="auto"/>
          <w:kern w:val="0"/>
          <w:sz w:val="24"/>
          <w:highlight w:val="none"/>
        </w:rPr>
        <w:t>投标人应仔细阅读招标文件的所有内容，按招标文件的要求提供投标文件，并保证所提供的全部资料真实有效；</w:t>
      </w:r>
    </w:p>
    <w:p>
      <w:pPr>
        <w:spacing w:line="360" w:lineRule="auto"/>
        <w:ind w:firstLine="480" w:firstLineChars="200"/>
        <w:rPr>
          <w:rFonts w:ascii="宋体" w:hAnsi="宋体"/>
          <w:color w:val="auto"/>
          <w:kern w:val="0"/>
          <w:sz w:val="24"/>
          <w:highlight w:val="none"/>
        </w:rPr>
      </w:pPr>
      <w:r>
        <w:rPr>
          <w:rFonts w:hint="eastAsia" w:ascii="宋体" w:hAnsi="宋体" w:cs="宋体"/>
          <w:color w:val="auto"/>
          <w:kern w:val="0"/>
          <w:sz w:val="24"/>
          <w:highlight w:val="none"/>
        </w:rPr>
        <w:t>1.3</w:t>
      </w:r>
      <w:r>
        <w:rPr>
          <w:rFonts w:hint="eastAsia" w:ascii="宋体" w:hAnsi="宋体"/>
          <w:color w:val="auto"/>
          <w:kern w:val="0"/>
          <w:sz w:val="24"/>
          <w:highlight w:val="none"/>
        </w:rPr>
        <w:t>投标文件的书面内容不得涂抹或改写；</w:t>
      </w:r>
    </w:p>
    <w:p>
      <w:pPr>
        <w:spacing w:line="360" w:lineRule="auto"/>
        <w:ind w:firstLine="480" w:firstLineChars="200"/>
        <w:rPr>
          <w:rFonts w:ascii="宋体" w:hAnsi="宋体"/>
          <w:color w:val="auto"/>
          <w:kern w:val="0"/>
          <w:sz w:val="24"/>
          <w:highlight w:val="none"/>
        </w:rPr>
      </w:pPr>
      <w:r>
        <w:rPr>
          <w:rFonts w:hint="eastAsia" w:ascii="宋体" w:hAnsi="宋体"/>
          <w:color w:val="auto"/>
          <w:kern w:val="0"/>
          <w:sz w:val="24"/>
          <w:highlight w:val="none"/>
        </w:rPr>
        <w:t>1.4满足本招标文件规定的其它要求。</w:t>
      </w:r>
    </w:p>
    <w:p>
      <w:pPr>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2.投标文件由以下部分构成</w:t>
      </w:r>
    </w:p>
    <w:p>
      <w:pPr>
        <w:spacing w:line="360" w:lineRule="auto"/>
        <w:ind w:firstLine="480" w:firstLineChars="200"/>
        <w:rPr>
          <w:rFonts w:ascii="宋体" w:hAnsi="宋体"/>
          <w:color w:val="auto"/>
          <w:kern w:val="0"/>
          <w:sz w:val="24"/>
          <w:highlight w:val="none"/>
        </w:rPr>
      </w:pPr>
      <w:r>
        <w:rPr>
          <w:rFonts w:hint="eastAsia" w:ascii="宋体" w:hAnsi="宋体" w:cs="宋体"/>
          <w:color w:val="auto"/>
          <w:kern w:val="0"/>
          <w:sz w:val="24"/>
          <w:highlight w:val="none"/>
        </w:rPr>
        <w:t>2.1</w:t>
      </w:r>
      <w:r>
        <w:rPr>
          <w:rFonts w:hint="eastAsia" w:ascii="宋体" w:hAnsi="宋体"/>
          <w:color w:val="auto"/>
          <w:kern w:val="0"/>
          <w:sz w:val="24"/>
          <w:highlight w:val="none"/>
        </w:rPr>
        <w:t>投标承诺书、开标一览表、分项报价表、投标事项承诺原件等；</w:t>
      </w:r>
    </w:p>
    <w:p>
      <w:pPr>
        <w:spacing w:line="360" w:lineRule="auto"/>
        <w:ind w:firstLine="480" w:firstLineChars="200"/>
        <w:rPr>
          <w:rFonts w:ascii="宋体" w:hAnsi="宋体"/>
          <w:color w:val="auto"/>
          <w:kern w:val="0"/>
          <w:sz w:val="24"/>
          <w:highlight w:val="none"/>
        </w:rPr>
      </w:pPr>
      <w:r>
        <w:rPr>
          <w:rFonts w:hint="eastAsia" w:ascii="宋体" w:hAnsi="宋体" w:cs="宋体"/>
          <w:color w:val="auto"/>
          <w:kern w:val="0"/>
          <w:sz w:val="24"/>
          <w:highlight w:val="none"/>
        </w:rPr>
        <w:t>2.2</w:t>
      </w:r>
      <w:r>
        <w:rPr>
          <w:rFonts w:hint="eastAsia" w:ascii="宋体" w:hAnsi="宋体"/>
          <w:color w:val="auto"/>
          <w:kern w:val="0"/>
          <w:sz w:val="24"/>
          <w:highlight w:val="none"/>
        </w:rPr>
        <w:t>投标人资质证明文件复印件、法人和授权代表人身份证复印件；</w:t>
      </w:r>
    </w:p>
    <w:p>
      <w:pPr>
        <w:spacing w:line="360" w:lineRule="auto"/>
        <w:ind w:firstLine="480" w:firstLineChars="200"/>
        <w:rPr>
          <w:rFonts w:ascii="宋体" w:hAnsi="宋体"/>
          <w:color w:val="auto"/>
          <w:kern w:val="0"/>
          <w:sz w:val="24"/>
          <w:highlight w:val="none"/>
        </w:rPr>
      </w:pPr>
      <w:r>
        <w:rPr>
          <w:rFonts w:hint="eastAsia" w:ascii="宋体" w:hAnsi="宋体" w:cs="宋体"/>
          <w:color w:val="auto"/>
          <w:kern w:val="0"/>
          <w:sz w:val="24"/>
          <w:highlight w:val="none"/>
        </w:rPr>
        <w:t>2.3投标人</w:t>
      </w:r>
      <w:r>
        <w:rPr>
          <w:rFonts w:hint="eastAsia" w:ascii="宋体" w:hAnsi="宋体"/>
          <w:color w:val="auto"/>
          <w:kern w:val="0"/>
          <w:sz w:val="24"/>
          <w:highlight w:val="none"/>
        </w:rPr>
        <w:t>同类项目合同及投标人其它说明文件等；</w:t>
      </w:r>
    </w:p>
    <w:p>
      <w:pPr>
        <w:spacing w:line="360" w:lineRule="auto"/>
        <w:ind w:firstLine="482" w:firstLineChars="200"/>
        <w:rPr>
          <w:rFonts w:ascii="宋体" w:hAnsi="宋体"/>
          <w:b/>
          <w:color w:val="auto"/>
          <w:kern w:val="0"/>
          <w:sz w:val="24"/>
          <w:highlight w:val="none"/>
        </w:rPr>
      </w:pPr>
      <w:r>
        <w:rPr>
          <w:rFonts w:hint="eastAsia" w:ascii="宋体" w:hAnsi="宋体"/>
          <w:b/>
          <w:color w:val="auto"/>
          <w:kern w:val="0"/>
          <w:sz w:val="24"/>
          <w:highlight w:val="none"/>
        </w:rPr>
        <w:t>3.投标报价说明及依据</w:t>
      </w:r>
    </w:p>
    <w:p>
      <w:pPr>
        <w:spacing w:line="360" w:lineRule="auto"/>
        <w:ind w:firstLine="480" w:firstLineChars="200"/>
        <w:rPr>
          <w:rFonts w:ascii="宋体" w:hAnsi="宋体"/>
          <w:b/>
          <w:color w:val="auto"/>
          <w:kern w:val="0"/>
          <w:sz w:val="24"/>
          <w:highlight w:val="none"/>
        </w:rPr>
      </w:pPr>
      <w:r>
        <w:rPr>
          <w:rFonts w:hint="eastAsia" w:ascii="宋体" w:hAnsi="宋体" w:cs="宋体"/>
          <w:color w:val="auto"/>
          <w:kern w:val="0"/>
          <w:sz w:val="24"/>
          <w:highlight w:val="none"/>
        </w:rPr>
        <w:t>3.1招标内容、采购清单及有关文件等；</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3.2国家、行业、地方有关技术标准规范；</w:t>
      </w:r>
    </w:p>
    <w:p>
      <w:pPr>
        <w:widowControl/>
        <w:spacing w:line="360" w:lineRule="auto"/>
        <w:ind w:firstLine="465"/>
        <w:jc w:val="left"/>
        <w:rPr>
          <w:rFonts w:ascii="宋体" w:hAnsi="宋体" w:cs="宋体"/>
          <w:color w:val="auto"/>
          <w:kern w:val="0"/>
          <w:sz w:val="24"/>
          <w:highlight w:val="none"/>
        </w:rPr>
      </w:pPr>
      <w:r>
        <w:rPr>
          <w:rFonts w:hint="eastAsia" w:ascii="宋体" w:hAnsi="宋体" w:cs="宋体"/>
          <w:color w:val="auto"/>
          <w:kern w:val="0"/>
          <w:sz w:val="24"/>
          <w:highlight w:val="none"/>
        </w:rPr>
        <w:t>3.3投标方需按照《投标分项报价表》格式做报价清单，所有价格均为到达项目所在工地含税（增值税专用发票）报价。</w:t>
      </w:r>
    </w:p>
    <w:p>
      <w:pPr>
        <w:widowControl/>
        <w:spacing w:line="360" w:lineRule="auto"/>
        <w:ind w:firstLine="465"/>
        <w:jc w:val="left"/>
        <w:rPr>
          <w:rFonts w:ascii="宋体" w:hAnsi="宋体" w:cs="宋体"/>
          <w:color w:val="auto"/>
          <w:kern w:val="0"/>
          <w:sz w:val="24"/>
          <w:highlight w:val="none"/>
        </w:rPr>
      </w:pPr>
      <w:r>
        <w:rPr>
          <w:rFonts w:hint="eastAsia" w:ascii="宋体" w:hAnsi="宋体" w:cs="宋体"/>
          <w:color w:val="auto"/>
          <w:kern w:val="0"/>
          <w:sz w:val="24"/>
          <w:highlight w:val="none"/>
        </w:rPr>
        <w:t>4.投标人接到招标文件后,认真审阅和全面理解招标文件中所有的须知、条件、格式、条款和图纸，如果投标人的投标文件不符合招标文件要求，该投标文件将被拒绝，责任自负。</w:t>
      </w:r>
    </w:p>
    <w:p>
      <w:pPr>
        <w:keepNext/>
        <w:keepLines/>
        <w:spacing w:before="260" w:after="260" w:line="360" w:lineRule="auto"/>
        <w:ind w:firstLine="628"/>
        <w:jc w:val="center"/>
        <w:outlineLvl w:val="2"/>
        <w:rPr>
          <w:rFonts w:ascii="宋体" w:hAnsi="宋体"/>
          <w:b/>
          <w:bCs/>
          <w:color w:val="auto"/>
          <w:sz w:val="28"/>
          <w:szCs w:val="32"/>
          <w:highlight w:val="none"/>
        </w:rPr>
      </w:pPr>
      <w:bookmarkStart w:id="28" w:name="_Toc22888331"/>
      <w:bookmarkStart w:id="29" w:name="_Toc19773335"/>
      <w:r>
        <w:rPr>
          <w:rFonts w:hint="eastAsia" w:ascii="宋体" w:hAnsi="宋体"/>
          <w:b/>
          <w:bCs/>
          <w:color w:val="auto"/>
          <w:sz w:val="28"/>
          <w:szCs w:val="32"/>
          <w:highlight w:val="none"/>
        </w:rPr>
        <w:t>二．投标保证金的缴纳</w:t>
      </w:r>
      <w:bookmarkEnd w:id="28"/>
      <w:bookmarkEnd w:id="29"/>
    </w:p>
    <w:p>
      <w:pPr>
        <w:spacing w:line="360" w:lineRule="auto"/>
        <w:ind w:firstLine="549"/>
        <w:rPr>
          <w:rFonts w:ascii="宋体" w:hAnsi="宋体"/>
          <w:color w:val="auto"/>
          <w:sz w:val="24"/>
          <w:szCs w:val="24"/>
          <w:highlight w:val="none"/>
        </w:rPr>
      </w:pPr>
      <w:r>
        <w:rPr>
          <w:rFonts w:hint="eastAsia" w:ascii="宋体" w:hAnsi="宋体"/>
          <w:color w:val="auto"/>
          <w:sz w:val="24"/>
          <w:szCs w:val="24"/>
          <w:highlight w:val="none"/>
        </w:rPr>
        <w:t>1投标前，投标人应向文旅博览集团提交投标人须知前附表规定金额的投标保证金，作为投标的一部分，投标保证金应当从投标人账户转出，并在报名截止时间前足额到达招标公告指定账号。</w:t>
      </w:r>
    </w:p>
    <w:p>
      <w:pPr>
        <w:spacing w:line="360" w:lineRule="auto"/>
        <w:ind w:firstLine="549"/>
        <w:rPr>
          <w:rFonts w:ascii="宋体" w:hAnsi="宋体"/>
          <w:color w:val="auto"/>
          <w:sz w:val="24"/>
          <w:szCs w:val="24"/>
          <w:highlight w:val="none"/>
        </w:rPr>
      </w:pPr>
      <w:r>
        <w:rPr>
          <w:rFonts w:hint="eastAsia" w:ascii="宋体" w:hAnsi="宋体"/>
          <w:color w:val="auto"/>
          <w:sz w:val="24"/>
          <w:szCs w:val="24"/>
          <w:highlight w:val="none"/>
        </w:rPr>
        <w:t>开标后，文旅博览集团将从投标保证金查询系统中查询投标保证金信息，并提交评标委员会评审。</w:t>
      </w:r>
    </w:p>
    <w:p>
      <w:pPr>
        <w:spacing w:line="360" w:lineRule="auto"/>
        <w:ind w:firstLine="549"/>
        <w:rPr>
          <w:rFonts w:ascii="宋体" w:hAnsi="宋体"/>
          <w:color w:val="auto"/>
          <w:sz w:val="24"/>
          <w:szCs w:val="24"/>
          <w:highlight w:val="none"/>
        </w:rPr>
      </w:pPr>
      <w:r>
        <w:rPr>
          <w:rFonts w:hint="eastAsia" w:ascii="宋体" w:hAnsi="宋体"/>
          <w:color w:val="auto"/>
          <w:sz w:val="24"/>
          <w:szCs w:val="24"/>
          <w:highlight w:val="none"/>
        </w:rPr>
        <w:t>2 投标保证金可采取下列任何一种形式：</w:t>
      </w:r>
    </w:p>
    <w:p>
      <w:pPr>
        <w:spacing w:line="360" w:lineRule="auto"/>
        <w:ind w:firstLine="549"/>
        <w:rPr>
          <w:rFonts w:ascii="宋体" w:hAnsi="宋体"/>
          <w:color w:val="auto"/>
          <w:sz w:val="24"/>
          <w:szCs w:val="24"/>
          <w:highlight w:val="none"/>
        </w:rPr>
      </w:pPr>
      <w:r>
        <w:rPr>
          <w:rFonts w:hint="eastAsia" w:ascii="宋体" w:hAnsi="宋体"/>
          <w:color w:val="auto"/>
          <w:sz w:val="24"/>
          <w:szCs w:val="24"/>
          <w:highlight w:val="none"/>
        </w:rPr>
        <w:t>2.1异地电汇；</w:t>
      </w:r>
    </w:p>
    <w:p>
      <w:pPr>
        <w:spacing w:line="360" w:lineRule="auto"/>
        <w:ind w:firstLine="549"/>
        <w:rPr>
          <w:rFonts w:ascii="宋体" w:hAnsi="宋体"/>
          <w:color w:val="auto"/>
          <w:sz w:val="24"/>
          <w:szCs w:val="24"/>
          <w:highlight w:val="none"/>
        </w:rPr>
      </w:pPr>
      <w:r>
        <w:rPr>
          <w:rFonts w:hint="eastAsia" w:ascii="宋体" w:hAnsi="宋体"/>
          <w:color w:val="auto"/>
          <w:sz w:val="24"/>
          <w:szCs w:val="24"/>
          <w:highlight w:val="none"/>
        </w:rPr>
        <w:t>2.2本地转帐。</w:t>
      </w:r>
    </w:p>
    <w:p>
      <w:pPr>
        <w:spacing w:line="360" w:lineRule="auto"/>
        <w:ind w:firstLine="549"/>
        <w:rPr>
          <w:rFonts w:ascii="宋体" w:hAnsi="宋体"/>
          <w:color w:val="auto"/>
          <w:sz w:val="24"/>
          <w:szCs w:val="24"/>
          <w:highlight w:val="none"/>
        </w:rPr>
      </w:pPr>
      <w:r>
        <w:rPr>
          <w:rFonts w:hint="eastAsia" w:ascii="宋体" w:hAnsi="宋体"/>
          <w:color w:val="auto"/>
          <w:sz w:val="24"/>
          <w:szCs w:val="24"/>
          <w:highlight w:val="none"/>
        </w:rPr>
        <w:t>3文旅博览集团不接收以现金或汇票形式递交的投标保证金；投标保证金交纳人名称与投标人名称应当一致。分公司或子公司代缴投标保证金，视同名称不一致。投标保证金交纳人名称与投标人名称不一致的，投标无效。</w:t>
      </w:r>
    </w:p>
    <w:p>
      <w:pPr>
        <w:spacing w:line="360" w:lineRule="auto"/>
        <w:ind w:firstLine="549"/>
        <w:rPr>
          <w:rFonts w:ascii="宋体" w:hAnsi="宋体"/>
          <w:color w:val="auto"/>
          <w:sz w:val="24"/>
          <w:szCs w:val="24"/>
          <w:highlight w:val="none"/>
        </w:rPr>
      </w:pPr>
      <w:r>
        <w:rPr>
          <w:rFonts w:hint="eastAsia" w:ascii="宋体" w:hAnsi="宋体"/>
          <w:color w:val="auto"/>
          <w:sz w:val="24"/>
          <w:szCs w:val="24"/>
          <w:highlight w:val="none"/>
        </w:rPr>
        <w:t>4未按要求提交投标保证金的投标，将被视为非响应性投标而导致投标无效。</w:t>
      </w:r>
    </w:p>
    <w:p>
      <w:pPr>
        <w:spacing w:line="360" w:lineRule="auto"/>
        <w:ind w:firstLine="549"/>
        <w:rPr>
          <w:rFonts w:ascii="宋体" w:hAnsi="宋体"/>
          <w:color w:val="auto"/>
          <w:sz w:val="24"/>
          <w:szCs w:val="24"/>
          <w:highlight w:val="none"/>
        </w:rPr>
      </w:pPr>
      <w:r>
        <w:rPr>
          <w:rFonts w:hint="eastAsia" w:ascii="宋体" w:hAnsi="宋体"/>
          <w:color w:val="auto"/>
          <w:sz w:val="24"/>
          <w:szCs w:val="24"/>
          <w:highlight w:val="none"/>
        </w:rPr>
        <w:t>5 招标人最迟应当在书面合同签订后5日内向中标人和未中标的投标人退还投标保证金（不计息）。投标保证金只退还至投标人账户。</w:t>
      </w:r>
    </w:p>
    <w:p>
      <w:pPr>
        <w:spacing w:line="360" w:lineRule="auto"/>
        <w:ind w:firstLine="549"/>
        <w:rPr>
          <w:rFonts w:ascii="宋体" w:hAnsi="宋体"/>
          <w:color w:val="auto"/>
          <w:sz w:val="24"/>
          <w:szCs w:val="24"/>
          <w:highlight w:val="none"/>
        </w:rPr>
      </w:pPr>
      <w:r>
        <w:rPr>
          <w:rFonts w:hint="eastAsia" w:ascii="宋体" w:hAnsi="宋体"/>
          <w:color w:val="auto"/>
          <w:sz w:val="24"/>
          <w:szCs w:val="24"/>
          <w:highlight w:val="none"/>
        </w:rPr>
        <w:t>6有下列情形之一的，招标人不予退还投标保证金：</w:t>
      </w:r>
    </w:p>
    <w:p>
      <w:pPr>
        <w:spacing w:line="360" w:lineRule="auto"/>
        <w:ind w:firstLine="549"/>
        <w:rPr>
          <w:rFonts w:ascii="宋体" w:hAnsi="宋体"/>
          <w:color w:val="auto"/>
          <w:sz w:val="24"/>
          <w:szCs w:val="24"/>
          <w:highlight w:val="none"/>
        </w:rPr>
      </w:pPr>
      <w:r>
        <w:rPr>
          <w:rFonts w:hint="eastAsia" w:ascii="宋体" w:hAnsi="宋体"/>
          <w:color w:val="auto"/>
          <w:sz w:val="24"/>
          <w:szCs w:val="24"/>
          <w:highlight w:val="none"/>
        </w:rPr>
        <w:t>6.1投标人在规定的投标有效期内撤回或修改其投标；</w:t>
      </w:r>
    </w:p>
    <w:p>
      <w:pPr>
        <w:spacing w:line="360" w:lineRule="auto"/>
        <w:ind w:firstLine="549"/>
        <w:rPr>
          <w:rFonts w:ascii="宋体" w:hAnsi="宋体"/>
          <w:color w:val="auto"/>
          <w:sz w:val="24"/>
          <w:szCs w:val="24"/>
          <w:highlight w:val="none"/>
        </w:rPr>
      </w:pPr>
      <w:r>
        <w:rPr>
          <w:rFonts w:hint="eastAsia" w:ascii="宋体" w:hAnsi="宋体"/>
          <w:color w:val="auto"/>
          <w:sz w:val="24"/>
          <w:szCs w:val="24"/>
          <w:highlight w:val="none"/>
        </w:rPr>
        <w:t>6.2中标候选人无正当理由放弃中标项目资格的；或中标人无正当理由不与招标人签订合同的；或中标人在签订合同时向招标人提出附加条件或者更改合同实质性内容的；或中标人不提交招标文件所要求的履约保证金的。</w:t>
      </w:r>
    </w:p>
    <w:p>
      <w:pPr>
        <w:widowControl/>
        <w:spacing w:line="360" w:lineRule="auto"/>
        <w:ind w:firstLine="465"/>
        <w:jc w:val="left"/>
        <w:rPr>
          <w:rFonts w:ascii="宋体" w:hAnsi="宋体" w:cs="宋体"/>
          <w:color w:val="auto"/>
          <w:kern w:val="0"/>
          <w:sz w:val="24"/>
          <w:highlight w:val="none"/>
        </w:rPr>
      </w:pPr>
      <w:r>
        <w:rPr>
          <w:rFonts w:hint="eastAsia" w:ascii="宋体" w:hAnsi="宋体"/>
          <w:color w:val="auto"/>
          <w:sz w:val="24"/>
          <w:szCs w:val="24"/>
          <w:highlight w:val="none"/>
        </w:rPr>
        <w:t>7由于投标人行为导致招标人或文旅博览集团损失的，相应损失由投标人承担，从投标保证金中扣除。投标保证金扣除后仍不足以弥补损失的，投标人应当对超过部分予以赔偿。</w:t>
      </w:r>
    </w:p>
    <w:p>
      <w:pPr>
        <w:pStyle w:val="4"/>
        <w:spacing w:line="360" w:lineRule="auto"/>
        <w:ind w:firstLine="628"/>
        <w:rPr>
          <w:rFonts w:hAnsi="宋体"/>
          <w:color w:val="auto"/>
          <w:sz w:val="28"/>
          <w:highlight w:val="none"/>
        </w:rPr>
      </w:pPr>
      <w:bookmarkStart w:id="30" w:name="_Toc28436"/>
      <w:bookmarkStart w:id="31" w:name="_Toc459990139"/>
      <w:r>
        <w:rPr>
          <w:rFonts w:hint="eastAsia" w:hAnsi="宋体"/>
          <w:color w:val="auto"/>
          <w:sz w:val="28"/>
          <w:highlight w:val="none"/>
        </w:rPr>
        <w:t>三．投标文件的递交</w:t>
      </w:r>
      <w:bookmarkEnd w:id="30"/>
      <w:bookmarkEnd w:id="31"/>
      <w:bookmarkStart w:id="32" w:name="_Hlt509649414"/>
      <w:bookmarkEnd w:id="32"/>
    </w:p>
    <w:bookmarkEnd w:id="23"/>
    <w:bookmarkEnd w:id="24"/>
    <w:p>
      <w:pPr>
        <w:widowControl/>
        <w:spacing w:line="360" w:lineRule="auto"/>
        <w:rPr>
          <w:rFonts w:ascii="宋体" w:hAnsi="宋体" w:cs="宋体"/>
          <w:b/>
          <w:color w:val="auto"/>
          <w:kern w:val="0"/>
          <w:sz w:val="24"/>
          <w:highlight w:val="none"/>
        </w:rPr>
      </w:pPr>
      <w:bookmarkStart w:id="33" w:name="_Toc459990140"/>
      <w:bookmarkStart w:id="34" w:name="_Toc459990141"/>
      <w:bookmarkStart w:id="35" w:name="_Toc516969091"/>
      <w:r>
        <w:rPr>
          <w:rFonts w:hint="eastAsia" w:ascii="宋体" w:hAnsi="宋体" w:cs="宋体"/>
          <w:b/>
          <w:color w:val="auto"/>
          <w:kern w:val="0"/>
          <w:sz w:val="24"/>
          <w:highlight w:val="none"/>
        </w:rPr>
        <w:t xml:space="preserve">    1、投标文件的密封和标记</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1.1投标文件应装订成册、密封，并在封面注明招标编号、投标项目等，同时在密封处加盖骑缝章；</w:t>
      </w:r>
    </w:p>
    <w:p>
      <w:pPr>
        <w:widowControl/>
        <w:spacing w:line="360" w:lineRule="auto"/>
        <w:jc w:val="left"/>
        <w:rPr>
          <w:rFonts w:ascii="宋体" w:hAnsi="宋体" w:cs="宋体"/>
          <w:bCs/>
          <w:color w:val="auto"/>
          <w:kern w:val="0"/>
          <w:sz w:val="24"/>
          <w:highlight w:val="none"/>
        </w:rPr>
      </w:pPr>
      <w:r>
        <w:rPr>
          <w:rFonts w:hint="eastAsia" w:ascii="宋体" w:hAnsi="宋体" w:cs="宋体"/>
          <w:color w:val="auto"/>
          <w:kern w:val="0"/>
          <w:sz w:val="24"/>
          <w:highlight w:val="none"/>
        </w:rPr>
        <w:t xml:space="preserve">    1.2投标文件要求：</w:t>
      </w:r>
      <w:r>
        <w:rPr>
          <w:rFonts w:hint="eastAsia" w:ascii="宋体" w:hAnsi="宋体" w:cs="宋体"/>
          <w:bCs/>
          <w:color w:val="auto"/>
          <w:kern w:val="0"/>
          <w:sz w:val="24"/>
          <w:highlight w:val="none"/>
        </w:rPr>
        <w:t>正、副本各一份。</w:t>
      </w:r>
    </w:p>
    <w:p>
      <w:pPr>
        <w:spacing w:line="360" w:lineRule="auto"/>
        <w:rPr>
          <w:rFonts w:ascii="宋体" w:hAnsi="宋体"/>
          <w:b/>
          <w:bCs/>
          <w:color w:val="auto"/>
          <w:kern w:val="0"/>
          <w:sz w:val="24"/>
          <w:highlight w:val="none"/>
        </w:rPr>
      </w:pPr>
      <w:r>
        <w:rPr>
          <w:rFonts w:hint="eastAsia" w:ascii="宋体" w:hAnsi="宋体"/>
          <w:b/>
          <w:bCs/>
          <w:color w:val="auto"/>
          <w:kern w:val="0"/>
          <w:sz w:val="24"/>
          <w:highlight w:val="none"/>
        </w:rPr>
        <w:t xml:space="preserve">    2、投标文件的递交、修改和撤回</w:t>
      </w:r>
    </w:p>
    <w:p>
      <w:pPr>
        <w:spacing w:line="360" w:lineRule="auto"/>
        <w:rPr>
          <w:rFonts w:ascii="宋体" w:hAnsi="宋体"/>
          <w:color w:val="auto"/>
          <w:kern w:val="0"/>
          <w:sz w:val="24"/>
          <w:highlight w:val="none"/>
        </w:rPr>
      </w:pPr>
      <w:r>
        <w:rPr>
          <w:rFonts w:hint="eastAsia" w:ascii="宋体" w:hAnsi="宋体" w:cs="宋体"/>
          <w:color w:val="auto"/>
          <w:kern w:val="0"/>
          <w:sz w:val="24"/>
          <w:highlight w:val="none"/>
        </w:rPr>
        <w:t xml:space="preserve">    2.1</w:t>
      </w:r>
      <w:r>
        <w:rPr>
          <w:rFonts w:hint="eastAsia" w:ascii="宋体" w:hAnsi="宋体"/>
          <w:color w:val="auto"/>
          <w:kern w:val="0"/>
          <w:sz w:val="24"/>
          <w:highlight w:val="none"/>
        </w:rPr>
        <w:t>投标人应在投标截止时间前将密封合格的投标文件送达开标现场；</w:t>
      </w:r>
    </w:p>
    <w:p>
      <w:pPr>
        <w:spacing w:line="360" w:lineRule="auto"/>
        <w:rPr>
          <w:rFonts w:ascii="宋体" w:hAnsi="宋体"/>
          <w:color w:val="auto"/>
          <w:kern w:val="0"/>
          <w:sz w:val="24"/>
          <w:highlight w:val="none"/>
        </w:rPr>
      </w:pPr>
      <w:r>
        <w:rPr>
          <w:rFonts w:hint="eastAsia" w:ascii="宋体" w:hAnsi="宋体" w:cs="宋体"/>
          <w:color w:val="auto"/>
          <w:kern w:val="0"/>
          <w:sz w:val="24"/>
          <w:highlight w:val="none"/>
        </w:rPr>
        <w:t xml:space="preserve">    2.2</w:t>
      </w:r>
      <w:r>
        <w:rPr>
          <w:rFonts w:hint="eastAsia" w:ascii="宋体" w:hAnsi="宋体"/>
          <w:color w:val="auto"/>
          <w:kern w:val="0"/>
          <w:sz w:val="24"/>
          <w:highlight w:val="none"/>
        </w:rPr>
        <w:t>投标人递交投标文件后，可修改或撤回投标文件，但必须在投标截止时间前书面通知招标人；投标截止后不得修改或撤回投标文件。</w:t>
      </w:r>
    </w:p>
    <w:p>
      <w:pPr>
        <w:pStyle w:val="4"/>
        <w:spacing w:line="360" w:lineRule="auto"/>
        <w:rPr>
          <w:rFonts w:hAnsi="宋体"/>
          <w:color w:val="auto"/>
          <w:sz w:val="28"/>
          <w:highlight w:val="none"/>
        </w:rPr>
      </w:pPr>
      <w:bookmarkStart w:id="36" w:name="_Toc6201"/>
      <w:r>
        <w:rPr>
          <w:rFonts w:hint="eastAsia" w:hAnsi="宋体"/>
          <w:color w:val="auto"/>
          <w:sz w:val="28"/>
          <w:highlight w:val="none"/>
        </w:rPr>
        <w:t>四．</w:t>
      </w:r>
      <w:bookmarkEnd w:id="33"/>
      <w:r>
        <w:rPr>
          <w:rFonts w:hint="eastAsia" w:hAnsi="宋体"/>
          <w:color w:val="auto"/>
          <w:sz w:val="28"/>
          <w:highlight w:val="none"/>
        </w:rPr>
        <w:t>开标、评标及定标</w:t>
      </w:r>
      <w:bookmarkEnd w:id="36"/>
    </w:p>
    <w:p>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 xml:space="preserve"> 1.开标</w:t>
      </w:r>
    </w:p>
    <w:p>
      <w:pPr>
        <w:spacing w:line="360" w:lineRule="auto"/>
        <w:ind w:firstLine="550"/>
        <w:rPr>
          <w:rFonts w:ascii="宋体" w:hAnsi="宋体"/>
          <w:color w:val="auto"/>
          <w:sz w:val="24"/>
          <w:szCs w:val="24"/>
          <w:highlight w:val="none"/>
        </w:rPr>
      </w:pPr>
      <w:r>
        <w:rPr>
          <w:rFonts w:hint="eastAsia" w:ascii="宋体" w:hAnsi="宋体" w:cs="宋体"/>
          <w:color w:val="auto"/>
          <w:kern w:val="0"/>
          <w:sz w:val="24"/>
          <w:highlight w:val="none"/>
        </w:rPr>
        <w:t>1.1</w:t>
      </w:r>
      <w:r>
        <w:rPr>
          <w:rFonts w:hint="eastAsia" w:ascii="宋体" w:hAnsi="宋体"/>
          <w:color w:val="auto"/>
          <w:sz w:val="24"/>
          <w:szCs w:val="24"/>
          <w:highlight w:val="none"/>
        </w:rPr>
        <w:t>文旅博览集团将在招标公告（如有变更，以变更公告为准）规定的时间和地点组织公开开标。</w:t>
      </w:r>
    </w:p>
    <w:p>
      <w:pPr>
        <w:widowControl/>
        <w:spacing w:line="360" w:lineRule="auto"/>
        <w:ind w:firstLine="600" w:firstLineChars="250"/>
        <w:jc w:val="left"/>
        <w:rPr>
          <w:rFonts w:ascii="宋体" w:hAnsi="宋体" w:cs="宋体"/>
          <w:color w:val="auto"/>
          <w:kern w:val="0"/>
          <w:sz w:val="24"/>
          <w:highlight w:val="none"/>
        </w:rPr>
      </w:pPr>
      <w:r>
        <w:rPr>
          <w:rFonts w:hint="eastAsia" w:ascii="宋体" w:hAnsi="宋体"/>
          <w:color w:val="auto"/>
          <w:sz w:val="24"/>
          <w:szCs w:val="24"/>
          <w:highlight w:val="none"/>
        </w:rPr>
        <w:t>1.</w:t>
      </w:r>
      <w:r>
        <w:rPr>
          <w:rFonts w:hint="eastAsia" w:ascii="宋体" w:hAnsi="宋体" w:cs="宋体"/>
          <w:color w:val="auto"/>
          <w:kern w:val="0"/>
          <w:sz w:val="24"/>
          <w:highlight w:val="none"/>
        </w:rPr>
        <w:t>2</w:t>
      </w:r>
      <w:r>
        <w:rPr>
          <w:rFonts w:hint="eastAsia" w:ascii="宋体" w:hAnsi="宋体"/>
          <w:color w:val="auto"/>
          <w:kern w:val="0"/>
          <w:sz w:val="24"/>
          <w:highlight w:val="none"/>
        </w:rPr>
        <w:t>投标人一名授权代表参加商务标的开标</w:t>
      </w:r>
      <w:r>
        <w:rPr>
          <w:rFonts w:hint="eastAsia" w:ascii="宋体" w:hAnsi="宋体" w:cs="宋体"/>
          <w:color w:val="auto"/>
          <w:kern w:val="0"/>
          <w:sz w:val="24"/>
          <w:highlight w:val="none"/>
        </w:rPr>
        <w:t>。（授权代表须出示身份证原件）</w:t>
      </w:r>
    </w:p>
    <w:p>
      <w:pPr>
        <w:widowControl/>
        <w:spacing w:line="360" w:lineRule="auto"/>
        <w:ind w:firstLine="600" w:firstLineChars="250"/>
        <w:jc w:val="left"/>
        <w:rPr>
          <w:rFonts w:ascii="宋体" w:hAnsi="宋体"/>
          <w:color w:val="auto"/>
          <w:sz w:val="24"/>
          <w:highlight w:val="none"/>
        </w:rPr>
      </w:pPr>
      <w:r>
        <w:rPr>
          <w:rFonts w:hint="eastAsia" w:ascii="宋体" w:hAnsi="宋体"/>
          <w:color w:val="auto"/>
          <w:sz w:val="24"/>
          <w:szCs w:val="24"/>
          <w:highlight w:val="none"/>
        </w:rPr>
        <w:t>1.3</w:t>
      </w:r>
      <w:r>
        <w:rPr>
          <w:rFonts w:hint="eastAsia" w:ascii="宋体" w:hAnsi="宋体"/>
          <w:bCs/>
          <w:color w:val="auto"/>
          <w:sz w:val="24"/>
          <w:szCs w:val="24"/>
          <w:highlight w:val="none"/>
        </w:rPr>
        <w:t>开标时</w:t>
      </w:r>
      <w:r>
        <w:rPr>
          <w:rFonts w:hint="eastAsia" w:ascii="宋体" w:hAnsi="宋体"/>
          <w:color w:val="auto"/>
          <w:sz w:val="24"/>
          <w:highlight w:val="none"/>
        </w:rPr>
        <w:t>，</w:t>
      </w:r>
      <w:r>
        <w:rPr>
          <w:rFonts w:hint="eastAsia" w:ascii="宋体" w:hAnsi="宋体"/>
          <w:bCs/>
          <w:color w:val="auto"/>
          <w:sz w:val="24"/>
          <w:szCs w:val="24"/>
          <w:highlight w:val="none"/>
        </w:rPr>
        <w:t>文旅博览集团</w:t>
      </w:r>
      <w:r>
        <w:rPr>
          <w:rFonts w:hint="eastAsia" w:ascii="宋体" w:hAnsi="宋体"/>
          <w:color w:val="auto"/>
          <w:sz w:val="24"/>
          <w:highlight w:val="none"/>
        </w:rPr>
        <w:t>查验投标文件的密封状况，确认无误后拆封唱标。</w:t>
      </w:r>
      <w:r>
        <w:rPr>
          <w:rFonts w:hint="eastAsia" w:ascii="宋体" w:hAnsi="宋体"/>
          <w:bCs/>
          <w:color w:val="auto"/>
          <w:sz w:val="24"/>
          <w:szCs w:val="24"/>
          <w:highlight w:val="none"/>
        </w:rPr>
        <w:t>文旅博览集团将当众宣读</w:t>
      </w:r>
      <w:r>
        <w:rPr>
          <w:rFonts w:hint="eastAsia" w:ascii="宋体" w:hAnsi="宋体"/>
          <w:color w:val="auto"/>
          <w:sz w:val="24"/>
          <w:szCs w:val="24"/>
          <w:highlight w:val="none"/>
        </w:rPr>
        <w:t>投标人名称、投标价格以及文旅博览集团认为合适的其它详细内容。</w:t>
      </w:r>
    </w:p>
    <w:p>
      <w:pPr>
        <w:spacing w:line="360" w:lineRule="auto"/>
        <w:ind w:firstLine="549"/>
        <w:rPr>
          <w:rFonts w:ascii="宋体" w:hAnsi="宋体"/>
          <w:b/>
          <w:color w:val="auto"/>
          <w:sz w:val="24"/>
          <w:szCs w:val="24"/>
          <w:highlight w:val="none"/>
        </w:rPr>
      </w:pPr>
      <w:r>
        <w:rPr>
          <w:rFonts w:hint="eastAsia" w:ascii="宋体" w:hAnsi="宋体"/>
          <w:b/>
          <w:color w:val="auto"/>
          <w:sz w:val="24"/>
          <w:highlight w:val="none"/>
        </w:rPr>
        <w:t>2</w:t>
      </w:r>
      <w:r>
        <w:rPr>
          <w:rFonts w:hint="eastAsia" w:ascii="宋体" w:hAnsi="宋体"/>
          <w:b/>
          <w:color w:val="auto"/>
          <w:sz w:val="24"/>
          <w:szCs w:val="24"/>
          <w:highlight w:val="none"/>
        </w:rPr>
        <w:t>.投标文件的澄清、说明或补正</w:t>
      </w:r>
    </w:p>
    <w:p>
      <w:pPr>
        <w:spacing w:line="360" w:lineRule="auto"/>
        <w:ind w:firstLine="549"/>
        <w:rPr>
          <w:rFonts w:ascii="宋体" w:hAnsi="宋体"/>
          <w:bCs/>
          <w:color w:val="auto"/>
          <w:sz w:val="24"/>
          <w:szCs w:val="24"/>
          <w:highlight w:val="none"/>
        </w:rPr>
      </w:pPr>
      <w:r>
        <w:rPr>
          <w:rFonts w:hint="eastAsia" w:ascii="宋体" w:hAnsi="宋体"/>
          <w:bCs/>
          <w:color w:val="auto"/>
          <w:sz w:val="24"/>
          <w:szCs w:val="24"/>
          <w:highlight w:val="none"/>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pPr>
        <w:spacing w:line="360" w:lineRule="auto"/>
        <w:ind w:firstLine="549"/>
        <w:rPr>
          <w:rFonts w:ascii="宋体" w:hAnsi="宋体"/>
          <w:color w:val="auto"/>
          <w:sz w:val="24"/>
          <w:szCs w:val="24"/>
          <w:highlight w:val="none"/>
        </w:rPr>
      </w:pPr>
      <w:r>
        <w:rPr>
          <w:rFonts w:hint="eastAsia" w:ascii="宋体" w:hAnsi="宋体"/>
          <w:bCs/>
          <w:color w:val="auto"/>
          <w:sz w:val="24"/>
          <w:szCs w:val="24"/>
          <w:highlight w:val="none"/>
        </w:rPr>
        <w:t>2</w:t>
      </w:r>
      <w:r>
        <w:rPr>
          <w:rFonts w:hint="eastAsia" w:ascii="宋体" w:hAnsi="宋体"/>
          <w:color w:val="auto"/>
          <w:sz w:val="24"/>
          <w:szCs w:val="24"/>
          <w:highlight w:val="none"/>
        </w:rPr>
        <w:t>.2投标文件中大写金额和小写金额不一致的，以大写金额为准；总价金额与按单价汇总金额不一致的，以单价金额计算结果为准；单价金额小数点有明显错位的，应以总价为准，并修改单价。</w:t>
      </w:r>
    </w:p>
    <w:p>
      <w:pPr>
        <w:spacing w:line="360" w:lineRule="auto"/>
        <w:ind w:firstLine="549"/>
        <w:rPr>
          <w:rFonts w:ascii="宋体" w:hAnsi="宋体"/>
          <w:color w:val="auto"/>
          <w:sz w:val="24"/>
          <w:szCs w:val="24"/>
          <w:highlight w:val="none"/>
        </w:rPr>
      </w:pPr>
      <w:r>
        <w:rPr>
          <w:rFonts w:hint="eastAsia" w:ascii="宋体" w:hAnsi="宋体"/>
          <w:bCs/>
          <w:color w:val="auto"/>
          <w:sz w:val="24"/>
          <w:szCs w:val="24"/>
          <w:highlight w:val="none"/>
        </w:rPr>
        <w:t>2</w:t>
      </w:r>
      <w:r>
        <w:rPr>
          <w:rFonts w:hint="eastAsia" w:ascii="宋体" w:hAnsi="宋体"/>
          <w:color w:val="auto"/>
          <w:sz w:val="24"/>
          <w:szCs w:val="24"/>
          <w:highlight w:val="none"/>
        </w:rPr>
        <w:t>.3开标一览表内容与投标文件中明细表内容不一致的，以开标一览表为准。</w:t>
      </w:r>
      <w:r>
        <w:rPr>
          <w:rFonts w:hint="eastAsia" w:ascii="宋体" w:hAnsi="宋体"/>
          <w:bCs/>
          <w:color w:val="auto"/>
          <w:sz w:val="24"/>
          <w:szCs w:val="24"/>
          <w:highlight w:val="none"/>
        </w:rPr>
        <w:t>开标一览表内容与唱标信息内容不一致的，以开标一览表为准。</w:t>
      </w:r>
    </w:p>
    <w:p>
      <w:pPr>
        <w:spacing w:line="360" w:lineRule="auto"/>
        <w:ind w:firstLine="549"/>
        <w:rPr>
          <w:rFonts w:ascii="宋体" w:hAnsi="宋体"/>
          <w:color w:val="auto"/>
          <w:sz w:val="24"/>
          <w:szCs w:val="24"/>
          <w:highlight w:val="none"/>
        </w:rPr>
      </w:pPr>
      <w:r>
        <w:rPr>
          <w:rFonts w:hint="eastAsia" w:ascii="宋体" w:hAnsi="宋体"/>
          <w:bCs/>
          <w:color w:val="auto"/>
          <w:sz w:val="24"/>
          <w:szCs w:val="24"/>
          <w:highlight w:val="none"/>
        </w:rPr>
        <w:t>2</w:t>
      </w:r>
      <w:r>
        <w:rPr>
          <w:rFonts w:hint="eastAsia" w:ascii="宋体" w:hAnsi="宋体"/>
          <w:color w:val="auto"/>
          <w:sz w:val="24"/>
          <w:szCs w:val="24"/>
          <w:highlight w:val="none"/>
        </w:rPr>
        <w:t>.4 开标一览表中投标总价与投标文件中各分项报价汇总金额不一致的，按以下方式处理：</w:t>
      </w:r>
    </w:p>
    <w:p>
      <w:pPr>
        <w:spacing w:line="360" w:lineRule="auto"/>
        <w:ind w:firstLine="549"/>
        <w:rPr>
          <w:rFonts w:ascii="宋体" w:hAnsi="宋体"/>
          <w:color w:val="auto"/>
          <w:sz w:val="24"/>
          <w:szCs w:val="24"/>
          <w:highlight w:val="none"/>
        </w:rPr>
      </w:pPr>
      <w:r>
        <w:rPr>
          <w:rFonts w:hint="eastAsia" w:ascii="宋体" w:hAnsi="宋体"/>
          <w:bCs/>
          <w:color w:val="auto"/>
          <w:sz w:val="24"/>
          <w:szCs w:val="24"/>
          <w:highlight w:val="none"/>
        </w:rPr>
        <w:t>2</w:t>
      </w:r>
      <w:r>
        <w:rPr>
          <w:rFonts w:hint="eastAsia" w:ascii="宋体" w:hAnsi="宋体"/>
          <w:color w:val="auto"/>
          <w:sz w:val="24"/>
          <w:szCs w:val="24"/>
          <w:highlight w:val="none"/>
        </w:rPr>
        <w:t>.4.1 项目以投标总价结算的，以开标一览表中投标总价为准。</w:t>
      </w:r>
    </w:p>
    <w:p>
      <w:pPr>
        <w:spacing w:line="360" w:lineRule="auto"/>
        <w:ind w:firstLine="549"/>
        <w:rPr>
          <w:rFonts w:ascii="宋体" w:hAnsi="宋体"/>
          <w:b/>
          <w:color w:val="auto"/>
          <w:sz w:val="24"/>
          <w:szCs w:val="24"/>
          <w:highlight w:val="none"/>
        </w:rPr>
      </w:pPr>
      <w:r>
        <w:rPr>
          <w:rFonts w:hint="eastAsia" w:ascii="宋体" w:hAnsi="宋体"/>
          <w:color w:val="auto"/>
          <w:sz w:val="24"/>
          <w:highlight w:val="none"/>
        </w:rPr>
        <w:t>3.</w:t>
      </w:r>
      <w:r>
        <w:rPr>
          <w:rFonts w:hint="eastAsia" w:ascii="宋体" w:hAnsi="宋体"/>
          <w:b/>
          <w:color w:val="auto"/>
          <w:sz w:val="24"/>
          <w:szCs w:val="24"/>
          <w:highlight w:val="none"/>
        </w:rPr>
        <w:t>评标</w:t>
      </w:r>
    </w:p>
    <w:p>
      <w:pPr>
        <w:widowControl/>
        <w:spacing w:line="360" w:lineRule="auto"/>
        <w:ind w:firstLine="482" w:firstLineChars="200"/>
        <w:jc w:val="left"/>
        <w:rPr>
          <w:rFonts w:ascii="宋体" w:hAnsi="宋体" w:cs="宋体"/>
          <w:color w:val="auto"/>
          <w:kern w:val="0"/>
          <w:sz w:val="24"/>
          <w:highlight w:val="none"/>
        </w:rPr>
      </w:pPr>
      <w:r>
        <w:rPr>
          <w:rFonts w:hint="eastAsia" w:ascii="宋体" w:hAnsi="宋体" w:cs="宋体"/>
          <w:b/>
          <w:color w:val="auto"/>
          <w:kern w:val="0"/>
          <w:sz w:val="24"/>
          <w:highlight w:val="none"/>
        </w:rPr>
        <w:t>3.1评标原则：</w:t>
      </w:r>
      <w:r>
        <w:rPr>
          <w:rFonts w:hint="eastAsia" w:ascii="宋体" w:hAnsi="宋体" w:cs="宋体"/>
          <w:color w:val="auto"/>
          <w:kern w:val="0"/>
          <w:sz w:val="24"/>
          <w:highlight w:val="none"/>
        </w:rPr>
        <w:t>遵循国家有关法律、法规，客观、公正地对待所有投标人，以招标文件作为评标的基本依据；凡涉及审查、评估和比较投标文件以及定标等意见，均不得向投标人及与评标无关的人员透露；</w:t>
      </w:r>
    </w:p>
    <w:p>
      <w:pPr>
        <w:adjustRightInd w:val="0"/>
        <w:snapToGrid w:val="0"/>
        <w:spacing w:line="360" w:lineRule="auto"/>
        <w:ind w:right="-10" w:firstLine="540" w:firstLineChars="224"/>
        <w:rPr>
          <w:rFonts w:ascii="宋体" w:hAnsi="宋体"/>
          <w:bCs/>
          <w:color w:val="auto"/>
          <w:sz w:val="24"/>
          <w:szCs w:val="24"/>
          <w:highlight w:val="none"/>
        </w:rPr>
      </w:pPr>
      <w:r>
        <w:rPr>
          <w:rFonts w:hint="eastAsia" w:ascii="宋体" w:hAnsi="宋体"/>
          <w:b/>
          <w:color w:val="auto"/>
          <w:sz w:val="24"/>
          <w:szCs w:val="24"/>
          <w:highlight w:val="none"/>
        </w:rPr>
        <w:t>3.</w:t>
      </w:r>
      <w:r>
        <w:rPr>
          <w:rFonts w:hint="eastAsia" w:ascii="宋体" w:hAnsi="宋体"/>
          <w:b/>
          <w:color w:val="auto"/>
          <w:sz w:val="24"/>
          <w:highlight w:val="none"/>
        </w:rPr>
        <w:t>2评标方法：</w:t>
      </w:r>
      <w:r>
        <w:rPr>
          <w:rFonts w:hint="eastAsia" w:ascii="宋体" w:hAnsi="宋体"/>
          <w:bCs/>
          <w:color w:val="auto"/>
          <w:sz w:val="24"/>
          <w:szCs w:val="24"/>
          <w:highlight w:val="none"/>
        </w:rPr>
        <w:t>本次项目评标采用综合评分法作为对投标人标书的比较方法</w:t>
      </w:r>
      <w:r>
        <w:rPr>
          <w:rFonts w:hint="eastAsia" w:ascii="宋体" w:hAnsi="宋体"/>
          <w:color w:val="auto"/>
          <w:sz w:val="24"/>
          <w:highlight w:val="none"/>
        </w:rPr>
        <w:t>。</w:t>
      </w:r>
    </w:p>
    <w:p>
      <w:pPr>
        <w:spacing w:line="360" w:lineRule="auto"/>
        <w:ind w:firstLine="600" w:firstLineChars="250"/>
        <w:rPr>
          <w:rFonts w:ascii="宋体" w:hAnsi="宋体"/>
          <w:color w:val="auto"/>
          <w:sz w:val="24"/>
          <w:highlight w:val="none"/>
        </w:rPr>
      </w:pPr>
      <w:r>
        <w:rPr>
          <w:rFonts w:hint="eastAsia" w:ascii="宋体" w:hAnsi="宋体"/>
          <w:color w:val="auto"/>
          <w:sz w:val="24"/>
          <w:highlight w:val="none"/>
        </w:rPr>
        <w:t>3.3如符合专业条件的投标人或对招标文件作实质响应的投标人只有两家，评委会将视情况现场决定是否改为竞争性谈判。谈判并不限定只进行二轮报价，如果谈判小组认为有必要，可以要求投标人进行多轮报价。在谈判内容不做实质性变更及重大调整的前提下，投标人下轮报价不得高于上一轮报价。</w:t>
      </w:r>
    </w:p>
    <w:p>
      <w:pPr>
        <w:spacing w:line="360" w:lineRule="auto"/>
        <w:ind w:firstLine="640" w:firstLineChars="267"/>
        <w:rPr>
          <w:rFonts w:ascii="宋体" w:hAnsi="宋体"/>
          <w:color w:val="auto"/>
          <w:sz w:val="24"/>
          <w:szCs w:val="24"/>
          <w:highlight w:val="none"/>
        </w:rPr>
      </w:pPr>
      <w:r>
        <w:rPr>
          <w:rFonts w:hint="eastAsia" w:ascii="宋体" w:hAnsi="宋体"/>
          <w:color w:val="auto"/>
          <w:sz w:val="24"/>
          <w:szCs w:val="24"/>
          <w:highlight w:val="none"/>
        </w:rPr>
        <w:t>3.4 评标委员会将按照招标文件规定的评标办法对投标人独立进行评审。</w:t>
      </w:r>
    </w:p>
    <w:p>
      <w:pPr>
        <w:spacing w:line="360" w:lineRule="auto"/>
        <w:ind w:firstLine="549"/>
        <w:rPr>
          <w:rFonts w:ascii="宋体" w:hAnsi="宋体" w:cs="Tahoma"/>
          <w:color w:val="auto"/>
          <w:sz w:val="24"/>
          <w:szCs w:val="24"/>
          <w:highlight w:val="none"/>
        </w:rPr>
      </w:pPr>
      <w:r>
        <w:rPr>
          <w:rFonts w:hint="eastAsia" w:ascii="宋体" w:hAnsi="宋体"/>
          <w:color w:val="auto"/>
          <w:sz w:val="24"/>
          <w:szCs w:val="24"/>
          <w:highlight w:val="none"/>
        </w:rPr>
        <w:t>3.5</w:t>
      </w:r>
      <w:r>
        <w:rPr>
          <w:rFonts w:hint="eastAsia" w:ascii="宋体" w:hAnsi="宋体" w:cs="Tahoma"/>
          <w:color w:val="auto"/>
          <w:sz w:val="24"/>
          <w:szCs w:val="24"/>
          <w:highlight w:val="none"/>
        </w:rPr>
        <w:t>评审过程中，如有询标，投标人授权代表（或法定代表人）应携带本人有效身份证明（包括居民身份证、社保卡、军官证、驾驶证或护照）原件参加询标并签字，因投标人授权代表未到开标现场或联系不上等情形而无法接受评标委员会询标的，有关风险投标人自行承担。</w:t>
      </w:r>
    </w:p>
    <w:p>
      <w:pPr>
        <w:spacing w:line="360" w:lineRule="auto"/>
        <w:ind w:firstLine="549"/>
        <w:rPr>
          <w:rFonts w:ascii="宋体" w:hAnsi="宋体"/>
          <w:color w:val="auto"/>
          <w:sz w:val="24"/>
          <w:szCs w:val="24"/>
          <w:highlight w:val="none"/>
        </w:rPr>
      </w:pPr>
      <w:r>
        <w:rPr>
          <w:rFonts w:hint="eastAsia" w:ascii="宋体" w:hAnsi="宋体"/>
          <w:color w:val="auto"/>
          <w:sz w:val="24"/>
          <w:szCs w:val="24"/>
          <w:highlight w:val="none"/>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pPr>
        <w:spacing w:line="360" w:lineRule="auto"/>
        <w:ind w:firstLine="549"/>
        <w:rPr>
          <w:rFonts w:ascii="宋体" w:hAnsi="宋体"/>
          <w:color w:val="auto"/>
          <w:sz w:val="24"/>
          <w:szCs w:val="24"/>
          <w:highlight w:val="none"/>
        </w:rPr>
      </w:pPr>
      <w:r>
        <w:rPr>
          <w:rFonts w:hint="eastAsia" w:ascii="宋体" w:hAnsi="宋体"/>
          <w:color w:val="auto"/>
          <w:sz w:val="24"/>
          <w:szCs w:val="24"/>
          <w:highlight w:val="none"/>
        </w:rPr>
        <w:t>有下列情形之一的，评标委员会应当否决其投标</w:t>
      </w:r>
      <w:r>
        <w:rPr>
          <w:rFonts w:hint="eastAsia" w:ascii="宋体" w:hAnsi="宋体"/>
          <w:color w:val="auto"/>
          <w:sz w:val="24"/>
          <w:highlight w:val="none"/>
        </w:rPr>
        <w:t>：</w:t>
      </w:r>
    </w:p>
    <w:p>
      <w:pPr>
        <w:spacing w:line="360" w:lineRule="auto"/>
        <w:ind w:firstLine="549"/>
        <w:rPr>
          <w:rFonts w:ascii="宋体" w:hAnsi="宋体"/>
          <w:color w:val="auto"/>
          <w:sz w:val="24"/>
          <w:szCs w:val="24"/>
          <w:highlight w:val="none"/>
        </w:rPr>
      </w:pPr>
      <w:r>
        <w:rPr>
          <w:rFonts w:hint="eastAsia" w:ascii="宋体" w:hAnsi="宋体"/>
          <w:color w:val="auto"/>
          <w:sz w:val="24"/>
          <w:szCs w:val="24"/>
          <w:highlight w:val="none"/>
        </w:rPr>
        <w:t>3.6.1投标文件未经投标单位盖章和单位负责人签字；</w:t>
      </w:r>
    </w:p>
    <w:p>
      <w:pPr>
        <w:spacing w:line="360" w:lineRule="auto"/>
        <w:ind w:firstLine="549"/>
        <w:rPr>
          <w:rFonts w:ascii="宋体" w:hAnsi="宋体"/>
          <w:color w:val="auto"/>
          <w:sz w:val="24"/>
          <w:szCs w:val="24"/>
          <w:highlight w:val="none"/>
        </w:rPr>
      </w:pPr>
      <w:r>
        <w:rPr>
          <w:rFonts w:hint="eastAsia" w:ascii="宋体" w:hAnsi="宋体"/>
          <w:color w:val="auto"/>
          <w:sz w:val="24"/>
          <w:szCs w:val="24"/>
          <w:highlight w:val="none"/>
        </w:rPr>
        <w:t>3.6.2投标联合体没有提交共同投标协议；</w:t>
      </w:r>
    </w:p>
    <w:p>
      <w:pPr>
        <w:spacing w:line="360" w:lineRule="auto"/>
        <w:ind w:firstLine="549"/>
        <w:rPr>
          <w:rFonts w:ascii="宋体" w:hAnsi="宋体"/>
          <w:color w:val="auto"/>
          <w:sz w:val="24"/>
          <w:szCs w:val="24"/>
          <w:highlight w:val="none"/>
        </w:rPr>
      </w:pPr>
      <w:r>
        <w:rPr>
          <w:rFonts w:hint="eastAsia" w:ascii="宋体" w:hAnsi="宋体"/>
          <w:color w:val="auto"/>
          <w:sz w:val="24"/>
          <w:szCs w:val="24"/>
          <w:highlight w:val="none"/>
        </w:rPr>
        <w:t>3.6.3投标人不符合国家或者招标文件规定的资格条件；</w:t>
      </w:r>
    </w:p>
    <w:p>
      <w:pPr>
        <w:spacing w:line="360" w:lineRule="auto"/>
        <w:ind w:firstLine="549"/>
        <w:rPr>
          <w:rFonts w:ascii="宋体" w:hAnsi="宋体"/>
          <w:color w:val="auto"/>
          <w:sz w:val="24"/>
          <w:szCs w:val="24"/>
          <w:highlight w:val="none"/>
        </w:rPr>
      </w:pPr>
      <w:r>
        <w:rPr>
          <w:rFonts w:hint="eastAsia" w:ascii="宋体" w:hAnsi="宋体"/>
          <w:color w:val="auto"/>
          <w:sz w:val="24"/>
          <w:szCs w:val="24"/>
          <w:highlight w:val="none"/>
        </w:rPr>
        <w:t>3.6.4同一投标人提交两个以上不同的投标文件或者投标报价，但招标文件要求提交备选投标的除外；</w:t>
      </w:r>
    </w:p>
    <w:p>
      <w:pPr>
        <w:spacing w:line="360" w:lineRule="auto"/>
        <w:ind w:firstLine="549"/>
        <w:rPr>
          <w:rFonts w:ascii="宋体" w:hAnsi="宋体"/>
          <w:color w:val="auto"/>
          <w:sz w:val="24"/>
          <w:szCs w:val="24"/>
          <w:highlight w:val="none"/>
        </w:rPr>
      </w:pPr>
      <w:r>
        <w:rPr>
          <w:rFonts w:hint="eastAsia" w:ascii="宋体" w:hAnsi="宋体"/>
          <w:color w:val="auto"/>
          <w:sz w:val="24"/>
          <w:szCs w:val="24"/>
          <w:highlight w:val="none"/>
        </w:rPr>
        <w:t>3.6.5投标报价低于成本或者高于招标文件设定的最高投标限价；</w:t>
      </w:r>
    </w:p>
    <w:p>
      <w:pPr>
        <w:spacing w:line="360" w:lineRule="auto"/>
        <w:ind w:firstLine="549"/>
        <w:rPr>
          <w:rFonts w:ascii="宋体" w:hAnsi="宋体"/>
          <w:color w:val="auto"/>
          <w:sz w:val="24"/>
          <w:szCs w:val="24"/>
          <w:highlight w:val="none"/>
        </w:rPr>
      </w:pPr>
      <w:r>
        <w:rPr>
          <w:rFonts w:hint="eastAsia" w:ascii="宋体" w:hAnsi="宋体"/>
          <w:color w:val="auto"/>
          <w:sz w:val="24"/>
          <w:szCs w:val="24"/>
          <w:highlight w:val="none"/>
        </w:rPr>
        <w:t>3.6.6投标文件没有对招标文件的实质性要求和条件作出响应；</w:t>
      </w:r>
    </w:p>
    <w:p>
      <w:pPr>
        <w:spacing w:line="360" w:lineRule="auto"/>
        <w:ind w:firstLine="549"/>
        <w:rPr>
          <w:rFonts w:ascii="宋体" w:hAnsi="宋体"/>
          <w:color w:val="auto"/>
          <w:sz w:val="24"/>
          <w:szCs w:val="24"/>
          <w:highlight w:val="none"/>
        </w:rPr>
      </w:pPr>
      <w:r>
        <w:rPr>
          <w:rFonts w:hint="eastAsia" w:ascii="宋体" w:hAnsi="宋体"/>
          <w:color w:val="auto"/>
          <w:sz w:val="24"/>
          <w:szCs w:val="24"/>
          <w:highlight w:val="none"/>
        </w:rPr>
        <w:t>3.6.7投标人有串通投标、弄虚作假、行贿等违法行为；</w:t>
      </w:r>
    </w:p>
    <w:p>
      <w:pPr>
        <w:spacing w:line="360" w:lineRule="auto"/>
        <w:ind w:firstLine="480" w:firstLineChars="200"/>
        <w:rPr>
          <w:rFonts w:ascii="宋体" w:hAnsi="宋体"/>
          <w:color w:val="auto"/>
          <w:sz w:val="24"/>
          <w:highlight w:val="none"/>
        </w:rPr>
      </w:pPr>
      <w:r>
        <w:rPr>
          <w:rFonts w:hint="eastAsia" w:ascii="宋体" w:hAnsi="宋体"/>
          <w:color w:val="auto"/>
          <w:sz w:val="24"/>
          <w:szCs w:val="24"/>
          <w:highlight w:val="none"/>
        </w:rPr>
        <w:t>3.6.8</w:t>
      </w:r>
      <w:r>
        <w:rPr>
          <w:rFonts w:hint="eastAsia" w:ascii="宋体" w:hAnsi="宋体"/>
          <w:color w:val="auto"/>
          <w:sz w:val="24"/>
          <w:highlight w:val="none"/>
        </w:rPr>
        <w:t>评委委员会评议认为构成废标的其他情况；</w:t>
      </w:r>
    </w:p>
    <w:p>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szCs w:val="24"/>
          <w:highlight w:val="none"/>
        </w:rPr>
        <w:t>3.6</w:t>
      </w:r>
      <w:r>
        <w:rPr>
          <w:rFonts w:hint="eastAsia" w:ascii="宋体" w:hAnsi="宋体"/>
          <w:color w:val="auto"/>
          <w:sz w:val="24"/>
          <w:highlight w:val="none"/>
        </w:rPr>
        <w:t>.9其他未实质性响应招标文件要求的。</w:t>
      </w:r>
    </w:p>
    <w:p>
      <w:pPr>
        <w:spacing w:line="360" w:lineRule="auto"/>
        <w:ind w:firstLine="600" w:firstLineChars="250"/>
        <w:rPr>
          <w:rFonts w:ascii="宋体" w:hAnsi="宋体"/>
          <w:color w:val="auto"/>
          <w:sz w:val="24"/>
          <w:szCs w:val="24"/>
          <w:highlight w:val="none"/>
        </w:rPr>
      </w:pPr>
      <w:r>
        <w:rPr>
          <w:rFonts w:hint="eastAsia" w:ascii="宋体" w:hAnsi="宋体"/>
          <w:color w:val="auto"/>
          <w:sz w:val="24"/>
          <w:szCs w:val="24"/>
          <w:highlight w:val="none"/>
        </w:rPr>
        <w:t>3.7评审时，评标委员会将审查投标文件是否符合招标文件的评审指标要求。</w:t>
      </w:r>
    </w:p>
    <w:p>
      <w:pPr>
        <w:spacing w:line="360" w:lineRule="auto"/>
        <w:ind w:firstLine="549"/>
        <w:rPr>
          <w:rFonts w:ascii="宋体" w:hAnsi="宋体"/>
          <w:color w:val="auto"/>
          <w:sz w:val="24"/>
          <w:highlight w:val="none"/>
        </w:rPr>
      </w:pPr>
      <w:r>
        <w:rPr>
          <w:rFonts w:hint="eastAsia" w:ascii="宋体" w:hAnsi="宋体"/>
          <w:color w:val="auto"/>
          <w:sz w:val="24"/>
          <w:szCs w:val="24"/>
          <w:highlight w:val="none"/>
        </w:rPr>
        <w:t>3.8</w:t>
      </w:r>
      <w:r>
        <w:rPr>
          <w:rFonts w:hint="eastAsia" w:ascii="宋体" w:hAnsi="宋体"/>
          <w:color w:val="auto"/>
          <w:sz w:val="24"/>
          <w:highlight w:val="none"/>
        </w:rPr>
        <w:t>如果投标文件未通过投标有效性评审，投标无效。</w:t>
      </w:r>
    </w:p>
    <w:p>
      <w:pPr>
        <w:spacing w:line="360" w:lineRule="auto"/>
        <w:ind w:firstLine="549"/>
        <w:rPr>
          <w:rFonts w:ascii="宋体" w:hAnsi="宋体"/>
          <w:color w:val="auto"/>
          <w:sz w:val="24"/>
          <w:szCs w:val="24"/>
          <w:highlight w:val="none"/>
        </w:rPr>
      </w:pPr>
      <w:r>
        <w:rPr>
          <w:rFonts w:hint="eastAsia" w:ascii="宋体" w:hAnsi="宋体"/>
          <w:color w:val="auto"/>
          <w:sz w:val="24"/>
          <w:szCs w:val="24"/>
          <w:highlight w:val="none"/>
        </w:rPr>
        <w:t>3.9评标委员会决定投标文件的响应性及符合性只根据投标文件本身的内容，而不寻求其他外部证据。</w:t>
      </w:r>
    </w:p>
    <w:p>
      <w:pPr>
        <w:spacing w:line="360" w:lineRule="auto"/>
        <w:ind w:firstLine="549"/>
        <w:rPr>
          <w:rFonts w:ascii="宋体" w:hAnsi="宋体" w:cs="宋体"/>
          <w:b/>
          <w:color w:val="auto"/>
          <w:kern w:val="0"/>
          <w:sz w:val="24"/>
          <w:highlight w:val="none"/>
        </w:rPr>
      </w:pPr>
      <w:r>
        <w:rPr>
          <w:rFonts w:hint="eastAsia" w:ascii="宋体" w:hAnsi="宋体" w:cs="宋体"/>
          <w:b/>
          <w:color w:val="auto"/>
          <w:kern w:val="0"/>
          <w:sz w:val="24"/>
          <w:highlight w:val="none"/>
        </w:rPr>
        <w:t>4.定标</w:t>
      </w:r>
    </w:p>
    <w:p>
      <w:pPr>
        <w:spacing w:line="360" w:lineRule="auto"/>
        <w:ind w:firstLine="549"/>
        <w:rPr>
          <w:rFonts w:ascii="宋体" w:hAnsi="宋体"/>
          <w:color w:val="auto"/>
          <w:sz w:val="24"/>
          <w:szCs w:val="24"/>
          <w:highlight w:val="none"/>
        </w:rPr>
      </w:pPr>
      <w:r>
        <w:rPr>
          <w:rFonts w:hint="eastAsia" w:ascii="宋体" w:hAnsi="宋体"/>
          <w:color w:val="auto"/>
          <w:sz w:val="24"/>
          <w:szCs w:val="24"/>
          <w:highlight w:val="none"/>
        </w:rPr>
        <w:t>4.1评标委员会应当按招标文件规定的标准和方法提出独立评审意见，推荐中标候选人。</w:t>
      </w:r>
    </w:p>
    <w:p>
      <w:pPr>
        <w:spacing w:line="360" w:lineRule="auto"/>
        <w:ind w:firstLine="549"/>
        <w:rPr>
          <w:rFonts w:ascii="宋体" w:hAnsi="宋体"/>
          <w:color w:val="auto"/>
          <w:sz w:val="24"/>
          <w:szCs w:val="24"/>
          <w:highlight w:val="none"/>
        </w:rPr>
      </w:pPr>
      <w:r>
        <w:rPr>
          <w:rFonts w:hint="eastAsia" w:ascii="宋体" w:hAnsi="宋体"/>
          <w:color w:val="auto"/>
          <w:sz w:val="24"/>
          <w:szCs w:val="24"/>
          <w:highlight w:val="none"/>
        </w:rPr>
        <w:t>4.2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按排名依次对其余中标候选人进行类似的审查。</w:t>
      </w:r>
    </w:p>
    <w:p>
      <w:pPr>
        <w:spacing w:line="360" w:lineRule="auto"/>
        <w:ind w:firstLine="549"/>
        <w:rPr>
          <w:rFonts w:ascii="宋体" w:hAnsi="宋体"/>
          <w:color w:val="auto"/>
          <w:sz w:val="24"/>
          <w:szCs w:val="24"/>
          <w:highlight w:val="none"/>
        </w:rPr>
      </w:pPr>
      <w:r>
        <w:rPr>
          <w:rFonts w:hint="eastAsia" w:ascii="宋体" w:hAnsi="宋体"/>
          <w:color w:val="auto"/>
          <w:sz w:val="24"/>
          <w:szCs w:val="24"/>
          <w:highlight w:val="none"/>
        </w:rPr>
        <w:t>第一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549"/>
        <w:rPr>
          <w:rFonts w:ascii="宋体" w:hAnsi="宋体"/>
          <w:color w:val="auto"/>
          <w:sz w:val="24"/>
          <w:szCs w:val="24"/>
          <w:highlight w:val="none"/>
        </w:rPr>
      </w:pPr>
      <w:r>
        <w:rPr>
          <w:rFonts w:hint="eastAsia" w:ascii="宋体" w:hAnsi="宋体"/>
          <w:color w:val="auto"/>
          <w:sz w:val="24"/>
          <w:szCs w:val="24"/>
          <w:highlight w:val="none"/>
        </w:rPr>
        <w:t>4.3原则上把合同授予实质上响应招标文件要求的排名最前的中标候选人或通过上条资格审查的中标候选人。</w:t>
      </w:r>
    </w:p>
    <w:p>
      <w:pPr>
        <w:spacing w:line="360" w:lineRule="auto"/>
        <w:ind w:firstLine="480" w:firstLineChars="200"/>
        <w:rPr>
          <w:rFonts w:ascii="宋体" w:hAnsi="宋体" w:cs="宋体"/>
          <w:color w:val="auto"/>
          <w:kern w:val="0"/>
          <w:sz w:val="24"/>
          <w:highlight w:val="none"/>
        </w:rPr>
      </w:pPr>
      <w:r>
        <w:rPr>
          <w:rFonts w:hint="eastAsia" w:ascii="宋体" w:hAnsi="宋体"/>
          <w:color w:val="auto"/>
          <w:sz w:val="24"/>
          <w:szCs w:val="24"/>
          <w:highlight w:val="none"/>
        </w:rPr>
        <w:t>4.4</w:t>
      </w:r>
      <w:r>
        <w:rPr>
          <w:rFonts w:hint="eastAsia" w:ascii="宋体" w:hAnsi="宋体" w:cs="宋体"/>
          <w:color w:val="auto"/>
          <w:kern w:val="0"/>
          <w:sz w:val="24"/>
          <w:highlight w:val="none"/>
        </w:rPr>
        <w:t>招标人不承诺报价最低者能够中标。</w:t>
      </w:r>
    </w:p>
    <w:p>
      <w:pPr>
        <w:spacing w:line="360" w:lineRule="auto"/>
        <w:ind w:firstLine="549"/>
        <w:rPr>
          <w:rFonts w:ascii="宋体" w:hAnsi="宋体"/>
          <w:color w:val="auto"/>
          <w:sz w:val="24"/>
          <w:szCs w:val="24"/>
          <w:highlight w:val="none"/>
        </w:rPr>
      </w:pPr>
      <w:r>
        <w:rPr>
          <w:rFonts w:hint="eastAsia" w:ascii="宋体" w:hAnsi="宋体"/>
          <w:color w:val="auto"/>
          <w:sz w:val="24"/>
          <w:szCs w:val="24"/>
          <w:highlight w:val="none"/>
        </w:rPr>
        <w:t>5.招标人一律不予退还投标人的投标文件。</w:t>
      </w:r>
    </w:p>
    <w:p>
      <w:pPr>
        <w:spacing w:line="360" w:lineRule="auto"/>
        <w:ind w:firstLine="549"/>
        <w:rPr>
          <w:rFonts w:ascii="宋体" w:hAnsi="宋体"/>
          <w:b/>
          <w:color w:val="auto"/>
          <w:sz w:val="24"/>
          <w:szCs w:val="24"/>
          <w:highlight w:val="none"/>
        </w:rPr>
      </w:pPr>
      <w:r>
        <w:rPr>
          <w:rFonts w:hint="eastAsia" w:ascii="宋体" w:hAnsi="宋体"/>
          <w:b/>
          <w:color w:val="auto"/>
          <w:sz w:val="24"/>
          <w:szCs w:val="24"/>
          <w:highlight w:val="none"/>
        </w:rPr>
        <w:t>6. 本招标文件所要求的证书、认证、资质，均应当是有权机构颁发，且在有效期内的。</w:t>
      </w:r>
    </w:p>
    <w:p>
      <w:pPr>
        <w:pStyle w:val="4"/>
        <w:spacing w:line="360" w:lineRule="auto"/>
        <w:rPr>
          <w:rFonts w:hAnsi="宋体"/>
          <w:color w:val="auto"/>
          <w:sz w:val="28"/>
          <w:highlight w:val="none"/>
        </w:rPr>
      </w:pPr>
      <w:bookmarkStart w:id="37" w:name="_Toc31481"/>
      <w:r>
        <w:rPr>
          <w:rFonts w:hint="eastAsia" w:hAnsi="宋体"/>
          <w:color w:val="auto"/>
          <w:sz w:val="28"/>
          <w:highlight w:val="none"/>
        </w:rPr>
        <w:t>五. 投标信息发布</w:t>
      </w:r>
      <w:bookmarkEnd w:id="37"/>
    </w:p>
    <w:p>
      <w:pPr>
        <w:spacing w:line="360" w:lineRule="auto"/>
        <w:ind w:firstLine="550"/>
        <w:rPr>
          <w:rFonts w:ascii="宋体" w:hAnsi="宋体"/>
          <w:color w:val="auto"/>
          <w:sz w:val="24"/>
          <w:highlight w:val="none"/>
        </w:rPr>
      </w:pPr>
      <w:r>
        <w:rPr>
          <w:rFonts w:hint="eastAsia" w:ascii="宋体" w:hAnsi="宋体"/>
          <w:color w:val="auto"/>
          <w:sz w:val="24"/>
          <w:highlight w:val="none"/>
        </w:rPr>
        <w:t>1.与本次招标活动相关的信息，将在合肥文旅博览集团有限公司网(</w:t>
      </w:r>
      <w:r>
        <w:rPr>
          <w:rFonts w:hint="eastAsia" w:ascii="宋体" w:hAnsi="宋体"/>
          <w:color w:val="auto"/>
          <w:sz w:val="24"/>
          <w:szCs w:val="24"/>
          <w:highlight w:val="none"/>
          <w:u w:val="single"/>
        </w:rPr>
        <w:t>http://www.zwzcgl.com</w:t>
      </w:r>
      <w:r>
        <w:rPr>
          <w:rFonts w:hint="eastAsia" w:ascii="宋体" w:hAnsi="宋体"/>
          <w:color w:val="auto"/>
          <w:sz w:val="24"/>
          <w:highlight w:val="none"/>
        </w:rPr>
        <w:t>)发布。</w:t>
      </w:r>
    </w:p>
    <w:p>
      <w:pPr>
        <w:spacing w:line="360" w:lineRule="auto"/>
        <w:ind w:firstLine="550"/>
        <w:rPr>
          <w:rFonts w:ascii="宋体" w:hAnsi="宋体"/>
          <w:color w:val="auto"/>
          <w:sz w:val="24"/>
          <w:highlight w:val="none"/>
        </w:rPr>
      </w:pPr>
      <w:r>
        <w:rPr>
          <w:rFonts w:hint="eastAsia" w:ascii="宋体" w:hAnsi="宋体"/>
          <w:color w:val="auto"/>
          <w:sz w:val="24"/>
          <w:highlight w:val="none"/>
        </w:rPr>
        <w:t>2. 文旅博览集团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文旅博览集团不承担投标人未及时关注相关信息引发的相关责任。</w:t>
      </w:r>
    </w:p>
    <w:p>
      <w:pPr>
        <w:pStyle w:val="4"/>
        <w:spacing w:line="360" w:lineRule="auto"/>
        <w:ind w:firstLine="628"/>
        <w:rPr>
          <w:rFonts w:hAnsi="宋体"/>
          <w:color w:val="auto"/>
          <w:sz w:val="28"/>
          <w:highlight w:val="none"/>
        </w:rPr>
      </w:pPr>
      <w:bookmarkStart w:id="38" w:name="_Toc20058"/>
      <w:r>
        <w:rPr>
          <w:rFonts w:hint="eastAsia" w:hAnsi="宋体"/>
          <w:color w:val="auto"/>
          <w:sz w:val="28"/>
          <w:highlight w:val="none"/>
        </w:rPr>
        <w:t>六．投标文件的澄清</w:t>
      </w:r>
      <w:bookmarkEnd w:id="38"/>
    </w:p>
    <w:p>
      <w:pPr>
        <w:spacing w:line="360" w:lineRule="auto"/>
        <w:ind w:firstLine="549"/>
        <w:rPr>
          <w:rFonts w:ascii="宋体" w:hAnsi="宋体"/>
          <w:bCs/>
          <w:color w:val="auto"/>
          <w:sz w:val="24"/>
          <w:highlight w:val="none"/>
        </w:rPr>
      </w:pPr>
      <w:r>
        <w:rPr>
          <w:rFonts w:hint="eastAsia" w:ascii="宋体" w:hAnsi="宋体"/>
          <w:bCs/>
          <w:color w:val="auto"/>
          <w:sz w:val="24"/>
          <w:highlight w:val="none"/>
        </w:rPr>
        <w:t>1.为有助于投标文件的审查、评估和比较，招标人有权向投标人质疑并请投标人澄清其投标内容。投标人应当按照招标人通知的时间、地点，指派专人进行答疑和澄清。</w:t>
      </w:r>
    </w:p>
    <w:p>
      <w:pPr>
        <w:spacing w:line="360" w:lineRule="auto"/>
        <w:ind w:firstLine="549"/>
        <w:rPr>
          <w:rFonts w:ascii="宋体" w:hAnsi="宋体"/>
          <w:bCs/>
          <w:color w:val="auto"/>
          <w:sz w:val="24"/>
          <w:highlight w:val="none"/>
        </w:rPr>
      </w:pPr>
      <w:r>
        <w:rPr>
          <w:rFonts w:hint="eastAsia" w:ascii="宋体" w:hAnsi="宋体"/>
          <w:bCs/>
          <w:color w:val="auto"/>
          <w:sz w:val="24"/>
          <w:highlight w:val="none"/>
        </w:rPr>
        <w:t>2.重要的澄清应是书面的，但不得对投标内容进行实质性修改。</w:t>
      </w:r>
    </w:p>
    <w:p>
      <w:pPr>
        <w:pStyle w:val="4"/>
        <w:spacing w:line="360" w:lineRule="auto"/>
        <w:ind w:firstLine="628"/>
        <w:rPr>
          <w:rFonts w:hAnsi="宋体"/>
          <w:color w:val="auto"/>
          <w:sz w:val="28"/>
          <w:highlight w:val="none"/>
        </w:rPr>
      </w:pPr>
      <w:bookmarkStart w:id="39" w:name="_Toc24261"/>
      <w:r>
        <w:rPr>
          <w:rFonts w:hint="eastAsia" w:hAnsi="宋体"/>
          <w:color w:val="auto"/>
          <w:sz w:val="28"/>
          <w:highlight w:val="none"/>
        </w:rPr>
        <w:t>七.中标通知书</w:t>
      </w:r>
      <w:bookmarkEnd w:id="39"/>
    </w:p>
    <w:p>
      <w:pPr>
        <w:pStyle w:val="86"/>
        <w:numPr>
          <w:ilvl w:val="0"/>
          <w:numId w:val="0"/>
        </w:numPr>
        <w:adjustRightInd/>
        <w:snapToGrid w:val="0"/>
        <w:spacing w:line="360" w:lineRule="auto"/>
        <w:ind w:firstLine="600" w:firstLineChars="250"/>
        <w:rPr>
          <w:color w:val="auto"/>
          <w:sz w:val="24"/>
          <w:highlight w:val="none"/>
        </w:rPr>
      </w:pPr>
      <w:r>
        <w:rPr>
          <w:rFonts w:hint="eastAsia"/>
          <w:bCs/>
          <w:color w:val="auto"/>
          <w:sz w:val="24"/>
          <w:highlight w:val="none"/>
        </w:rPr>
        <w:t>1.</w:t>
      </w:r>
      <w:r>
        <w:rPr>
          <w:rFonts w:hint="eastAsia"/>
          <w:color w:val="auto"/>
          <w:sz w:val="24"/>
          <w:highlight w:val="none"/>
        </w:rPr>
        <w:t>文旅博览集团将以中标通知书形式通知中标人，其投标已被接受。</w:t>
      </w:r>
    </w:p>
    <w:p>
      <w:pPr>
        <w:pStyle w:val="86"/>
        <w:numPr>
          <w:ilvl w:val="0"/>
          <w:numId w:val="0"/>
        </w:numPr>
        <w:adjustRightInd/>
        <w:snapToGrid w:val="0"/>
        <w:spacing w:line="360" w:lineRule="auto"/>
        <w:ind w:left="566"/>
        <w:rPr>
          <w:color w:val="auto"/>
          <w:sz w:val="24"/>
          <w:highlight w:val="none"/>
        </w:rPr>
      </w:pPr>
      <w:r>
        <w:rPr>
          <w:rFonts w:hint="eastAsia"/>
          <w:bCs/>
          <w:color w:val="auto"/>
          <w:sz w:val="24"/>
          <w:highlight w:val="none"/>
        </w:rPr>
        <w:t>2.</w:t>
      </w:r>
      <w:r>
        <w:rPr>
          <w:rFonts w:hint="eastAsia"/>
          <w:color w:val="auto"/>
          <w:sz w:val="24"/>
          <w:highlight w:val="none"/>
        </w:rPr>
        <w:t>文旅博览集团对未中标的投标人不做未中标原因的解释。</w:t>
      </w:r>
    </w:p>
    <w:p>
      <w:pPr>
        <w:spacing w:line="360" w:lineRule="auto"/>
        <w:ind w:firstLine="549"/>
        <w:rPr>
          <w:rFonts w:ascii="宋体" w:hAnsi="宋体"/>
          <w:color w:val="auto"/>
          <w:sz w:val="24"/>
          <w:highlight w:val="none"/>
        </w:rPr>
      </w:pPr>
      <w:r>
        <w:rPr>
          <w:rFonts w:hint="eastAsia" w:ascii="宋体" w:hAnsi="宋体"/>
          <w:color w:val="auto"/>
          <w:sz w:val="24"/>
          <w:highlight w:val="none"/>
        </w:rPr>
        <w:t>3.中标公示期满后，中标人请在3个工作日内委派专人凭介绍信或公司授权书（须同时携带有效身份证明）领取中标通知书（联系人及联系方式：</w:t>
      </w:r>
      <w:r>
        <w:rPr>
          <w:rFonts w:hint="eastAsia" w:ascii="宋体" w:hAnsi="宋体"/>
          <w:color w:val="auto"/>
          <w:sz w:val="24"/>
          <w:highlight w:val="none"/>
          <w:lang w:val="en-US" w:eastAsia="zh-CN"/>
        </w:rPr>
        <w:t>吴艺</w:t>
      </w:r>
      <w:r>
        <w:rPr>
          <w:rFonts w:hint="eastAsia" w:ascii="宋体" w:hAnsi="宋体"/>
          <w:color w:val="auto"/>
          <w:sz w:val="24"/>
          <w:highlight w:val="none"/>
        </w:rPr>
        <w:t xml:space="preserve">  0551-63530687，地址：</w:t>
      </w:r>
      <w:r>
        <w:rPr>
          <w:rFonts w:hint="eastAsia" w:ascii="宋体" w:hAnsi="宋体"/>
          <w:bCs/>
          <w:color w:val="auto"/>
          <w:sz w:val="24"/>
          <w:szCs w:val="18"/>
          <w:highlight w:val="none"/>
        </w:rPr>
        <w:t>合肥市蜀山区习友路与茂荫路交口投资大厦2楼招标采购部</w:t>
      </w:r>
      <w:r>
        <w:rPr>
          <w:rFonts w:hint="eastAsia" w:ascii="宋体" w:hAnsi="宋体"/>
          <w:color w:val="auto"/>
          <w:sz w:val="24"/>
          <w:highlight w:val="none"/>
        </w:rPr>
        <w:t>）。</w:t>
      </w:r>
      <w:bookmarkEnd w:id="34"/>
      <w:bookmarkEnd w:id="35"/>
    </w:p>
    <w:p>
      <w:pPr>
        <w:pStyle w:val="4"/>
        <w:spacing w:line="360" w:lineRule="auto"/>
        <w:ind w:firstLine="628"/>
        <w:rPr>
          <w:rFonts w:hAnsi="宋体"/>
          <w:color w:val="auto"/>
          <w:sz w:val="28"/>
          <w:highlight w:val="none"/>
        </w:rPr>
      </w:pPr>
      <w:bookmarkStart w:id="40" w:name="_Toc21898"/>
      <w:r>
        <w:rPr>
          <w:rFonts w:hint="eastAsia" w:hAnsi="宋体"/>
          <w:color w:val="auto"/>
          <w:sz w:val="28"/>
          <w:highlight w:val="none"/>
        </w:rPr>
        <w:t>八.异议处理</w:t>
      </w:r>
      <w:bookmarkEnd w:id="40"/>
    </w:p>
    <w:p>
      <w:pPr>
        <w:spacing w:line="360" w:lineRule="auto"/>
        <w:ind w:firstLine="523" w:firstLineChars="218"/>
        <w:rPr>
          <w:rFonts w:ascii="宋体" w:hAnsi="宋体"/>
          <w:bCs/>
          <w:color w:val="auto"/>
          <w:sz w:val="24"/>
          <w:highlight w:val="none"/>
        </w:rPr>
      </w:pPr>
      <w:r>
        <w:rPr>
          <w:rFonts w:hint="eastAsia" w:ascii="宋体" w:hAnsi="宋体"/>
          <w:bCs/>
          <w:color w:val="auto"/>
          <w:sz w:val="24"/>
          <w:highlight w:val="none"/>
        </w:rPr>
        <w:t>1.投标人或者其他利害关系人对依法必须进行招标的项目的评标结果有异议的，应当在中标候选人公示期间，由投标人授权代表（或法定代表人）携带身份证明材料，以书面形式向文旅博览集团提出异议，逾期不予受理。</w:t>
      </w:r>
    </w:p>
    <w:p>
      <w:pPr>
        <w:spacing w:line="360" w:lineRule="auto"/>
        <w:ind w:firstLine="523" w:firstLineChars="218"/>
        <w:rPr>
          <w:rFonts w:ascii="宋体" w:hAnsi="宋体"/>
          <w:bCs/>
          <w:color w:val="auto"/>
          <w:sz w:val="24"/>
          <w:highlight w:val="none"/>
        </w:rPr>
      </w:pPr>
      <w:r>
        <w:rPr>
          <w:rFonts w:hint="eastAsia" w:ascii="宋体" w:hAnsi="宋体"/>
          <w:bCs/>
          <w:color w:val="auto"/>
          <w:sz w:val="24"/>
          <w:highlight w:val="none"/>
        </w:rPr>
        <w:t>2.异议书内容应包括异议的详细理由和依据，并提供有关证明资料。</w:t>
      </w:r>
    </w:p>
    <w:p>
      <w:pPr>
        <w:spacing w:line="360" w:lineRule="auto"/>
        <w:ind w:firstLine="523" w:firstLineChars="218"/>
        <w:rPr>
          <w:rFonts w:ascii="宋体" w:hAnsi="宋体"/>
          <w:bCs/>
          <w:color w:val="auto"/>
          <w:sz w:val="24"/>
          <w:highlight w:val="none"/>
        </w:rPr>
      </w:pPr>
      <w:r>
        <w:rPr>
          <w:rFonts w:hint="eastAsia" w:ascii="宋体" w:hAnsi="宋体"/>
          <w:bCs/>
          <w:color w:val="auto"/>
          <w:sz w:val="24"/>
          <w:highlight w:val="none"/>
        </w:rPr>
        <w:t>3.有以下情形之一的，视为无效异议：</w:t>
      </w:r>
    </w:p>
    <w:p>
      <w:pPr>
        <w:spacing w:line="360" w:lineRule="auto"/>
        <w:ind w:firstLine="523" w:firstLineChars="218"/>
        <w:rPr>
          <w:rFonts w:ascii="宋体" w:hAnsi="宋体"/>
          <w:bCs/>
          <w:color w:val="auto"/>
          <w:sz w:val="24"/>
          <w:highlight w:val="none"/>
        </w:rPr>
      </w:pPr>
      <w:r>
        <w:rPr>
          <w:rFonts w:hint="eastAsia" w:ascii="宋体" w:hAnsi="宋体"/>
          <w:bCs/>
          <w:color w:val="auto"/>
          <w:sz w:val="24"/>
          <w:highlight w:val="none"/>
        </w:rPr>
        <w:t>3.1 未按规定时间或规定手续提交异议的；</w:t>
      </w:r>
    </w:p>
    <w:p>
      <w:pPr>
        <w:spacing w:line="360" w:lineRule="auto"/>
        <w:ind w:firstLine="523" w:firstLineChars="218"/>
        <w:rPr>
          <w:rFonts w:ascii="宋体" w:hAnsi="宋体"/>
          <w:bCs/>
          <w:color w:val="auto"/>
          <w:sz w:val="24"/>
          <w:highlight w:val="none"/>
        </w:rPr>
      </w:pPr>
      <w:r>
        <w:rPr>
          <w:rFonts w:hint="eastAsia" w:ascii="宋体" w:hAnsi="宋体"/>
          <w:bCs/>
          <w:color w:val="auto"/>
          <w:sz w:val="24"/>
          <w:highlight w:val="none"/>
        </w:rPr>
        <w:t>3.2异议内容含糊不清、没有提供详细理由和依据，无法进行核查的；</w:t>
      </w:r>
    </w:p>
    <w:p>
      <w:pPr>
        <w:spacing w:line="360" w:lineRule="auto"/>
        <w:ind w:firstLine="523" w:firstLineChars="218"/>
        <w:rPr>
          <w:rFonts w:ascii="宋体" w:hAnsi="宋体"/>
          <w:bCs/>
          <w:color w:val="auto"/>
          <w:sz w:val="24"/>
          <w:highlight w:val="none"/>
        </w:rPr>
      </w:pPr>
      <w:r>
        <w:rPr>
          <w:rFonts w:hint="eastAsia" w:ascii="宋体" w:hAnsi="宋体"/>
          <w:bCs/>
          <w:color w:val="auto"/>
          <w:sz w:val="24"/>
          <w:highlight w:val="none"/>
        </w:rPr>
        <w:t>3.3其他不符合异议程序和有关规定的。</w:t>
      </w:r>
    </w:p>
    <w:p>
      <w:pPr>
        <w:spacing w:line="360" w:lineRule="auto"/>
        <w:ind w:firstLine="523" w:firstLineChars="218"/>
        <w:rPr>
          <w:rFonts w:ascii="宋体" w:hAnsi="宋体"/>
          <w:bCs/>
          <w:color w:val="auto"/>
          <w:sz w:val="24"/>
          <w:highlight w:val="none"/>
        </w:rPr>
      </w:pPr>
      <w:r>
        <w:rPr>
          <w:rFonts w:hint="eastAsia" w:ascii="宋体" w:hAnsi="宋体"/>
          <w:bCs/>
          <w:color w:val="auto"/>
          <w:sz w:val="24"/>
          <w:highlight w:val="none"/>
        </w:rPr>
        <w:t>4.文旅博览集团将在收到书面质疑后5个工作日内审查异议事项，作出答复或相关处理决定，并以书面形式通知异议人，但答复的内容不涉及商业秘密。</w:t>
      </w:r>
    </w:p>
    <w:p>
      <w:pPr>
        <w:pStyle w:val="4"/>
        <w:spacing w:line="360" w:lineRule="auto"/>
        <w:ind w:firstLine="628"/>
        <w:rPr>
          <w:rFonts w:hAnsi="宋体"/>
          <w:color w:val="auto"/>
          <w:sz w:val="28"/>
          <w:highlight w:val="none"/>
        </w:rPr>
      </w:pPr>
      <w:bookmarkStart w:id="41" w:name="_Toc25115"/>
      <w:r>
        <w:rPr>
          <w:rFonts w:hint="eastAsia" w:hAnsi="宋体"/>
          <w:color w:val="auto"/>
          <w:sz w:val="28"/>
          <w:highlight w:val="none"/>
        </w:rPr>
        <w:t>九．签订合同</w:t>
      </w:r>
      <w:bookmarkEnd w:id="41"/>
    </w:p>
    <w:p>
      <w:pPr>
        <w:spacing w:line="400" w:lineRule="exact"/>
        <w:ind w:firstLine="549"/>
        <w:rPr>
          <w:rFonts w:ascii="宋体" w:hAnsi="宋体"/>
          <w:b/>
          <w:color w:val="auto"/>
          <w:sz w:val="24"/>
          <w:highlight w:val="none"/>
        </w:rPr>
      </w:pPr>
      <w:r>
        <w:rPr>
          <w:rFonts w:hint="eastAsia" w:ascii="宋体" w:hAnsi="宋体"/>
          <w:b/>
          <w:color w:val="auto"/>
          <w:sz w:val="24"/>
          <w:highlight w:val="none"/>
        </w:rPr>
        <w:t>1.履约保证金</w:t>
      </w:r>
    </w:p>
    <w:p>
      <w:pPr>
        <w:spacing w:line="400" w:lineRule="exact"/>
        <w:ind w:firstLine="549"/>
        <w:rPr>
          <w:rFonts w:ascii="宋体" w:hAnsi="宋体"/>
          <w:dstrike/>
          <w:color w:val="auto"/>
          <w:sz w:val="24"/>
          <w:highlight w:val="none"/>
        </w:rPr>
      </w:pPr>
      <w:r>
        <w:rPr>
          <w:rFonts w:hint="eastAsia" w:ascii="宋体" w:hAnsi="宋体"/>
          <w:color w:val="auto"/>
          <w:sz w:val="24"/>
          <w:highlight w:val="none"/>
        </w:rPr>
        <w:t>2.1签订合同前，投标人应提交履约保证金。履约保证金金额、收受方式及收受人见投标人须知前附表规定。</w:t>
      </w:r>
    </w:p>
    <w:p>
      <w:pPr>
        <w:spacing w:line="400" w:lineRule="exact"/>
        <w:ind w:firstLine="549"/>
        <w:rPr>
          <w:rFonts w:ascii="宋体" w:hAnsi="宋体"/>
          <w:color w:val="auto"/>
          <w:sz w:val="24"/>
          <w:highlight w:val="none"/>
        </w:rPr>
      </w:pPr>
      <w:r>
        <w:rPr>
          <w:rFonts w:hint="eastAsia" w:ascii="宋体" w:hAnsi="宋体"/>
          <w:color w:val="auto"/>
          <w:sz w:val="24"/>
          <w:highlight w:val="none"/>
        </w:rPr>
        <w:t>2.2投标人须知前附表约定收取履约保证金或免收履约保证金的，从其规定。</w:t>
      </w:r>
    </w:p>
    <w:p>
      <w:pPr>
        <w:spacing w:line="400" w:lineRule="exact"/>
        <w:ind w:firstLine="549"/>
        <w:rPr>
          <w:rFonts w:ascii="宋体" w:hAnsi="宋体"/>
          <w:color w:val="auto"/>
          <w:sz w:val="24"/>
          <w:highlight w:val="none"/>
        </w:rPr>
      </w:pPr>
      <w:r>
        <w:rPr>
          <w:rFonts w:hint="eastAsia" w:ascii="宋体" w:hAnsi="宋体"/>
          <w:color w:val="auto"/>
          <w:sz w:val="24"/>
          <w:highlight w:val="none"/>
        </w:rPr>
        <w:t>2.3如果中标人未按规定交纳履约保证金，招标人有权取消该授标，在此情况下招标人可将该标授予其下一个中标候选人，或重新招标。</w:t>
      </w:r>
    </w:p>
    <w:p>
      <w:pPr>
        <w:spacing w:line="400" w:lineRule="exact"/>
        <w:ind w:firstLine="549"/>
        <w:rPr>
          <w:rFonts w:ascii="宋体" w:hAnsi="宋体"/>
          <w:b/>
          <w:color w:val="auto"/>
          <w:sz w:val="24"/>
          <w:highlight w:val="none"/>
        </w:rPr>
      </w:pPr>
      <w:r>
        <w:rPr>
          <w:rFonts w:hint="eastAsia" w:ascii="宋体" w:hAnsi="宋体" w:cs="宋体"/>
          <w:b/>
          <w:color w:val="auto"/>
          <w:kern w:val="0"/>
          <w:sz w:val="24"/>
          <w:highlight w:val="none"/>
        </w:rPr>
        <w:t>2.</w:t>
      </w:r>
      <w:r>
        <w:rPr>
          <w:rFonts w:hint="eastAsia" w:ascii="宋体" w:hAnsi="宋体"/>
          <w:b/>
          <w:color w:val="auto"/>
          <w:sz w:val="24"/>
          <w:highlight w:val="none"/>
        </w:rPr>
        <w:t>签订合同</w:t>
      </w:r>
    </w:p>
    <w:p>
      <w:pPr>
        <w:spacing w:line="400" w:lineRule="exact"/>
        <w:ind w:firstLine="549"/>
        <w:rPr>
          <w:rFonts w:ascii="宋体" w:hAnsi="宋体"/>
          <w:color w:val="auto"/>
          <w:sz w:val="24"/>
          <w:highlight w:val="none"/>
        </w:rPr>
      </w:pPr>
      <w:r>
        <w:rPr>
          <w:rFonts w:hint="eastAsia" w:ascii="宋体" w:hAnsi="宋体"/>
          <w:color w:val="auto"/>
          <w:sz w:val="24"/>
          <w:highlight w:val="none"/>
        </w:rPr>
        <w:t>2.1中标人应在中标通知书发出之日起7日内（具体时间、地点见中标通知书）与委托人签订合同。招标文件、中标人的投标文件及澄清文件等，均作为合同的附件。</w:t>
      </w:r>
    </w:p>
    <w:p>
      <w:pPr>
        <w:spacing w:line="400" w:lineRule="exact"/>
        <w:ind w:firstLine="549"/>
        <w:rPr>
          <w:rFonts w:ascii="宋体" w:hAnsi="宋体"/>
          <w:color w:val="auto"/>
          <w:sz w:val="24"/>
          <w:highlight w:val="none"/>
        </w:rPr>
      </w:pPr>
      <w:r>
        <w:rPr>
          <w:rFonts w:hint="eastAsia" w:ascii="宋体" w:hAnsi="宋体"/>
          <w:color w:val="auto"/>
          <w:sz w:val="24"/>
          <w:highlight w:val="none"/>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pPr>
        <w:spacing w:line="400" w:lineRule="exact"/>
        <w:ind w:firstLine="523" w:firstLineChars="218"/>
        <w:rPr>
          <w:rFonts w:ascii="宋体" w:hAnsi="宋体"/>
          <w:color w:val="auto"/>
          <w:sz w:val="24"/>
          <w:highlight w:val="none"/>
        </w:rPr>
      </w:pPr>
      <w:r>
        <w:rPr>
          <w:rFonts w:hint="eastAsia" w:ascii="宋体" w:hAnsi="宋体"/>
          <w:color w:val="auto"/>
          <w:sz w:val="24"/>
          <w:highlight w:val="none"/>
        </w:rPr>
        <w:t>2.3招标人保留以书面形式要求合同的卖方对其所投货物的装运方式、交货地点及服务细则等作适当调整的权利。</w:t>
      </w:r>
    </w:p>
    <w:p>
      <w:pPr>
        <w:spacing w:line="400" w:lineRule="exact"/>
        <w:ind w:firstLine="523" w:firstLineChars="218"/>
        <w:rPr>
          <w:rFonts w:ascii="宋体" w:hAnsi="宋体"/>
          <w:color w:val="auto"/>
          <w:sz w:val="24"/>
          <w:highlight w:val="none"/>
        </w:rPr>
      </w:pPr>
      <w:r>
        <w:rPr>
          <w:rFonts w:hint="eastAsia" w:ascii="宋体" w:hAnsi="宋体"/>
          <w:color w:val="auto"/>
          <w:sz w:val="24"/>
          <w:highlight w:val="none"/>
        </w:rPr>
        <w:t>2.4</w:t>
      </w:r>
      <w:r>
        <w:rPr>
          <w:rFonts w:hint="eastAsia" w:ascii="宋体" w:hAnsi="宋体" w:cs="宋体"/>
          <w:color w:val="auto"/>
          <w:kern w:val="0"/>
          <w:sz w:val="24"/>
          <w:highlight w:val="none"/>
        </w:rPr>
        <w:t>招标人在授予合同时有权对标的物的数量予以适当的增加或减少；</w:t>
      </w:r>
    </w:p>
    <w:p>
      <w:pPr>
        <w:spacing w:line="400" w:lineRule="exact"/>
        <w:ind w:firstLine="549"/>
        <w:rPr>
          <w:rFonts w:ascii="宋体" w:hAnsi="宋体"/>
          <w:color w:val="auto"/>
          <w:sz w:val="24"/>
          <w:highlight w:val="none"/>
        </w:rPr>
      </w:pPr>
      <w:r>
        <w:rPr>
          <w:rFonts w:hint="eastAsia" w:ascii="宋体" w:hAnsi="宋体"/>
          <w:color w:val="auto"/>
          <w:sz w:val="24"/>
          <w:highlight w:val="none"/>
        </w:rPr>
        <w:t>2.5中标人不与委托人签订合同的，招标人可单方面取消其中标资格，并追究其责任。</w:t>
      </w:r>
    </w:p>
    <w:p>
      <w:pPr>
        <w:spacing w:line="400" w:lineRule="exact"/>
        <w:ind w:firstLine="549"/>
        <w:rPr>
          <w:rFonts w:ascii="宋体" w:hAnsi="宋体"/>
          <w:color w:val="auto"/>
          <w:sz w:val="24"/>
          <w:highlight w:val="none"/>
        </w:rPr>
      </w:pPr>
      <w:r>
        <w:rPr>
          <w:rFonts w:hint="eastAsia" w:ascii="宋体" w:hAnsi="宋体"/>
          <w:color w:val="auto"/>
          <w:sz w:val="24"/>
          <w:highlight w:val="none"/>
        </w:rPr>
        <w:t>2.6 合同履行完毕后，经委托人考核合格，双方可续签合同。</w:t>
      </w:r>
    </w:p>
    <w:p>
      <w:pPr>
        <w:rPr>
          <w:color w:val="auto"/>
          <w:highlight w:val="none"/>
        </w:rPr>
      </w:pPr>
      <w:bookmarkStart w:id="42" w:name="_Hlt204508754"/>
      <w:bookmarkEnd w:id="42"/>
      <w:bookmarkStart w:id="43" w:name="_Hlt516969057"/>
      <w:bookmarkEnd w:id="43"/>
      <w:bookmarkStart w:id="44" w:name="_Hlt509650351"/>
      <w:bookmarkEnd w:id="44"/>
    </w:p>
    <w:p>
      <w:pPr>
        <w:pStyle w:val="50"/>
        <w:rPr>
          <w:color w:val="auto"/>
          <w:highlight w:val="none"/>
        </w:rPr>
      </w:pPr>
    </w:p>
    <w:p>
      <w:pPr>
        <w:pStyle w:val="50"/>
        <w:rPr>
          <w:color w:val="auto"/>
          <w:highlight w:val="none"/>
        </w:rPr>
      </w:pPr>
    </w:p>
    <w:p>
      <w:pPr>
        <w:pStyle w:val="50"/>
        <w:rPr>
          <w:color w:val="auto"/>
          <w:highlight w:val="none"/>
        </w:rPr>
      </w:pPr>
    </w:p>
    <w:p>
      <w:pPr>
        <w:pStyle w:val="50"/>
        <w:rPr>
          <w:color w:val="auto"/>
          <w:highlight w:val="none"/>
        </w:rPr>
      </w:pPr>
    </w:p>
    <w:p>
      <w:pPr>
        <w:pStyle w:val="50"/>
        <w:rPr>
          <w:color w:val="auto"/>
          <w:highlight w:val="none"/>
        </w:rPr>
      </w:pPr>
    </w:p>
    <w:p>
      <w:pPr>
        <w:pStyle w:val="50"/>
        <w:rPr>
          <w:color w:val="auto"/>
          <w:highlight w:val="none"/>
        </w:rPr>
      </w:pPr>
    </w:p>
    <w:p>
      <w:pPr>
        <w:pStyle w:val="50"/>
        <w:rPr>
          <w:color w:val="auto"/>
          <w:highlight w:val="none"/>
        </w:rPr>
      </w:pPr>
    </w:p>
    <w:p>
      <w:pPr>
        <w:pStyle w:val="3"/>
        <w:spacing w:line="500" w:lineRule="exact"/>
        <w:rPr>
          <w:rFonts w:ascii="宋体" w:hAnsi="宋体" w:eastAsia="宋体"/>
          <w:color w:val="auto"/>
          <w:szCs w:val="36"/>
          <w:highlight w:val="none"/>
        </w:rPr>
      </w:pPr>
      <w:bookmarkStart w:id="45" w:name="_Toc28409"/>
      <w:r>
        <w:rPr>
          <w:rFonts w:hint="eastAsia" w:ascii="宋体" w:hAnsi="宋体" w:eastAsia="宋体"/>
          <w:color w:val="auto"/>
          <w:highlight w:val="none"/>
        </w:rPr>
        <w:t>第</w:t>
      </w:r>
      <w:bookmarkStart w:id="46" w:name="_Hlt240110027"/>
      <w:bookmarkEnd w:id="46"/>
      <w:r>
        <w:rPr>
          <w:rFonts w:hint="eastAsia" w:ascii="宋体" w:hAnsi="宋体" w:eastAsia="宋体"/>
          <w:color w:val="auto"/>
          <w:highlight w:val="none"/>
        </w:rPr>
        <w:t>四章</w:t>
      </w:r>
      <w:bookmarkStart w:id="47" w:name="_Hlt509716920"/>
      <w:bookmarkEnd w:id="47"/>
      <w:r>
        <w:rPr>
          <w:rFonts w:hint="eastAsia" w:ascii="宋体" w:hAnsi="宋体" w:eastAsia="宋体"/>
          <w:color w:val="auto"/>
          <w:szCs w:val="36"/>
          <w:highlight w:val="none"/>
        </w:rPr>
        <w:t>招标需求</w:t>
      </w:r>
      <w:bookmarkEnd w:id="45"/>
    </w:p>
    <w:p>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前注：</w:t>
      </w:r>
    </w:p>
    <w:p>
      <w:pPr>
        <w:spacing w:line="360" w:lineRule="auto"/>
        <w:ind w:firstLine="480" w:firstLineChars="200"/>
        <w:rPr>
          <w:rFonts w:ascii="宋体" w:hAnsi="宋体"/>
          <w:color w:val="auto"/>
          <w:sz w:val="24"/>
          <w:szCs w:val="28"/>
          <w:highlight w:val="none"/>
        </w:rPr>
      </w:pPr>
      <w:bookmarkStart w:id="48" w:name="_Toc508363595"/>
      <w:r>
        <w:rPr>
          <w:rFonts w:hint="eastAsia" w:ascii="宋体" w:hAnsi="宋体"/>
          <w:color w:val="auto"/>
          <w:sz w:val="24"/>
          <w:szCs w:val="28"/>
          <w:highlight w:val="none"/>
        </w:rPr>
        <w:t>1.投标人自行考虑增值税收费用及风险，中标后须按国家相关规定</w:t>
      </w:r>
      <w:r>
        <w:rPr>
          <w:rFonts w:hint="eastAsia" w:hAnsi="宋体"/>
          <w:color w:val="auto"/>
          <w:sz w:val="24"/>
          <w:szCs w:val="28"/>
          <w:highlight w:val="none"/>
        </w:rPr>
        <w:t>缴纳</w:t>
      </w:r>
      <w:r>
        <w:rPr>
          <w:rFonts w:hint="eastAsia" w:ascii="宋体" w:hAnsi="宋体"/>
          <w:color w:val="auto"/>
          <w:sz w:val="24"/>
          <w:szCs w:val="28"/>
          <w:highlight w:val="none"/>
        </w:rPr>
        <w:t>税金并按委托人要求提供发票，费用含在本次投标总价中，中标后不作调整。</w:t>
      </w:r>
    </w:p>
    <w:p>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2.如对本招标文件有任何疑问或澄清要求，请按本招标文件“投标人须知前附表”中的约定方式联系文旅博览集团，或接受答疑截止时间前联系招标人。否则视同理解和接受。</w:t>
      </w:r>
    </w:p>
    <w:p>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一、招标需求</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1.招标内容：由第三方招聘机构组织合肥文旅博览集团有限公司 202</w:t>
      </w:r>
      <w:r>
        <w:rPr>
          <w:rFonts w:ascii="宋体" w:hAnsi="宋体"/>
          <w:color w:val="auto"/>
          <w:kern w:val="0"/>
          <w:sz w:val="24"/>
          <w:szCs w:val="24"/>
          <w:highlight w:val="none"/>
        </w:rPr>
        <w:t>3</w:t>
      </w:r>
      <w:r>
        <w:rPr>
          <w:rFonts w:hint="eastAsia" w:ascii="宋体" w:hAnsi="宋体"/>
          <w:color w:val="auto"/>
          <w:kern w:val="0"/>
          <w:sz w:val="24"/>
          <w:szCs w:val="24"/>
          <w:highlight w:val="none"/>
        </w:rPr>
        <w:t>年度招聘（</w:t>
      </w:r>
      <w:r>
        <w:rPr>
          <w:rFonts w:ascii="宋体" w:hAnsi="宋体"/>
          <w:color w:val="auto"/>
          <w:kern w:val="0"/>
          <w:sz w:val="24"/>
          <w:szCs w:val="24"/>
          <w:highlight w:val="none"/>
        </w:rPr>
        <w:t>22</w:t>
      </w:r>
      <w:r>
        <w:rPr>
          <w:rFonts w:hint="eastAsia" w:ascii="宋体" w:hAnsi="宋体"/>
          <w:color w:val="auto"/>
          <w:kern w:val="0"/>
          <w:sz w:val="24"/>
          <w:szCs w:val="24"/>
          <w:highlight w:val="none"/>
        </w:rPr>
        <w:t>人）工作，包括但不限于提供所有招聘公告发布、简历筛选（含推荐）、资格审查、笔试命题组卷、测评、笔试、面试命题、考官提问、监考、阅卷、背景调查以及笔试、面试场地租赁等一切服务内容。</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2.招聘阶段招聘团队成员不少于5人。</w:t>
      </w:r>
    </w:p>
    <w:p>
      <w:pPr>
        <w:spacing w:line="360" w:lineRule="auto"/>
        <w:ind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3.报价清单</w:t>
      </w:r>
    </w:p>
    <w:tbl>
      <w:tblPr>
        <w:tblStyle w:val="51"/>
        <w:tblW w:w="9395" w:type="dxa"/>
        <w:tblInd w:w="98" w:type="dxa"/>
        <w:tblLayout w:type="fixed"/>
        <w:tblCellMar>
          <w:top w:w="0" w:type="dxa"/>
          <w:left w:w="108" w:type="dxa"/>
          <w:bottom w:w="0" w:type="dxa"/>
          <w:right w:w="108" w:type="dxa"/>
        </w:tblCellMar>
      </w:tblPr>
      <w:tblGrid>
        <w:gridCol w:w="817"/>
        <w:gridCol w:w="833"/>
        <w:gridCol w:w="2189"/>
        <w:gridCol w:w="867"/>
        <w:gridCol w:w="872"/>
        <w:gridCol w:w="872"/>
        <w:gridCol w:w="2945"/>
      </w:tblGrid>
      <w:tr>
        <w:tblPrEx>
          <w:tblCellMar>
            <w:top w:w="0" w:type="dxa"/>
            <w:left w:w="108" w:type="dxa"/>
            <w:bottom w:w="0" w:type="dxa"/>
            <w:right w:w="108" w:type="dxa"/>
          </w:tblCellMar>
        </w:tblPrEx>
        <w:trPr>
          <w:trHeight w:val="45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序号</w:t>
            </w:r>
          </w:p>
        </w:tc>
        <w:tc>
          <w:tcPr>
            <w:tcW w:w="30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服务项目</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单价</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数量</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合计</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备注</w:t>
            </w:r>
          </w:p>
        </w:tc>
      </w:tr>
      <w:tr>
        <w:tblPrEx>
          <w:tblCellMar>
            <w:top w:w="0" w:type="dxa"/>
            <w:left w:w="108" w:type="dxa"/>
            <w:bottom w:w="0" w:type="dxa"/>
            <w:right w:w="108" w:type="dxa"/>
          </w:tblCellMar>
        </w:tblPrEx>
        <w:trPr>
          <w:trHeight w:val="49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w:t>
            </w:r>
          </w:p>
        </w:tc>
        <w:tc>
          <w:tcPr>
            <w:tcW w:w="30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发布招聘公告</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94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按批次报价，具体详见招聘主要步骤</w:t>
            </w:r>
          </w:p>
        </w:tc>
      </w:tr>
      <w:tr>
        <w:tblPrEx>
          <w:tblCellMar>
            <w:top w:w="0" w:type="dxa"/>
            <w:left w:w="108" w:type="dxa"/>
            <w:bottom w:w="0" w:type="dxa"/>
            <w:right w:w="108" w:type="dxa"/>
          </w:tblCellMar>
        </w:tblPrEx>
        <w:trPr>
          <w:trHeight w:val="49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2</w:t>
            </w:r>
          </w:p>
        </w:tc>
        <w:tc>
          <w:tcPr>
            <w:tcW w:w="30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简历筛选（含推荐）</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具体详见招聘主要步骤</w:t>
            </w:r>
          </w:p>
        </w:tc>
      </w:tr>
      <w:tr>
        <w:tblPrEx>
          <w:tblCellMar>
            <w:top w:w="0" w:type="dxa"/>
            <w:left w:w="108" w:type="dxa"/>
            <w:bottom w:w="0" w:type="dxa"/>
            <w:right w:w="108" w:type="dxa"/>
          </w:tblCellMar>
        </w:tblPrEx>
        <w:trPr>
          <w:trHeight w:val="49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3</w:t>
            </w:r>
          </w:p>
        </w:tc>
        <w:tc>
          <w:tcPr>
            <w:tcW w:w="30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资格审查</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highlight w:val="none"/>
              </w:rPr>
            </w:pPr>
          </w:p>
        </w:tc>
      </w:tr>
      <w:tr>
        <w:tblPrEx>
          <w:tblCellMar>
            <w:top w:w="0" w:type="dxa"/>
            <w:left w:w="108" w:type="dxa"/>
            <w:bottom w:w="0" w:type="dxa"/>
            <w:right w:w="108" w:type="dxa"/>
          </w:tblCellMar>
        </w:tblPrEx>
        <w:trPr>
          <w:trHeight w:val="49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4</w:t>
            </w:r>
          </w:p>
        </w:tc>
        <w:tc>
          <w:tcPr>
            <w:tcW w:w="30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笔试命题、组卷</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共</w:t>
            </w:r>
            <w:r>
              <w:rPr>
                <w:rFonts w:ascii="宋体" w:hAnsi="宋体" w:cs="宋体"/>
                <w:color w:val="auto"/>
                <w:kern w:val="0"/>
                <w:sz w:val="22"/>
                <w:highlight w:val="none"/>
                <w:lang w:bidi="ar"/>
              </w:rPr>
              <w:t>10</w:t>
            </w:r>
            <w:r>
              <w:rPr>
                <w:rFonts w:hint="eastAsia" w:ascii="宋体" w:hAnsi="宋体" w:cs="宋体"/>
                <w:color w:val="auto"/>
                <w:kern w:val="0"/>
                <w:sz w:val="22"/>
                <w:highlight w:val="none"/>
                <w:lang w:bidi="ar"/>
              </w:rPr>
              <w:t>套试卷，具体详见招聘主要步骤</w:t>
            </w:r>
          </w:p>
        </w:tc>
      </w:tr>
      <w:tr>
        <w:tblPrEx>
          <w:tblCellMar>
            <w:top w:w="0" w:type="dxa"/>
            <w:left w:w="108" w:type="dxa"/>
            <w:bottom w:w="0" w:type="dxa"/>
            <w:right w:w="108" w:type="dxa"/>
          </w:tblCellMar>
        </w:tblPrEx>
        <w:trPr>
          <w:trHeight w:val="501"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5</w:t>
            </w:r>
          </w:p>
        </w:tc>
        <w:tc>
          <w:tcPr>
            <w:tcW w:w="30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笔试考场安排</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各岗位参加笔试人数至少达到10:1的开考比例，以实际通过资格审查人数为准，暂按1</w:t>
            </w:r>
            <w:r>
              <w:rPr>
                <w:rFonts w:ascii="宋体" w:hAnsi="宋体" w:cs="宋体"/>
                <w:color w:val="auto"/>
                <w:kern w:val="0"/>
                <w:sz w:val="22"/>
                <w:highlight w:val="none"/>
                <w:lang w:bidi="ar"/>
              </w:rPr>
              <w:t>400</w:t>
            </w:r>
            <w:r>
              <w:rPr>
                <w:rFonts w:hint="eastAsia" w:ascii="宋体" w:hAnsi="宋体" w:cs="宋体"/>
                <w:color w:val="auto"/>
                <w:kern w:val="0"/>
                <w:sz w:val="22"/>
                <w:highlight w:val="none"/>
                <w:lang w:bidi="ar"/>
              </w:rPr>
              <w:t>人次报价，具体详见招聘主要步骤</w:t>
            </w:r>
          </w:p>
        </w:tc>
      </w:tr>
      <w:tr>
        <w:tblPrEx>
          <w:tblCellMar>
            <w:top w:w="0" w:type="dxa"/>
            <w:left w:w="108" w:type="dxa"/>
            <w:bottom w:w="0" w:type="dxa"/>
            <w:right w:w="108" w:type="dxa"/>
          </w:tblCellMar>
        </w:tblPrEx>
        <w:trPr>
          <w:trHeight w:val="49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6</w:t>
            </w:r>
          </w:p>
        </w:tc>
        <w:tc>
          <w:tcPr>
            <w:tcW w:w="30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试卷印制、答题纸、手机袋等</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highlight w:val="none"/>
              </w:rPr>
            </w:pPr>
          </w:p>
        </w:tc>
      </w:tr>
      <w:tr>
        <w:tblPrEx>
          <w:tblCellMar>
            <w:top w:w="0" w:type="dxa"/>
            <w:left w:w="108" w:type="dxa"/>
            <w:bottom w:w="0" w:type="dxa"/>
            <w:right w:w="108" w:type="dxa"/>
          </w:tblCellMar>
        </w:tblPrEx>
        <w:trPr>
          <w:trHeight w:val="49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7</w:t>
            </w:r>
          </w:p>
        </w:tc>
        <w:tc>
          <w:tcPr>
            <w:tcW w:w="30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监考</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highlight w:val="none"/>
              </w:rPr>
            </w:pPr>
          </w:p>
        </w:tc>
      </w:tr>
      <w:tr>
        <w:tblPrEx>
          <w:tblCellMar>
            <w:top w:w="0" w:type="dxa"/>
            <w:left w:w="108" w:type="dxa"/>
            <w:bottom w:w="0" w:type="dxa"/>
            <w:right w:w="108" w:type="dxa"/>
          </w:tblCellMar>
        </w:tblPrEx>
        <w:trPr>
          <w:trHeight w:val="49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8</w:t>
            </w:r>
          </w:p>
        </w:tc>
        <w:tc>
          <w:tcPr>
            <w:tcW w:w="30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阅卷统分</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highlight w:val="none"/>
              </w:rPr>
            </w:pPr>
          </w:p>
        </w:tc>
      </w:tr>
      <w:tr>
        <w:tblPrEx>
          <w:tblCellMar>
            <w:top w:w="0" w:type="dxa"/>
            <w:left w:w="108" w:type="dxa"/>
            <w:bottom w:w="0" w:type="dxa"/>
            <w:right w:w="108" w:type="dxa"/>
          </w:tblCellMar>
        </w:tblPrEx>
        <w:trPr>
          <w:trHeight w:val="67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9</w:t>
            </w:r>
          </w:p>
        </w:tc>
        <w:tc>
          <w:tcPr>
            <w:tcW w:w="30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心理测评</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对通过笔试人员进行测评，暂按1</w:t>
            </w:r>
            <w:r>
              <w:rPr>
                <w:rFonts w:ascii="宋体" w:hAnsi="宋体" w:cs="宋体"/>
                <w:color w:val="auto"/>
                <w:kern w:val="0"/>
                <w:sz w:val="22"/>
                <w:highlight w:val="none"/>
                <w:lang w:bidi="ar"/>
              </w:rPr>
              <w:t>60</w:t>
            </w:r>
            <w:r>
              <w:rPr>
                <w:rFonts w:hint="eastAsia" w:ascii="宋体" w:hAnsi="宋体" w:cs="宋体"/>
                <w:color w:val="auto"/>
                <w:kern w:val="0"/>
                <w:sz w:val="22"/>
                <w:highlight w:val="none"/>
                <w:lang w:bidi="ar"/>
              </w:rPr>
              <w:t>人次报价</w:t>
            </w:r>
          </w:p>
        </w:tc>
      </w:tr>
      <w:tr>
        <w:tblPrEx>
          <w:tblCellMar>
            <w:top w:w="0" w:type="dxa"/>
            <w:left w:w="108" w:type="dxa"/>
            <w:bottom w:w="0" w:type="dxa"/>
            <w:right w:w="108" w:type="dxa"/>
          </w:tblCellMar>
        </w:tblPrEx>
        <w:trPr>
          <w:trHeight w:val="49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10</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一面</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题本</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94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highlight w:val="none"/>
              </w:rPr>
            </w:pPr>
            <w:r>
              <w:rPr>
                <w:rFonts w:hint="eastAsia" w:ascii="宋体" w:hAnsi="宋体" w:cs="宋体"/>
                <w:color w:val="auto"/>
                <w:sz w:val="22"/>
                <w:highlight w:val="none"/>
              </w:rPr>
              <w:t>采用无领导小组讨论+半结构化面试形式，具体详见招聘主要步骤</w:t>
            </w:r>
          </w:p>
        </w:tc>
      </w:tr>
      <w:tr>
        <w:tblPrEx>
          <w:tblCellMar>
            <w:top w:w="0" w:type="dxa"/>
            <w:left w:w="108" w:type="dxa"/>
            <w:bottom w:w="0" w:type="dxa"/>
            <w:right w:w="108" w:type="dxa"/>
          </w:tblCellMar>
        </w:tblPrEx>
        <w:trPr>
          <w:trHeight w:val="49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11</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场地</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945"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auto"/>
                <w:sz w:val="22"/>
                <w:highlight w:val="none"/>
              </w:rPr>
            </w:pPr>
          </w:p>
        </w:tc>
      </w:tr>
      <w:tr>
        <w:tblPrEx>
          <w:tblCellMar>
            <w:top w:w="0" w:type="dxa"/>
            <w:left w:w="108" w:type="dxa"/>
            <w:bottom w:w="0" w:type="dxa"/>
            <w:right w:w="108" w:type="dxa"/>
          </w:tblCellMar>
        </w:tblPrEx>
        <w:trPr>
          <w:trHeight w:val="49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12</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组织服务</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945"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auto"/>
                <w:sz w:val="22"/>
                <w:highlight w:val="none"/>
              </w:rPr>
            </w:pPr>
          </w:p>
        </w:tc>
      </w:tr>
      <w:tr>
        <w:tblPrEx>
          <w:tblCellMar>
            <w:top w:w="0" w:type="dxa"/>
            <w:left w:w="108" w:type="dxa"/>
            <w:bottom w:w="0" w:type="dxa"/>
            <w:right w:w="108" w:type="dxa"/>
          </w:tblCellMar>
        </w:tblPrEx>
        <w:trPr>
          <w:trHeight w:val="49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13</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考官</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9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highlight w:val="none"/>
              </w:rPr>
            </w:pPr>
          </w:p>
        </w:tc>
      </w:tr>
      <w:tr>
        <w:tblPrEx>
          <w:tblCellMar>
            <w:top w:w="0" w:type="dxa"/>
            <w:left w:w="108" w:type="dxa"/>
            <w:bottom w:w="0" w:type="dxa"/>
            <w:right w:w="108" w:type="dxa"/>
          </w:tblCellMar>
        </w:tblPrEx>
        <w:trPr>
          <w:trHeight w:val="49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14</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二面</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题本</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94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color w:val="auto"/>
                <w:sz w:val="22"/>
                <w:highlight w:val="none"/>
              </w:rPr>
            </w:pPr>
            <w:r>
              <w:rPr>
                <w:rFonts w:hint="eastAsia" w:ascii="宋体" w:hAnsi="宋体" w:cs="宋体"/>
                <w:color w:val="auto"/>
                <w:sz w:val="22"/>
                <w:highlight w:val="none"/>
              </w:rPr>
              <w:t>采用半结构化面试形式，具体详见招聘主要步骤</w:t>
            </w:r>
          </w:p>
        </w:tc>
      </w:tr>
      <w:tr>
        <w:tblPrEx>
          <w:tblCellMar>
            <w:top w:w="0" w:type="dxa"/>
            <w:left w:w="108" w:type="dxa"/>
            <w:bottom w:w="0" w:type="dxa"/>
            <w:right w:w="108" w:type="dxa"/>
          </w:tblCellMar>
        </w:tblPrEx>
        <w:trPr>
          <w:trHeight w:val="49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15</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组织服务</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945"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auto"/>
                <w:sz w:val="22"/>
                <w:highlight w:val="none"/>
              </w:rPr>
            </w:pPr>
          </w:p>
        </w:tc>
      </w:tr>
      <w:tr>
        <w:tblPrEx>
          <w:tblCellMar>
            <w:top w:w="0" w:type="dxa"/>
            <w:left w:w="108" w:type="dxa"/>
            <w:bottom w:w="0" w:type="dxa"/>
            <w:right w:w="108" w:type="dxa"/>
          </w:tblCellMar>
        </w:tblPrEx>
        <w:trPr>
          <w:trHeight w:val="49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16</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考官</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9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highlight w:val="none"/>
              </w:rPr>
            </w:pPr>
          </w:p>
        </w:tc>
      </w:tr>
      <w:tr>
        <w:tblPrEx>
          <w:tblCellMar>
            <w:top w:w="0" w:type="dxa"/>
            <w:left w:w="108" w:type="dxa"/>
            <w:bottom w:w="0" w:type="dxa"/>
            <w:right w:w="108" w:type="dxa"/>
          </w:tblCellMar>
        </w:tblPrEx>
        <w:trPr>
          <w:trHeight w:val="49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17</w:t>
            </w:r>
          </w:p>
        </w:tc>
        <w:tc>
          <w:tcPr>
            <w:tcW w:w="30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背景调查</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94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color w:val="auto"/>
                <w:sz w:val="22"/>
                <w:highlight w:val="none"/>
              </w:rPr>
            </w:pPr>
            <w:r>
              <w:rPr>
                <w:rFonts w:hint="eastAsia" w:ascii="宋体" w:hAnsi="宋体" w:cs="宋体"/>
                <w:color w:val="auto"/>
                <w:sz w:val="22"/>
                <w:highlight w:val="none"/>
              </w:rPr>
              <w:t>具体详见招聘主要步骤</w:t>
            </w:r>
          </w:p>
        </w:tc>
      </w:tr>
      <w:tr>
        <w:tblPrEx>
          <w:tblCellMar>
            <w:top w:w="0" w:type="dxa"/>
            <w:left w:w="108" w:type="dxa"/>
            <w:bottom w:w="0" w:type="dxa"/>
            <w:right w:w="108" w:type="dxa"/>
          </w:tblCellMar>
        </w:tblPrEx>
        <w:trPr>
          <w:trHeight w:val="49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18</w:t>
            </w:r>
          </w:p>
        </w:tc>
        <w:tc>
          <w:tcPr>
            <w:tcW w:w="30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短信通知</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9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highlight w:val="none"/>
              </w:rPr>
            </w:pPr>
          </w:p>
        </w:tc>
      </w:tr>
      <w:tr>
        <w:tblPrEx>
          <w:tblCellMar>
            <w:top w:w="0" w:type="dxa"/>
            <w:left w:w="108" w:type="dxa"/>
            <w:bottom w:w="0" w:type="dxa"/>
            <w:right w:w="108" w:type="dxa"/>
          </w:tblCellMar>
        </w:tblPrEx>
        <w:trPr>
          <w:trHeight w:val="495" w:hRule="atLeast"/>
        </w:trPr>
        <w:tc>
          <w:tcPr>
            <w:tcW w:w="383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总计</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highlight w:val="none"/>
              </w:rPr>
            </w:pPr>
          </w:p>
        </w:tc>
      </w:tr>
    </w:tbl>
    <w:p>
      <w:pPr>
        <w:spacing w:line="360" w:lineRule="auto"/>
        <w:ind w:firstLine="480" w:firstLineChars="200"/>
        <w:rPr>
          <w:rFonts w:ascii="宋体" w:hAnsi="宋体"/>
          <w:color w:val="auto"/>
          <w:kern w:val="0"/>
          <w:sz w:val="24"/>
          <w:szCs w:val="24"/>
          <w:highlight w:val="none"/>
        </w:rPr>
      </w:pP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8"/>
          <w:highlight w:val="none"/>
        </w:rPr>
        <w:t>二、</w:t>
      </w:r>
      <w:r>
        <w:rPr>
          <w:rFonts w:hint="eastAsia" w:ascii="宋体" w:hAnsi="宋体"/>
          <w:b/>
          <w:color w:val="auto"/>
          <w:sz w:val="24"/>
          <w:szCs w:val="24"/>
          <w:highlight w:val="none"/>
        </w:rPr>
        <w:t>报价要求</w:t>
      </w:r>
    </w:p>
    <w:p>
      <w:pPr>
        <w:spacing w:line="360" w:lineRule="auto"/>
        <w:ind w:firstLine="480" w:firstLineChars="200"/>
        <w:rPr>
          <w:rFonts w:ascii="宋体" w:hAnsi="宋体"/>
          <w:color w:val="auto"/>
          <w:sz w:val="24"/>
          <w:szCs w:val="28"/>
          <w:highlight w:val="none"/>
        </w:rPr>
      </w:pPr>
      <w:r>
        <w:rPr>
          <w:rFonts w:hint="eastAsia" w:ascii="宋体" w:hAnsi="宋体"/>
          <w:color w:val="auto"/>
          <w:sz w:val="24"/>
          <w:szCs w:val="28"/>
          <w:highlight w:val="none"/>
        </w:rPr>
        <w:t>1.本项目采用投标总价及综合单价报价方式，除非合同另有规定，该综合单价包含但不限于信息发布、简历帅选、笔试、面试、阅卷、场地租赁、背景调查、人员工资、交通、保险、福利、利润、税金等完成项目服务的全部费用。投标报价不得高于项目预算。</w:t>
      </w:r>
    </w:p>
    <w:p>
      <w:pPr>
        <w:pStyle w:val="25"/>
        <w:spacing w:line="360" w:lineRule="auto"/>
        <w:ind w:firstLine="480" w:firstLineChars="200"/>
        <w:rPr>
          <w:rFonts w:hAnsi="宋体"/>
          <w:color w:val="auto"/>
          <w:sz w:val="24"/>
          <w:highlight w:val="none"/>
        </w:rPr>
      </w:pPr>
      <w:r>
        <w:rPr>
          <w:rFonts w:hint="eastAsia" w:hAnsi="宋体"/>
          <w:color w:val="auto"/>
          <w:sz w:val="24"/>
          <w:szCs w:val="28"/>
          <w:highlight w:val="none"/>
        </w:rPr>
        <w:t>2.</w:t>
      </w:r>
      <w:r>
        <w:rPr>
          <w:rFonts w:hint="eastAsia" w:hAnsi="宋体"/>
          <w:color w:val="auto"/>
          <w:sz w:val="24"/>
          <w:highlight w:val="none"/>
        </w:rPr>
        <w:t>不得有漏项，否则为无效投标。</w:t>
      </w:r>
    </w:p>
    <w:p>
      <w:pPr>
        <w:spacing w:line="360" w:lineRule="auto"/>
        <w:ind w:firstLine="480" w:firstLineChars="200"/>
        <w:rPr>
          <w:rFonts w:ascii="宋体" w:hAnsi="宋体"/>
          <w:bCs/>
          <w:color w:val="auto"/>
          <w:sz w:val="24"/>
          <w:highlight w:val="none"/>
        </w:rPr>
      </w:pPr>
      <w:r>
        <w:rPr>
          <w:rFonts w:hint="eastAsia" w:ascii="宋体" w:hAnsi="宋体"/>
          <w:color w:val="auto"/>
          <w:sz w:val="24"/>
          <w:szCs w:val="28"/>
          <w:highlight w:val="none"/>
        </w:rPr>
        <w:t>3.</w:t>
      </w:r>
      <w:r>
        <w:rPr>
          <w:rFonts w:hint="eastAsia" w:ascii="宋体" w:hAnsi="宋体"/>
          <w:bCs/>
          <w:color w:val="auto"/>
          <w:sz w:val="24"/>
          <w:highlight w:val="none"/>
        </w:rPr>
        <w:t>本项目以投标人最终投标总价作为定标依据，但招标人标后复核时如发现投标人最终投标总价与各项单价总和报价累计之和不符的，招标人将按最不利于投标人的方式进行调整，具体方式如下：</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（1）若各项报价累计之和小于最终投标报价，则以综合单价为准；</w:t>
      </w:r>
    </w:p>
    <w:p>
      <w:pPr>
        <w:spacing w:line="360" w:lineRule="auto"/>
        <w:ind w:firstLine="480" w:firstLineChars="200"/>
        <w:rPr>
          <w:rFonts w:ascii="宋体" w:hAnsi="宋体"/>
          <w:bCs/>
          <w:color w:val="auto"/>
          <w:sz w:val="24"/>
          <w:highlight w:val="none"/>
        </w:rPr>
      </w:pPr>
      <w:r>
        <w:rPr>
          <w:rFonts w:hint="eastAsia" w:ascii="宋体" w:hAnsi="宋体"/>
          <w:bCs/>
          <w:color w:val="auto"/>
          <w:sz w:val="24"/>
          <w:highlight w:val="none"/>
        </w:rPr>
        <w:t>（2）若各项报价累计之和大于最终投标报价，则以投标总价为准调整单价（各单价同比例调整）。</w:t>
      </w:r>
    </w:p>
    <w:p>
      <w:pPr>
        <w:spacing w:line="360" w:lineRule="auto"/>
        <w:ind w:firstLine="480" w:firstLineChars="200"/>
        <w:rPr>
          <w:rFonts w:ascii="宋体" w:hAnsi="宋体"/>
          <w:color w:val="auto"/>
          <w:kern w:val="0"/>
          <w:sz w:val="24"/>
          <w:szCs w:val="24"/>
          <w:highlight w:val="none"/>
        </w:rPr>
      </w:pPr>
      <w:r>
        <w:rPr>
          <w:rFonts w:hint="eastAsia" w:ascii="宋体" w:hAnsi="宋体"/>
          <w:bCs/>
          <w:color w:val="auto"/>
          <w:sz w:val="24"/>
          <w:highlight w:val="none"/>
        </w:rPr>
        <w:t>4</w:t>
      </w:r>
      <w:r>
        <w:rPr>
          <w:rFonts w:ascii="宋体" w:hAnsi="宋体"/>
          <w:bCs/>
          <w:color w:val="auto"/>
          <w:sz w:val="24"/>
          <w:highlight w:val="none"/>
        </w:rPr>
        <w:t>.</w:t>
      </w:r>
      <w:r>
        <w:rPr>
          <w:rFonts w:hint="eastAsia"/>
          <w:color w:val="auto"/>
          <w:highlight w:val="none"/>
        </w:rPr>
        <w:t xml:space="preserve"> </w:t>
      </w:r>
      <w:r>
        <w:rPr>
          <w:rFonts w:hint="eastAsia" w:ascii="宋体" w:hAnsi="宋体"/>
          <w:bCs/>
          <w:color w:val="auto"/>
          <w:sz w:val="24"/>
          <w:highlight w:val="none"/>
        </w:rPr>
        <w:t>为便于计算报价得分，投标报价表中所定数量均为暂定量，合同期内按实际发生量计算，单价不变。</w:t>
      </w:r>
    </w:p>
    <w:p>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三、招聘主要步骤及总体要求 </w:t>
      </w:r>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（一）发布招聘公告</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要求投标人在主要官方网站发布招聘公告，发布时间2周（中标单位若有全国性网站，须在全国页面发布1周），公告范围、载体、检索等尽可能贴合应聘目标人群特性，提高招聘的有效性，投标人发布招聘公告费用按批次报价。</w:t>
      </w:r>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（二）简历筛选（含推荐）</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进行2轮筛选，第一轮筛选根据岗位需求筛选简历，第二轮筛选择优劣汰，同时保证各岗位至少达到10:1的开考比例，对于报名人数较少达不到开考比例的岗位，投标人需进行简历挖掘，主动邀请合适人选参加应聘，特殊岗位经集团公司领导同意，可适当放宽开考比例。通知通过简历筛选人员进入资格审查，并负责解答疑问。以上各项工作，保留工作痕迹，凡通过初筛人员简历需提供给招标人。</w:t>
      </w:r>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（三）笔试组织</w:t>
      </w:r>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1.笔试命题、组卷</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根据招聘岗位需求，定制笔试试卷（组卷说明需提前发招标人确认），包括综合（宣传、纪检）、财务管理、工程（管理、设计、造价）、项目策划运营、平面设计、动物园项目</w:t>
      </w:r>
      <w:r>
        <w:rPr>
          <w:rFonts w:ascii="宋体" w:hAnsi="宋体" w:cs="宋体"/>
          <w:color w:val="auto"/>
          <w:sz w:val="24"/>
          <w:szCs w:val="24"/>
          <w:highlight w:val="none"/>
        </w:rPr>
        <w:t>5</w:t>
      </w:r>
      <w:r>
        <w:rPr>
          <w:rFonts w:hint="eastAsia" w:ascii="宋体" w:hAnsi="宋体" w:cs="宋体"/>
          <w:color w:val="auto"/>
          <w:sz w:val="24"/>
          <w:szCs w:val="24"/>
          <w:highlight w:val="none"/>
        </w:rPr>
        <w:t>套，共</w:t>
      </w:r>
      <w:r>
        <w:rPr>
          <w:rFonts w:ascii="宋体" w:hAnsi="宋体" w:cs="宋体"/>
          <w:color w:val="auto"/>
          <w:sz w:val="24"/>
          <w:szCs w:val="24"/>
          <w:highlight w:val="none"/>
        </w:rPr>
        <w:t>10</w:t>
      </w:r>
      <w:r>
        <w:rPr>
          <w:rFonts w:hint="eastAsia" w:ascii="宋体" w:hAnsi="宋体" w:cs="宋体"/>
          <w:color w:val="auto"/>
          <w:sz w:val="24"/>
          <w:szCs w:val="24"/>
          <w:highlight w:val="none"/>
        </w:rPr>
        <w:t>套，如因招聘计划调整或未达到开考比例的岗位相关试卷不予采购。投标人有义务保证试卷的唯一性、专业性、有效性，保证试题来源的合理性及时效性，并对试题内容有保密义务。</w:t>
      </w:r>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2.考场安排</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采用线下形式，根据考试人数和岗位数，由投标人负责安排笔试考场，并提前安排好座位，座位号、考场号标签及考场示意图、考场路线图等准备完善。此项目中座位号、考场号、考场示意图、考场路线图等纳入考场费综合报价。</w:t>
      </w:r>
    </w:p>
    <w:p>
      <w:pPr>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3.监考安排</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每个考场配备2名监考人员，每个考区应配置至少1名巡查人员。监考人员应全面负责通讯工具收管、考场安全、考试人员信息核对、试卷拆封、考场纪律、试卷封存等工作，巡查人员应全面负责考区环境、突发事件、监考人员纪律、违纪处理等工作。</w:t>
      </w:r>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4.组织服务</w:t>
      </w:r>
    </w:p>
    <w:p>
      <w:pPr>
        <w:spacing w:line="360" w:lineRule="auto"/>
        <w:ind w:firstLine="480" w:firstLineChars="200"/>
        <w:rPr>
          <w:rFonts w:ascii="宋体" w:hAnsi="宋体" w:cs="宋体"/>
          <w:b/>
          <w:color w:val="auto"/>
          <w:sz w:val="24"/>
          <w:szCs w:val="24"/>
          <w:highlight w:val="none"/>
        </w:rPr>
      </w:pPr>
      <w:r>
        <w:rPr>
          <w:rFonts w:hint="eastAsia" w:ascii="宋体" w:hAnsi="宋体" w:cs="宋体"/>
          <w:color w:val="auto"/>
          <w:sz w:val="24"/>
          <w:szCs w:val="24"/>
          <w:highlight w:val="none"/>
        </w:rPr>
        <w:t>做好考生通知及参加考试确认工作，要求投标人根据笔试人数和岗位准备好试卷、答题纸、草稿纸及手机袋等考试所需材料，各岗位应准备预留试卷、答题纸、草稿纸等至少2套，所使用纸张应符合国家考试试卷统一标准规格。</w:t>
      </w:r>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5.阅卷</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需成立阅卷组，阅卷老师在阅卷全过程中坚持按统一尺度把握标准,不得违背标准、徇私判分，不得敷衍了事、随意判分，不得私拆装订。阅卷中若出现对答题内容把握不准的情况，不得擅自处理，必须由阅卷组长决定。阅卷老师需在所阅试卷上签字，对所阅试卷负全部责任，组长需在所有试卷上签字，对所有试卷负全部责任。中标单位应在笔试结束后5个工作日内提交成绩，其中电子版加密码、纸质版打印盖章且密封提交招标人，若因投标人工作失误，由此产生的事故责任由投标人承担，招标人因此承担相应责任的，可以向投标人追偿。</w:t>
      </w:r>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（四）发送在线测评邀请</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针对笔试通过人员发送在线测评邀请，主要筛选高度心理异常和行为风险可能的人员，并排除此类人员给企业带来的用人风险。</w:t>
      </w:r>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（五）面试组织</w:t>
      </w:r>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1.面试命题</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根据招标人要求确定面试形式，根据招聘岗位及面试人员情况编制面试试题，暂按</w:t>
      </w:r>
      <w:r>
        <w:rPr>
          <w:rFonts w:hint="eastAsia" w:ascii="宋体" w:hAnsi="宋体" w:cs="宋体"/>
          <w:b/>
          <w:color w:val="auto"/>
          <w:sz w:val="24"/>
          <w:szCs w:val="24"/>
          <w:highlight w:val="none"/>
        </w:rPr>
        <w:t>无领导小组讨论+半结构化面试</w:t>
      </w:r>
      <w:r>
        <w:rPr>
          <w:rFonts w:hint="eastAsia" w:ascii="宋体" w:hAnsi="宋体" w:cs="宋体"/>
          <w:color w:val="auto"/>
          <w:sz w:val="24"/>
          <w:szCs w:val="24"/>
          <w:highlight w:val="none"/>
        </w:rPr>
        <w:t>命题方式进行，投标人有义务保证试题的唯一性、专业性、有效性，保证试题来源的合理性及时效性，并对试题内容有保密义务。</w:t>
      </w:r>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2.考官安排</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根据招聘岗位及招标人要求提供考官名单备选，投标人有义务保证考官的专业素养、公平公正、敬业负责等特质，由投标人安排的考官应具有人才测评师或心理咨询师等相关证书。</w:t>
      </w:r>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3.面试服务</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笔试成绩按照岗位人数1:6的比例确定第一轮面试人员，根据笔试及一面综合评分按照岗位人数1:3的比例进入第二轮面试，如笔试和一面成绩出现并列情况，一并进入下一环节，两轮面试均发布面试通知。投标人需提前安排好面试场地，联系面试评委、梳理面试流程，准备面试所需材料，并在整个面试工作中发挥沟通协调作用，快速应对计划外事件，妥善处理突发事件。</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（1）一面。由供应商提供面试现场及组织服务，面试形式为无领导小组讨论+半结构化面试。试题考察内容：应试人员的岗位胜任能力。一面由供应商提供3名专家（包括主考官）参加面试评分。</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二面。由集团提供面试场地，面试形式为半结构化面试命题。试题考察内容：应试人员的岗位胜任能力及稳定性。二面由集团提供多名面试专家、供应商提供1名专家参加面试评分。由供应商提供面试现场的组织服务工作。</w:t>
      </w:r>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（六）背景调查</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投标人对招标人拟录用人员进行背景调查（根据实际需要，由招标人确定是否开展背调），主要调查学历信息、工作经历、工作表现、离职原因、优缺点、诚信记录、违规违纪记录等，为招标人录用提供参考。</w:t>
      </w:r>
    </w:p>
    <w:p>
      <w:pPr>
        <w:spacing w:line="360" w:lineRule="auto"/>
        <w:ind w:firstLine="482" w:firstLineChars="200"/>
        <w:rPr>
          <w:rFonts w:ascii="宋体" w:hAnsi="宋体" w:cs="宋体"/>
          <w:color w:val="auto"/>
          <w:sz w:val="24"/>
          <w:szCs w:val="24"/>
          <w:highlight w:val="none"/>
        </w:rPr>
      </w:pPr>
      <w:r>
        <w:rPr>
          <w:rFonts w:hint="eastAsia" w:ascii="宋体" w:hAnsi="宋体" w:cs="宋体"/>
          <w:b/>
          <w:color w:val="auto"/>
          <w:sz w:val="24"/>
          <w:szCs w:val="24"/>
          <w:highlight w:val="none"/>
        </w:rPr>
        <w:t>（七）短信通知</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包括但不限于资格审查、笔试相关通知、面试相关通知。</w:t>
      </w:r>
    </w:p>
    <w:p>
      <w:pPr>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（八）其他</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未尽事宜由双方协商确认，集团公司人力资源部对招聘全过程进行全程监督。以上各项连带项目纳入主项目计算，非连带项目由双方确认是否提供服务及服务形式、服务要求、服务费用等。</w:t>
      </w:r>
    </w:p>
    <w:p>
      <w:pPr>
        <w:rPr>
          <w:rFonts w:ascii="宋体" w:hAnsi="宋体" w:cs="宋体"/>
          <w:color w:val="auto"/>
          <w:sz w:val="24"/>
          <w:szCs w:val="24"/>
          <w:highlight w:val="none"/>
        </w:rPr>
      </w:pPr>
      <w:r>
        <w:rPr>
          <w:rFonts w:hint="eastAsia" w:ascii="宋体" w:hAnsi="宋体" w:cs="宋体"/>
          <w:color w:val="auto"/>
          <w:sz w:val="24"/>
          <w:szCs w:val="24"/>
          <w:highlight w:val="none"/>
        </w:rPr>
        <w:br w:type="page"/>
      </w:r>
    </w:p>
    <w:p>
      <w:pPr>
        <w:pStyle w:val="3"/>
        <w:spacing w:line="500" w:lineRule="exact"/>
        <w:ind w:firstLine="0"/>
        <w:rPr>
          <w:rFonts w:ascii="宋体" w:hAnsi="宋体" w:eastAsia="宋体"/>
          <w:color w:val="auto"/>
          <w:highlight w:val="none"/>
        </w:rPr>
      </w:pPr>
      <w:bookmarkStart w:id="49" w:name="_Toc24861"/>
      <w:r>
        <w:rPr>
          <w:rFonts w:hint="eastAsia" w:ascii="宋体" w:hAnsi="宋体" w:eastAsia="宋体"/>
          <w:color w:val="auto"/>
          <w:highlight w:val="none"/>
        </w:rPr>
        <w:t>第五章 评标办法</w:t>
      </w:r>
      <w:bookmarkEnd w:id="48"/>
      <w:bookmarkEnd w:id="49"/>
    </w:p>
    <w:p>
      <w:pPr>
        <w:autoSpaceDE w:val="0"/>
        <w:autoSpaceDN w:val="0"/>
        <w:adjustRightInd w:val="0"/>
        <w:spacing w:line="360" w:lineRule="auto"/>
        <w:ind w:firstLine="241" w:firstLineChars="100"/>
        <w:jc w:val="left"/>
        <w:rPr>
          <w:rFonts w:ascii="宋体" w:hAnsi="宋体"/>
          <w:b/>
          <w:color w:val="auto"/>
          <w:sz w:val="24"/>
          <w:szCs w:val="24"/>
          <w:highlight w:val="none"/>
          <w:u w:val="single"/>
        </w:rPr>
      </w:pPr>
      <w:r>
        <w:rPr>
          <w:rFonts w:hint="eastAsia" w:ascii="宋体" w:hAnsi="宋体"/>
          <w:b/>
          <w:bCs/>
          <w:color w:val="auto"/>
          <w:sz w:val="24"/>
          <w:highlight w:val="none"/>
        </w:rPr>
        <w:t>1.</w:t>
      </w:r>
      <w:r>
        <w:rPr>
          <w:rFonts w:hint="eastAsia" w:ascii="宋体" w:hAnsi="宋体"/>
          <w:color w:val="auto"/>
          <w:sz w:val="24"/>
          <w:highlight w:val="none"/>
        </w:rPr>
        <w:t>为了做好</w:t>
      </w:r>
      <w:r>
        <w:rPr>
          <w:rFonts w:hint="eastAsia" w:ascii="宋体" w:hAnsi="宋体"/>
          <w:color w:val="auto"/>
          <w:sz w:val="24"/>
          <w:highlight w:val="none"/>
          <w:u w:val="single"/>
        </w:rPr>
        <w:t>合肥文旅博览集团2023年人才招聘项目（项目编号：2023WLBLZB00077号）</w:t>
      </w:r>
      <w:r>
        <w:rPr>
          <w:rFonts w:hint="eastAsia" w:ascii="宋体" w:hAnsi="宋体"/>
          <w:color w:val="auto"/>
          <w:sz w:val="24"/>
          <w:highlight w:val="none"/>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pPr>
        <w:adjustRightInd w:val="0"/>
        <w:snapToGrid w:val="0"/>
        <w:spacing w:line="360" w:lineRule="auto"/>
        <w:ind w:right="-10" w:firstLine="422" w:firstLineChars="175"/>
        <w:rPr>
          <w:rFonts w:ascii="宋体" w:hAnsi="宋体"/>
          <w:bCs/>
          <w:color w:val="auto"/>
          <w:sz w:val="24"/>
          <w:szCs w:val="24"/>
          <w:highlight w:val="none"/>
        </w:rPr>
      </w:pPr>
      <w:r>
        <w:rPr>
          <w:rFonts w:hint="eastAsia" w:ascii="宋体" w:hAnsi="宋体"/>
          <w:b/>
          <w:bCs/>
          <w:color w:val="auto"/>
          <w:sz w:val="24"/>
          <w:highlight w:val="none"/>
        </w:rPr>
        <w:t>2.</w:t>
      </w:r>
      <w:r>
        <w:rPr>
          <w:rFonts w:hint="eastAsia" w:ascii="宋体" w:hAnsi="宋体"/>
          <w:bCs/>
          <w:color w:val="auto"/>
          <w:sz w:val="24"/>
          <w:szCs w:val="24"/>
          <w:highlight w:val="none"/>
        </w:rPr>
        <w:t xml:space="preserve"> 本次项目评标采用</w:t>
      </w:r>
      <w:r>
        <w:rPr>
          <w:rFonts w:hint="eastAsia" w:ascii="宋体" w:hAnsi="宋体"/>
          <w:bCs/>
          <w:color w:val="auto"/>
          <w:sz w:val="24"/>
          <w:szCs w:val="24"/>
          <w:highlight w:val="none"/>
          <w:u w:val="single"/>
        </w:rPr>
        <w:t>综合评分法</w:t>
      </w:r>
      <w:r>
        <w:rPr>
          <w:rFonts w:hint="eastAsia" w:ascii="宋体" w:hAnsi="宋体"/>
          <w:bCs/>
          <w:color w:val="auto"/>
          <w:sz w:val="24"/>
          <w:szCs w:val="24"/>
          <w:highlight w:val="none"/>
        </w:rPr>
        <w:t>作为对投标人标书的比较方法</w:t>
      </w:r>
      <w:r>
        <w:rPr>
          <w:rFonts w:hint="eastAsia" w:ascii="宋体" w:hAnsi="宋体"/>
          <w:color w:val="auto"/>
          <w:sz w:val="24"/>
          <w:highlight w:val="none"/>
        </w:rPr>
        <w:t>。</w:t>
      </w:r>
    </w:p>
    <w:p>
      <w:pPr>
        <w:adjustRightInd w:val="0"/>
        <w:snapToGrid w:val="0"/>
        <w:spacing w:line="360" w:lineRule="auto"/>
        <w:ind w:left="-61" w:leftChars="-29" w:firstLine="482" w:firstLineChars="200"/>
        <w:rPr>
          <w:rFonts w:ascii="宋体" w:hAnsi="宋体"/>
          <w:color w:val="auto"/>
          <w:sz w:val="24"/>
          <w:highlight w:val="none"/>
        </w:rPr>
      </w:pPr>
      <w:r>
        <w:rPr>
          <w:rFonts w:hint="eastAsia" w:ascii="宋体" w:hAnsi="宋体"/>
          <w:b/>
          <w:bCs/>
          <w:color w:val="auto"/>
          <w:sz w:val="24"/>
          <w:highlight w:val="none"/>
        </w:rPr>
        <w:t>3.</w:t>
      </w:r>
      <w:r>
        <w:rPr>
          <w:rFonts w:hint="eastAsia" w:ascii="宋体" w:hAnsi="宋体"/>
          <w:color w:val="auto"/>
          <w:sz w:val="24"/>
          <w:highlight w:val="none"/>
        </w:rPr>
        <w:t>本项目将依法组建不少于</w:t>
      </w:r>
      <w:r>
        <w:rPr>
          <w:rFonts w:hint="eastAsia" w:ascii="宋体" w:hAnsi="宋体"/>
          <w:b/>
          <w:color w:val="auto"/>
          <w:sz w:val="24"/>
          <w:highlight w:val="none"/>
          <w:u w:val="single"/>
        </w:rPr>
        <w:t>5</w:t>
      </w:r>
      <w:r>
        <w:rPr>
          <w:rFonts w:hint="eastAsia" w:ascii="宋体" w:hAnsi="宋体"/>
          <w:color w:val="auto"/>
          <w:sz w:val="24"/>
          <w:highlight w:val="none"/>
        </w:rPr>
        <w:t>人的评标委员会，负责本项目的评标工作。</w:t>
      </w:r>
    </w:p>
    <w:p>
      <w:pPr>
        <w:adjustRightInd w:val="0"/>
        <w:snapToGrid w:val="0"/>
        <w:spacing w:line="360" w:lineRule="auto"/>
        <w:ind w:left="-61" w:leftChars="-29" w:firstLine="482" w:firstLineChars="200"/>
        <w:rPr>
          <w:rFonts w:ascii="宋体" w:hAnsi="宋体"/>
          <w:color w:val="auto"/>
          <w:sz w:val="24"/>
          <w:highlight w:val="none"/>
        </w:rPr>
      </w:pPr>
      <w:r>
        <w:rPr>
          <w:rFonts w:hint="eastAsia" w:ascii="宋体" w:hAnsi="宋体"/>
          <w:b/>
          <w:color w:val="auto"/>
          <w:sz w:val="24"/>
          <w:highlight w:val="none"/>
        </w:rPr>
        <w:t>4.</w:t>
      </w:r>
      <w:r>
        <w:rPr>
          <w:rFonts w:hint="eastAsia" w:ascii="宋体" w:hAnsi="宋体"/>
          <w:color w:val="auto"/>
          <w:sz w:val="24"/>
          <w:highlight w:val="none"/>
        </w:rPr>
        <w:t>评标委员会按照“客观公正，实事求是”的原则，评价参加本次招标的投标人所提供的产品或服务价格、性能、质量、服务及对招标文件的符合性及响应性。</w:t>
      </w:r>
    </w:p>
    <w:p>
      <w:pPr>
        <w:adjustRightInd w:val="0"/>
        <w:snapToGrid w:val="0"/>
        <w:spacing w:line="360" w:lineRule="auto"/>
        <w:ind w:right="-10" w:firstLine="482" w:firstLineChars="200"/>
        <w:rPr>
          <w:rFonts w:ascii="宋体" w:hAnsi="宋体"/>
          <w:color w:val="auto"/>
          <w:sz w:val="24"/>
          <w:highlight w:val="none"/>
        </w:rPr>
      </w:pPr>
      <w:r>
        <w:rPr>
          <w:rFonts w:hint="eastAsia" w:ascii="宋体" w:hAnsi="宋体"/>
          <w:b/>
          <w:color w:val="auto"/>
          <w:sz w:val="24"/>
          <w:highlight w:val="none"/>
        </w:rPr>
        <w:t>5.</w:t>
      </w:r>
      <w:r>
        <w:rPr>
          <w:rFonts w:hint="eastAsia" w:ascii="宋体" w:hAnsi="宋体"/>
          <w:color w:val="auto"/>
          <w:sz w:val="24"/>
          <w:highlight w:val="none"/>
        </w:rPr>
        <w:t>有效投标应符合以下原则：</w:t>
      </w:r>
    </w:p>
    <w:p>
      <w:pPr>
        <w:spacing w:line="360" w:lineRule="auto"/>
        <w:ind w:left="480" w:right="-10"/>
        <w:rPr>
          <w:rFonts w:ascii="宋体" w:hAnsi="宋体"/>
          <w:color w:val="auto"/>
          <w:sz w:val="24"/>
          <w:highlight w:val="none"/>
        </w:rPr>
      </w:pPr>
      <w:r>
        <w:rPr>
          <w:rFonts w:hint="eastAsia" w:ascii="宋体" w:hAnsi="宋体"/>
          <w:color w:val="auto"/>
          <w:sz w:val="24"/>
          <w:highlight w:val="none"/>
        </w:rPr>
        <w:t>5.1满足招标文件的实质性要求；</w:t>
      </w:r>
    </w:p>
    <w:p>
      <w:pPr>
        <w:spacing w:line="360" w:lineRule="auto"/>
        <w:ind w:left="480" w:right="-10"/>
        <w:rPr>
          <w:rFonts w:ascii="宋体" w:hAnsi="宋体"/>
          <w:color w:val="auto"/>
          <w:sz w:val="24"/>
          <w:highlight w:val="none"/>
        </w:rPr>
      </w:pPr>
      <w:r>
        <w:rPr>
          <w:rFonts w:hint="eastAsia" w:ascii="宋体" w:hAnsi="宋体"/>
          <w:color w:val="auto"/>
          <w:sz w:val="24"/>
          <w:highlight w:val="none"/>
        </w:rPr>
        <w:t>5.2无重大偏离、保留或招标人不能接受的附加条件；</w:t>
      </w:r>
    </w:p>
    <w:p>
      <w:pPr>
        <w:spacing w:line="360" w:lineRule="auto"/>
        <w:ind w:left="480" w:right="-10"/>
        <w:rPr>
          <w:rFonts w:ascii="宋体" w:hAnsi="宋体"/>
          <w:color w:val="auto"/>
          <w:sz w:val="24"/>
          <w:highlight w:val="none"/>
        </w:rPr>
      </w:pPr>
      <w:r>
        <w:rPr>
          <w:rFonts w:hint="eastAsia" w:ascii="宋体" w:hAnsi="宋体"/>
          <w:color w:val="auto"/>
          <w:sz w:val="24"/>
          <w:highlight w:val="none"/>
        </w:rPr>
        <w:t>5.3通过初审；</w:t>
      </w:r>
    </w:p>
    <w:p>
      <w:pPr>
        <w:adjustRightInd w:val="0"/>
        <w:snapToGrid w:val="0"/>
        <w:spacing w:line="360" w:lineRule="auto"/>
        <w:ind w:right="-10" w:firstLine="480" w:firstLineChars="200"/>
        <w:rPr>
          <w:rFonts w:ascii="宋体" w:hAnsi="宋体"/>
          <w:color w:val="auto"/>
          <w:sz w:val="24"/>
          <w:highlight w:val="none"/>
        </w:rPr>
      </w:pPr>
      <w:r>
        <w:rPr>
          <w:rFonts w:hint="eastAsia" w:ascii="宋体" w:hAnsi="宋体"/>
          <w:color w:val="auto"/>
          <w:sz w:val="24"/>
          <w:highlight w:val="none"/>
        </w:rPr>
        <w:t>5.4评标委员会依据招标文件认定的其他原则。</w:t>
      </w:r>
    </w:p>
    <w:p>
      <w:pPr>
        <w:adjustRightInd w:val="0"/>
        <w:snapToGrid w:val="0"/>
        <w:spacing w:line="360" w:lineRule="auto"/>
        <w:ind w:right="-10" w:firstLine="482" w:firstLineChars="200"/>
        <w:rPr>
          <w:rFonts w:ascii="宋体" w:hAnsi="宋体" w:cs="宋体-18030"/>
          <w:color w:val="auto"/>
          <w:sz w:val="24"/>
          <w:highlight w:val="none"/>
        </w:rPr>
      </w:pPr>
      <w:r>
        <w:rPr>
          <w:rFonts w:hint="eastAsia" w:ascii="宋体" w:hAnsi="宋体"/>
          <w:b/>
          <w:color w:val="auto"/>
          <w:sz w:val="24"/>
          <w:highlight w:val="none"/>
        </w:rPr>
        <w:t>6.</w:t>
      </w:r>
      <w:r>
        <w:rPr>
          <w:rFonts w:hint="eastAsia" w:ascii="宋体" w:hAnsi="宋体" w:cs="宋体-18030"/>
          <w:color w:val="auto"/>
          <w:sz w:val="24"/>
          <w:highlight w:val="none"/>
        </w:rPr>
        <w:t>评标委员会遵循公开、公平、公正和科学诚信的原则，对所有投标文件均采用相同程序和标准，进行评定。</w:t>
      </w:r>
    </w:p>
    <w:p>
      <w:pPr>
        <w:adjustRightInd w:val="0"/>
        <w:snapToGrid w:val="0"/>
        <w:spacing w:line="360" w:lineRule="auto"/>
        <w:ind w:right="-10" w:firstLine="422" w:firstLineChars="175"/>
        <w:rPr>
          <w:rFonts w:ascii="宋体" w:hAnsi="宋体"/>
          <w:color w:val="auto"/>
          <w:sz w:val="24"/>
          <w:szCs w:val="24"/>
          <w:highlight w:val="none"/>
        </w:rPr>
      </w:pPr>
      <w:r>
        <w:rPr>
          <w:rFonts w:hint="eastAsia" w:ascii="宋体" w:hAnsi="宋体" w:cs="宋体-18030"/>
          <w:b/>
          <w:color w:val="auto"/>
          <w:sz w:val="24"/>
          <w:highlight w:val="none"/>
        </w:rPr>
        <w:t>7.</w:t>
      </w:r>
      <w:r>
        <w:rPr>
          <w:rFonts w:hint="eastAsia" w:ascii="宋体" w:hAnsi="宋体"/>
          <w:color w:val="auto"/>
          <w:sz w:val="24"/>
          <w:szCs w:val="24"/>
          <w:highlight w:val="none"/>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pPr>
        <w:adjustRightInd w:val="0"/>
        <w:snapToGrid w:val="0"/>
        <w:spacing w:line="360" w:lineRule="auto"/>
        <w:ind w:right="-10" w:firstLine="420" w:firstLineChars="175"/>
        <w:rPr>
          <w:rFonts w:ascii="宋体" w:hAnsi="宋体"/>
          <w:color w:val="auto"/>
          <w:sz w:val="24"/>
          <w:szCs w:val="24"/>
          <w:highlight w:val="none"/>
        </w:rPr>
      </w:pPr>
      <w:r>
        <w:rPr>
          <w:rFonts w:hint="eastAsia" w:ascii="宋体" w:hAnsi="宋体"/>
          <w:color w:val="auto"/>
          <w:sz w:val="24"/>
          <w:szCs w:val="24"/>
          <w:highlight w:val="none"/>
        </w:rPr>
        <w:t>对于询标后判定的结论（如通过或不通过），评标委员会应提出充足的理由，根据招标文件给定的评审指标进行判定，并予以书面记录。</w:t>
      </w:r>
    </w:p>
    <w:p>
      <w:pPr>
        <w:adjustRightInd w:val="0"/>
        <w:snapToGrid w:val="0"/>
        <w:spacing w:line="360" w:lineRule="auto"/>
        <w:ind w:right="-10" w:firstLine="480" w:firstLineChars="200"/>
        <w:rPr>
          <w:rFonts w:ascii="宋体" w:hAnsi="宋体"/>
          <w:bCs/>
          <w:color w:val="auto"/>
          <w:sz w:val="24"/>
          <w:szCs w:val="24"/>
          <w:highlight w:val="none"/>
        </w:rPr>
      </w:pPr>
      <w:r>
        <w:rPr>
          <w:rFonts w:hint="eastAsia" w:ascii="宋体" w:hAnsi="宋体"/>
          <w:bCs/>
          <w:color w:val="auto"/>
          <w:sz w:val="24"/>
          <w:szCs w:val="24"/>
          <w:highlight w:val="none"/>
        </w:rPr>
        <w:t>评标委员会独立评审后，对投标人某项评审指标如有不同意见，按照少数服从多数的原则，确定该项评审指标的最终结论。</w:t>
      </w:r>
    </w:p>
    <w:p>
      <w:pPr>
        <w:adjustRightInd w:val="0"/>
        <w:snapToGrid w:val="0"/>
        <w:spacing w:line="360" w:lineRule="auto"/>
        <w:ind w:right="-10" w:firstLine="422" w:firstLineChars="175"/>
        <w:rPr>
          <w:rFonts w:ascii="宋体" w:hAnsi="宋体"/>
          <w:bCs/>
          <w:color w:val="auto"/>
          <w:sz w:val="24"/>
          <w:highlight w:val="none"/>
        </w:rPr>
      </w:pPr>
      <w:r>
        <w:rPr>
          <w:rFonts w:hint="eastAsia" w:ascii="宋体" w:hAnsi="宋体"/>
          <w:b/>
          <w:bCs/>
          <w:color w:val="auto"/>
          <w:sz w:val="24"/>
          <w:highlight w:val="none"/>
        </w:rPr>
        <w:t>8.</w:t>
      </w:r>
      <w:r>
        <w:rPr>
          <w:rFonts w:hint="eastAsia" w:ascii="宋体" w:hAnsi="宋体"/>
          <w:bCs/>
          <w:color w:val="auto"/>
          <w:sz w:val="24"/>
          <w:highlight w:val="none"/>
        </w:rPr>
        <w:t>评审程序</w:t>
      </w:r>
    </w:p>
    <w:p>
      <w:pPr>
        <w:spacing w:line="360" w:lineRule="auto"/>
        <w:ind w:firstLine="549"/>
        <w:rPr>
          <w:rFonts w:ascii="宋体" w:hAnsi="宋体"/>
          <w:bCs/>
          <w:color w:val="auto"/>
          <w:sz w:val="24"/>
          <w:highlight w:val="none"/>
        </w:rPr>
      </w:pPr>
      <w:r>
        <w:rPr>
          <w:rFonts w:hint="eastAsia" w:ascii="宋体" w:hAnsi="宋体"/>
          <w:bCs/>
          <w:color w:val="auto"/>
          <w:sz w:val="24"/>
          <w:szCs w:val="24"/>
          <w:highlight w:val="none"/>
        </w:rPr>
        <w:t>本项目采用</w:t>
      </w:r>
      <w:r>
        <w:rPr>
          <w:rFonts w:hint="eastAsia" w:ascii="宋体" w:hAnsi="宋体"/>
          <w:bCs/>
          <w:color w:val="auto"/>
          <w:sz w:val="24"/>
          <w:highlight w:val="none"/>
        </w:rPr>
        <w:t>综合评分法</w:t>
      </w:r>
      <w:r>
        <w:rPr>
          <w:rFonts w:hint="eastAsia" w:ascii="宋体" w:hAnsi="宋体"/>
          <w:bCs/>
          <w:color w:val="auto"/>
          <w:sz w:val="24"/>
          <w:szCs w:val="24"/>
          <w:highlight w:val="none"/>
        </w:rPr>
        <w:t>进行评审，</w:t>
      </w:r>
      <w:r>
        <w:rPr>
          <w:rFonts w:hint="eastAsia" w:ascii="宋体" w:hAnsi="宋体"/>
          <w:bCs/>
          <w:color w:val="auto"/>
          <w:sz w:val="24"/>
          <w:highlight w:val="none"/>
        </w:rPr>
        <w:t>在最大限度地满足招标文件实质性要求前提下，按照招标文件中规定的各项因素进行综合评审。综合评分法的主要因素是：技术部分、商务部分以及相应的比重。</w:t>
      </w:r>
    </w:p>
    <w:p>
      <w:pPr>
        <w:spacing w:line="360" w:lineRule="auto"/>
        <w:ind w:firstLine="549"/>
        <w:rPr>
          <w:rFonts w:ascii="宋体" w:hAnsi="宋体"/>
          <w:bCs/>
          <w:color w:val="auto"/>
          <w:sz w:val="24"/>
          <w:szCs w:val="24"/>
          <w:highlight w:val="none"/>
        </w:rPr>
      </w:pPr>
      <w:r>
        <w:rPr>
          <w:rFonts w:hint="eastAsia" w:ascii="宋体" w:hAnsi="宋体"/>
          <w:bCs/>
          <w:color w:val="auto"/>
          <w:sz w:val="24"/>
          <w:szCs w:val="24"/>
          <w:highlight w:val="none"/>
        </w:rPr>
        <w:t>评标委员会遵循规定评标原则，对投标人进行初审、详细评审、</w:t>
      </w:r>
      <w:r>
        <w:rPr>
          <w:rFonts w:hint="eastAsia" w:ascii="宋体" w:hAnsi="宋体"/>
          <w:bCs/>
          <w:color w:val="auto"/>
          <w:sz w:val="24"/>
          <w:highlight w:val="none"/>
        </w:rPr>
        <w:t>技术部分、商务部分以及报价</w:t>
      </w:r>
      <w:r>
        <w:rPr>
          <w:rFonts w:hint="eastAsia" w:ascii="宋体" w:hAnsi="宋体"/>
          <w:bCs/>
          <w:color w:val="auto"/>
          <w:sz w:val="24"/>
          <w:szCs w:val="24"/>
          <w:highlight w:val="none"/>
        </w:rPr>
        <w:t>得分计算确定中标候选人。</w:t>
      </w:r>
    </w:p>
    <w:p>
      <w:pPr>
        <w:spacing w:line="360" w:lineRule="auto"/>
        <w:ind w:firstLine="549"/>
        <w:rPr>
          <w:rFonts w:ascii="宋体" w:hAnsi="宋体"/>
          <w:b/>
          <w:color w:val="auto"/>
          <w:sz w:val="24"/>
          <w:szCs w:val="24"/>
          <w:highlight w:val="none"/>
        </w:rPr>
      </w:pPr>
      <w:r>
        <w:rPr>
          <w:rFonts w:hint="eastAsia" w:ascii="宋体" w:hAnsi="宋体"/>
          <w:b/>
          <w:color w:val="auto"/>
          <w:sz w:val="24"/>
          <w:szCs w:val="24"/>
          <w:highlight w:val="none"/>
        </w:rPr>
        <w:t>8.1初审</w:t>
      </w:r>
    </w:p>
    <w:tbl>
      <w:tblPr>
        <w:tblStyle w:val="51"/>
        <w:tblpPr w:leftFromText="180" w:rightFromText="180" w:vertAnchor="text" w:horzAnchor="page" w:tblpX="1580" w:tblpY="939"/>
        <w:tblOverlap w:val="never"/>
        <w:tblW w:w="9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417"/>
        <w:gridCol w:w="2261"/>
        <w:gridCol w:w="709"/>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208" w:type="dxa"/>
            <w:gridSpan w:val="5"/>
            <w:vAlign w:val="center"/>
          </w:tcPr>
          <w:p>
            <w:pPr>
              <w:pStyle w:val="111"/>
              <w:pBdr>
                <w:bottom w:val="none" w:color="auto" w:sz="0" w:space="0"/>
              </w:pBdr>
              <w:tabs>
                <w:tab w:val="clear" w:pos="4153"/>
                <w:tab w:val="clear" w:pos="8306"/>
              </w:tabs>
              <w:snapToGrid w:val="0"/>
              <w:spacing w:line="360" w:lineRule="auto"/>
              <w:ind w:right="-10"/>
              <w:rPr>
                <w:rFonts w:ascii="宋体" w:hAnsi="宋体"/>
                <w:color w:val="auto"/>
                <w:kern w:val="2"/>
                <w:szCs w:val="24"/>
                <w:highlight w:val="none"/>
              </w:rPr>
            </w:pPr>
            <w:r>
              <w:rPr>
                <w:rFonts w:ascii="宋体" w:hAnsi="宋体"/>
                <w:b/>
                <w:color w:val="auto"/>
                <w:highlight w:val="none"/>
              </w:rPr>
              <w:t>项目</w:t>
            </w:r>
            <w:r>
              <w:rPr>
                <w:rFonts w:hint="eastAsia" w:ascii="宋体" w:hAnsi="宋体"/>
                <w:b/>
                <w:color w:val="auto"/>
                <w:highlight w:val="none"/>
              </w:rPr>
              <w:t>评审表（废标指标一览表）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color w:val="auto"/>
                <w:sz w:val="24"/>
                <w:highlight w:val="none"/>
              </w:rPr>
            </w:pPr>
            <w:r>
              <w:rPr>
                <w:rFonts w:hint="eastAsia" w:ascii="宋体" w:hAnsi="宋体"/>
                <w:color w:val="auto"/>
                <w:sz w:val="24"/>
                <w:highlight w:val="none"/>
              </w:rPr>
              <w:t>序号</w:t>
            </w:r>
          </w:p>
        </w:tc>
        <w:tc>
          <w:tcPr>
            <w:tcW w:w="2417" w:type="dxa"/>
            <w:tcBorders>
              <w:bottom w:val="single" w:color="auto" w:sz="4" w:space="0"/>
            </w:tcBorders>
            <w:vAlign w:val="center"/>
          </w:tcPr>
          <w:p>
            <w:pPr>
              <w:pStyle w:val="111"/>
              <w:pBdr>
                <w:bottom w:val="none" w:color="auto" w:sz="0" w:space="0"/>
              </w:pBdr>
              <w:tabs>
                <w:tab w:val="clear" w:pos="4153"/>
                <w:tab w:val="clear" w:pos="8306"/>
              </w:tabs>
              <w:snapToGrid w:val="0"/>
              <w:spacing w:line="360" w:lineRule="auto"/>
              <w:ind w:right="-10"/>
              <w:rPr>
                <w:rFonts w:ascii="宋体" w:hAnsi="宋体"/>
                <w:color w:val="auto"/>
                <w:kern w:val="2"/>
                <w:szCs w:val="24"/>
                <w:highlight w:val="none"/>
              </w:rPr>
            </w:pPr>
            <w:r>
              <w:rPr>
                <w:rFonts w:hint="eastAsia" w:ascii="宋体" w:hAnsi="宋体"/>
                <w:color w:val="auto"/>
                <w:kern w:val="2"/>
                <w:szCs w:val="24"/>
                <w:highlight w:val="none"/>
              </w:rPr>
              <w:t>指标名称</w:t>
            </w:r>
          </w:p>
        </w:tc>
        <w:tc>
          <w:tcPr>
            <w:tcW w:w="2261" w:type="dxa"/>
            <w:tcBorders>
              <w:bottom w:val="single" w:color="auto" w:sz="4" w:space="0"/>
            </w:tcBorders>
            <w:vAlign w:val="center"/>
          </w:tcPr>
          <w:p>
            <w:pPr>
              <w:adjustRightInd w:val="0"/>
              <w:snapToGrid w:val="0"/>
              <w:spacing w:line="360" w:lineRule="auto"/>
              <w:ind w:right="-10"/>
              <w:jc w:val="center"/>
              <w:rPr>
                <w:rFonts w:ascii="宋体" w:hAnsi="宋体"/>
                <w:color w:val="auto"/>
                <w:sz w:val="24"/>
                <w:highlight w:val="none"/>
              </w:rPr>
            </w:pPr>
            <w:r>
              <w:rPr>
                <w:rFonts w:hint="eastAsia" w:ascii="宋体" w:hAnsi="宋体"/>
                <w:color w:val="auto"/>
                <w:sz w:val="24"/>
                <w:highlight w:val="none"/>
              </w:rPr>
              <w:t>指标要求</w:t>
            </w:r>
          </w:p>
        </w:tc>
        <w:tc>
          <w:tcPr>
            <w:tcW w:w="709" w:type="dxa"/>
            <w:tcBorders>
              <w:bottom w:val="single" w:color="auto" w:sz="4" w:space="0"/>
            </w:tcBorders>
            <w:vAlign w:val="center"/>
          </w:tcPr>
          <w:p>
            <w:pPr>
              <w:adjustRightInd w:val="0"/>
              <w:snapToGrid w:val="0"/>
              <w:spacing w:line="360" w:lineRule="auto"/>
              <w:ind w:right="-10"/>
              <w:jc w:val="center"/>
              <w:rPr>
                <w:rFonts w:ascii="宋体" w:hAnsi="宋体"/>
                <w:color w:val="auto"/>
                <w:sz w:val="24"/>
                <w:highlight w:val="none"/>
              </w:rPr>
            </w:pPr>
            <w:r>
              <w:rPr>
                <w:rFonts w:hint="eastAsia" w:ascii="宋体" w:hAnsi="宋体"/>
                <w:color w:val="auto"/>
                <w:sz w:val="24"/>
                <w:highlight w:val="none"/>
              </w:rPr>
              <w:t>是否通过</w:t>
            </w:r>
          </w:p>
        </w:tc>
        <w:tc>
          <w:tcPr>
            <w:tcW w:w="3112" w:type="dxa"/>
            <w:tcBorders>
              <w:bottom w:val="single" w:color="auto" w:sz="4" w:space="0"/>
            </w:tcBorders>
            <w:vAlign w:val="center"/>
          </w:tcPr>
          <w:p>
            <w:pPr>
              <w:adjustRightInd w:val="0"/>
              <w:snapToGrid w:val="0"/>
              <w:spacing w:line="360" w:lineRule="auto"/>
              <w:ind w:right="-10"/>
              <w:jc w:val="center"/>
              <w:rPr>
                <w:rFonts w:ascii="宋体" w:hAnsi="宋体"/>
                <w:color w:val="auto"/>
                <w:sz w:val="24"/>
                <w:highlight w:val="none"/>
              </w:rPr>
            </w:pPr>
            <w:r>
              <w:rPr>
                <w:rFonts w:hint="eastAsia" w:ascii="宋体" w:hAnsi="宋体"/>
                <w:color w:val="auto"/>
                <w:sz w:val="24"/>
                <w:highlight w:val="none"/>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color w:val="auto"/>
                <w:sz w:val="24"/>
                <w:highlight w:val="none"/>
              </w:rPr>
            </w:pPr>
            <w:r>
              <w:rPr>
                <w:rFonts w:hint="eastAsia" w:ascii="宋体" w:hAnsi="宋体"/>
                <w:color w:val="auto"/>
                <w:sz w:val="24"/>
                <w:highlight w:val="none"/>
              </w:rPr>
              <w:t>1</w:t>
            </w:r>
          </w:p>
        </w:tc>
        <w:tc>
          <w:tcPr>
            <w:tcW w:w="2417" w:type="dxa"/>
            <w:tcBorders>
              <w:bottom w:val="single" w:color="auto" w:sz="4" w:space="0"/>
            </w:tcBorders>
            <w:vAlign w:val="center"/>
          </w:tcPr>
          <w:p>
            <w:pPr>
              <w:pStyle w:val="103"/>
              <w:spacing w:line="360" w:lineRule="auto"/>
              <w:jc w:val="center"/>
              <w:rPr>
                <w:rFonts w:ascii="宋体" w:hAnsi="宋体" w:eastAsia="宋体"/>
                <w:color w:val="auto"/>
                <w:kern w:val="2"/>
                <w:highlight w:val="none"/>
              </w:rPr>
            </w:pPr>
            <w:r>
              <w:rPr>
                <w:rFonts w:ascii="宋体" w:hAnsi="宋体" w:eastAsia="宋体"/>
                <w:color w:val="auto"/>
                <w:kern w:val="2"/>
                <w:highlight w:val="none"/>
              </w:rPr>
              <w:t>投标人名称</w:t>
            </w:r>
          </w:p>
        </w:tc>
        <w:tc>
          <w:tcPr>
            <w:tcW w:w="2261" w:type="dxa"/>
            <w:tcBorders>
              <w:bottom w:val="single" w:color="auto" w:sz="4" w:space="0"/>
            </w:tcBorders>
            <w:vAlign w:val="center"/>
          </w:tcPr>
          <w:p>
            <w:pPr>
              <w:pStyle w:val="103"/>
              <w:spacing w:line="360" w:lineRule="auto"/>
              <w:rPr>
                <w:rFonts w:ascii="宋体" w:hAnsi="宋体" w:eastAsia="宋体"/>
                <w:color w:val="auto"/>
                <w:kern w:val="2"/>
                <w:highlight w:val="none"/>
              </w:rPr>
            </w:pPr>
            <w:r>
              <w:rPr>
                <w:rFonts w:ascii="宋体" w:hAnsi="宋体" w:eastAsia="宋体"/>
                <w:color w:val="auto"/>
                <w:kern w:val="2"/>
                <w:highlight w:val="none"/>
              </w:rPr>
              <w:t>与营业执照一致</w:t>
            </w:r>
          </w:p>
        </w:tc>
        <w:tc>
          <w:tcPr>
            <w:tcW w:w="709" w:type="dxa"/>
            <w:tcBorders>
              <w:bottom w:val="single" w:color="auto" w:sz="4" w:space="0"/>
            </w:tcBorders>
            <w:vAlign w:val="center"/>
          </w:tcPr>
          <w:p>
            <w:pPr>
              <w:adjustRightInd w:val="0"/>
              <w:snapToGrid w:val="0"/>
              <w:spacing w:line="360" w:lineRule="auto"/>
              <w:ind w:right="-10"/>
              <w:jc w:val="center"/>
              <w:rPr>
                <w:rFonts w:ascii="宋体" w:hAnsi="宋体"/>
                <w:color w:val="auto"/>
                <w:sz w:val="24"/>
                <w:highlight w:val="none"/>
              </w:rPr>
            </w:pPr>
          </w:p>
        </w:tc>
        <w:tc>
          <w:tcPr>
            <w:tcW w:w="3112" w:type="dxa"/>
            <w:tcBorders>
              <w:bottom w:val="single" w:color="auto" w:sz="4" w:space="0"/>
            </w:tcBorders>
            <w:vAlign w:val="center"/>
          </w:tcPr>
          <w:p>
            <w:pPr>
              <w:adjustRightInd w:val="0"/>
              <w:snapToGrid w:val="0"/>
              <w:spacing w:line="360" w:lineRule="auto"/>
              <w:ind w:right="-1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2</w:t>
            </w:r>
          </w:p>
        </w:tc>
        <w:tc>
          <w:tcPr>
            <w:tcW w:w="2417" w:type="dxa"/>
            <w:tcBorders>
              <w:bottom w:val="single" w:color="auto" w:sz="4" w:space="0"/>
            </w:tcBorders>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营业执照或事业单位法人证书</w:t>
            </w:r>
          </w:p>
        </w:tc>
        <w:tc>
          <w:tcPr>
            <w:tcW w:w="2261" w:type="dxa"/>
            <w:tcBorders>
              <w:bottom w:val="single" w:color="auto" w:sz="4" w:space="0"/>
            </w:tcBorders>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合法有效</w:t>
            </w:r>
          </w:p>
        </w:tc>
        <w:tc>
          <w:tcPr>
            <w:tcW w:w="709" w:type="dxa"/>
            <w:tcBorders>
              <w:bottom w:val="single" w:color="auto" w:sz="4" w:space="0"/>
            </w:tcBorders>
            <w:vAlign w:val="center"/>
          </w:tcPr>
          <w:p>
            <w:pPr>
              <w:adjustRightInd w:val="0"/>
              <w:snapToGrid w:val="0"/>
              <w:spacing w:line="420" w:lineRule="exact"/>
              <w:ind w:right="-11"/>
              <w:jc w:val="center"/>
              <w:rPr>
                <w:rFonts w:ascii="宋体" w:hAnsi="宋体"/>
                <w:color w:val="auto"/>
                <w:sz w:val="24"/>
                <w:szCs w:val="24"/>
                <w:highlight w:val="none"/>
              </w:rPr>
            </w:pPr>
          </w:p>
        </w:tc>
        <w:tc>
          <w:tcPr>
            <w:tcW w:w="3112" w:type="dxa"/>
            <w:tcBorders>
              <w:bottom w:val="single" w:color="auto" w:sz="4" w:space="0"/>
            </w:tcBorders>
            <w:vAlign w:val="center"/>
          </w:tcPr>
          <w:p>
            <w:pPr>
              <w:adjustRightInd w:val="0"/>
              <w:snapToGrid w:val="0"/>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提供有效的营业执照（或事业单位法人证书）的扫描件</w:t>
            </w:r>
            <w:r>
              <w:rPr>
                <w:rFonts w:hint="eastAsia" w:ascii="宋体" w:hAnsi="宋体"/>
                <w:b/>
                <w:bCs/>
                <w:color w:val="auto"/>
                <w:sz w:val="24"/>
                <w:szCs w:val="24"/>
                <w:highlight w:val="none"/>
              </w:rPr>
              <w:t>，应完整的体现出营业执照</w:t>
            </w:r>
            <w:r>
              <w:rPr>
                <w:rFonts w:hint="eastAsia" w:ascii="宋体" w:hAnsi="宋体"/>
                <w:b/>
                <w:color w:val="auto"/>
                <w:sz w:val="24"/>
                <w:szCs w:val="24"/>
                <w:highlight w:val="none"/>
              </w:rPr>
              <w:t>（或事业单位法人证书）</w:t>
            </w:r>
            <w:r>
              <w:rPr>
                <w:rFonts w:hint="eastAsia" w:ascii="宋体" w:hAnsi="宋体"/>
                <w:b/>
                <w:bCs/>
                <w:color w:val="auto"/>
                <w:sz w:val="24"/>
                <w:szCs w:val="24"/>
                <w:highlight w:val="none"/>
              </w:rPr>
              <w:t>的全部内容。</w:t>
            </w:r>
            <w:r>
              <w:rPr>
                <w:rFonts w:hint="eastAsia" w:ascii="宋体" w:hAnsi="宋体"/>
                <w:bCs/>
                <w:color w:val="auto"/>
                <w:sz w:val="24"/>
                <w:szCs w:val="24"/>
                <w:highlight w:val="none"/>
              </w:rPr>
              <w:t>联合体投标的，联合体各方均须提供。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pPr>
              <w:adjustRightInd w:val="0"/>
              <w:snapToGrid w:val="0"/>
              <w:spacing w:line="360" w:lineRule="auto"/>
              <w:ind w:right="-10"/>
              <w:jc w:val="center"/>
              <w:rPr>
                <w:rFonts w:ascii="宋体" w:hAnsi="宋体"/>
                <w:color w:val="auto"/>
                <w:sz w:val="24"/>
                <w:highlight w:val="none"/>
              </w:rPr>
            </w:pPr>
            <w:r>
              <w:rPr>
                <w:rFonts w:hint="eastAsia" w:ascii="宋体" w:hAnsi="宋体"/>
                <w:color w:val="auto"/>
                <w:sz w:val="24"/>
                <w:highlight w:val="none"/>
              </w:rPr>
              <w:t>3</w:t>
            </w:r>
          </w:p>
        </w:tc>
        <w:tc>
          <w:tcPr>
            <w:tcW w:w="2417" w:type="dxa"/>
            <w:vAlign w:val="center"/>
          </w:tcPr>
          <w:p>
            <w:pPr>
              <w:spacing w:after="50" w:line="360" w:lineRule="auto"/>
              <w:ind w:right="-10"/>
              <w:jc w:val="center"/>
              <w:rPr>
                <w:rFonts w:ascii="宋体" w:hAnsi="宋体"/>
                <w:color w:val="auto"/>
                <w:sz w:val="24"/>
                <w:szCs w:val="28"/>
                <w:highlight w:val="none"/>
              </w:rPr>
            </w:pPr>
            <w:r>
              <w:rPr>
                <w:rFonts w:hint="eastAsia" w:ascii="宋体" w:hAnsi="宋体"/>
                <w:color w:val="auto"/>
                <w:sz w:val="24"/>
                <w:szCs w:val="28"/>
                <w:highlight w:val="none"/>
              </w:rPr>
              <w:t>投标函</w:t>
            </w:r>
          </w:p>
        </w:tc>
        <w:tc>
          <w:tcPr>
            <w:tcW w:w="2261" w:type="dxa"/>
            <w:vAlign w:val="center"/>
          </w:tcPr>
          <w:p>
            <w:pPr>
              <w:spacing w:after="50" w:line="360" w:lineRule="auto"/>
              <w:ind w:right="-10"/>
              <w:jc w:val="center"/>
              <w:rPr>
                <w:rFonts w:ascii="宋体" w:hAnsi="宋体"/>
                <w:color w:val="auto"/>
                <w:sz w:val="24"/>
                <w:szCs w:val="28"/>
                <w:highlight w:val="none"/>
              </w:rPr>
            </w:pPr>
            <w:r>
              <w:rPr>
                <w:rFonts w:hint="eastAsia" w:ascii="宋体" w:hAnsi="宋体"/>
                <w:color w:val="auto"/>
                <w:sz w:val="24"/>
                <w:szCs w:val="28"/>
                <w:highlight w:val="none"/>
              </w:rPr>
              <w:t>符合招标文件要求</w:t>
            </w:r>
          </w:p>
        </w:tc>
        <w:tc>
          <w:tcPr>
            <w:tcW w:w="709" w:type="dxa"/>
            <w:vAlign w:val="center"/>
          </w:tcPr>
          <w:p>
            <w:pPr>
              <w:adjustRightInd w:val="0"/>
              <w:snapToGrid w:val="0"/>
              <w:spacing w:line="360" w:lineRule="auto"/>
              <w:ind w:right="-10"/>
              <w:jc w:val="center"/>
              <w:rPr>
                <w:rFonts w:ascii="宋体" w:hAnsi="宋体"/>
                <w:color w:val="auto"/>
                <w:sz w:val="24"/>
                <w:highlight w:val="none"/>
              </w:rPr>
            </w:pPr>
          </w:p>
        </w:tc>
        <w:tc>
          <w:tcPr>
            <w:tcW w:w="3112" w:type="dxa"/>
            <w:vAlign w:val="center"/>
          </w:tcPr>
          <w:p>
            <w:pPr>
              <w:adjustRightInd w:val="0"/>
              <w:snapToGrid w:val="0"/>
              <w:spacing w:line="360" w:lineRule="auto"/>
              <w:ind w:right="-10"/>
              <w:jc w:val="center"/>
              <w:rPr>
                <w:rFonts w:ascii="宋体" w:hAnsi="宋体"/>
                <w:color w:val="auto"/>
                <w:sz w:val="24"/>
                <w:highlight w:val="none"/>
              </w:rPr>
            </w:pPr>
            <w:r>
              <w:rPr>
                <w:rFonts w:hint="eastAsia" w:ascii="宋体" w:hAnsi="宋体"/>
                <w:color w:val="auto"/>
                <w:sz w:val="24"/>
                <w:highlight w:val="none"/>
              </w:rPr>
              <w:t>投标函中的授权代表须与投标授权书中保持一致，否则投标无效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pPr>
              <w:adjustRightInd w:val="0"/>
              <w:snapToGrid w:val="0"/>
              <w:spacing w:line="360" w:lineRule="auto"/>
              <w:ind w:right="-10"/>
              <w:jc w:val="center"/>
              <w:rPr>
                <w:rFonts w:ascii="宋体" w:hAnsi="宋体"/>
                <w:color w:val="auto"/>
                <w:sz w:val="24"/>
                <w:highlight w:val="none"/>
              </w:rPr>
            </w:pPr>
            <w:r>
              <w:rPr>
                <w:rFonts w:hint="eastAsia" w:ascii="宋体" w:hAnsi="宋体"/>
                <w:color w:val="auto"/>
                <w:sz w:val="24"/>
                <w:highlight w:val="none"/>
              </w:rPr>
              <w:t>4</w:t>
            </w:r>
          </w:p>
        </w:tc>
        <w:tc>
          <w:tcPr>
            <w:tcW w:w="2417" w:type="dxa"/>
            <w:vAlign w:val="center"/>
          </w:tcPr>
          <w:p>
            <w:pPr>
              <w:spacing w:after="50" w:line="360" w:lineRule="auto"/>
              <w:ind w:right="-10"/>
              <w:jc w:val="center"/>
              <w:rPr>
                <w:rFonts w:ascii="宋体" w:hAnsi="宋体"/>
                <w:color w:val="auto"/>
                <w:sz w:val="24"/>
                <w:szCs w:val="28"/>
                <w:highlight w:val="none"/>
              </w:rPr>
            </w:pPr>
            <w:r>
              <w:rPr>
                <w:rFonts w:hint="eastAsia" w:ascii="宋体" w:hAnsi="宋体"/>
                <w:color w:val="auto"/>
                <w:sz w:val="24"/>
                <w:szCs w:val="28"/>
                <w:highlight w:val="none"/>
              </w:rPr>
              <w:t>投标授权书</w:t>
            </w:r>
          </w:p>
        </w:tc>
        <w:tc>
          <w:tcPr>
            <w:tcW w:w="2261" w:type="dxa"/>
            <w:vAlign w:val="center"/>
          </w:tcPr>
          <w:p>
            <w:pPr>
              <w:spacing w:after="50" w:line="360" w:lineRule="auto"/>
              <w:ind w:right="-10"/>
              <w:jc w:val="center"/>
              <w:rPr>
                <w:rFonts w:ascii="宋体" w:hAnsi="宋体"/>
                <w:color w:val="auto"/>
                <w:sz w:val="24"/>
                <w:szCs w:val="28"/>
                <w:highlight w:val="none"/>
              </w:rPr>
            </w:pPr>
            <w:r>
              <w:rPr>
                <w:rFonts w:hint="eastAsia" w:ascii="宋体" w:hAnsi="宋体"/>
                <w:color w:val="auto"/>
                <w:sz w:val="24"/>
                <w:szCs w:val="28"/>
                <w:highlight w:val="none"/>
              </w:rPr>
              <w:t>符合招标文件要求</w:t>
            </w:r>
          </w:p>
        </w:tc>
        <w:tc>
          <w:tcPr>
            <w:tcW w:w="709" w:type="dxa"/>
            <w:vAlign w:val="center"/>
          </w:tcPr>
          <w:p>
            <w:pPr>
              <w:adjustRightInd w:val="0"/>
              <w:snapToGrid w:val="0"/>
              <w:spacing w:line="360" w:lineRule="auto"/>
              <w:ind w:right="-10"/>
              <w:jc w:val="center"/>
              <w:rPr>
                <w:rFonts w:ascii="宋体" w:hAnsi="宋体"/>
                <w:color w:val="auto"/>
                <w:sz w:val="24"/>
                <w:highlight w:val="none"/>
              </w:rPr>
            </w:pPr>
          </w:p>
        </w:tc>
        <w:tc>
          <w:tcPr>
            <w:tcW w:w="3112" w:type="dxa"/>
            <w:vAlign w:val="center"/>
          </w:tcPr>
          <w:p>
            <w:pPr>
              <w:adjustRightInd w:val="0"/>
              <w:snapToGrid w:val="0"/>
              <w:spacing w:line="360" w:lineRule="auto"/>
              <w:ind w:right="-10"/>
              <w:jc w:val="center"/>
              <w:rPr>
                <w:rFonts w:ascii="宋体" w:hAnsi="宋体"/>
                <w:color w:val="auto"/>
                <w:sz w:val="24"/>
                <w:highlight w:val="none"/>
              </w:rPr>
            </w:pPr>
            <w:r>
              <w:rPr>
                <w:rFonts w:hint="eastAsia" w:ascii="宋体" w:hAnsi="宋体"/>
                <w:color w:val="auto"/>
                <w:sz w:val="24"/>
                <w:highlight w:val="none"/>
              </w:rPr>
              <w:t>要求详见第七章投标文件格式“投标授权书”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09" w:type="dxa"/>
            <w:vAlign w:val="center"/>
          </w:tcPr>
          <w:p>
            <w:pPr>
              <w:adjustRightInd w:val="0"/>
              <w:snapToGrid w:val="0"/>
              <w:spacing w:line="360" w:lineRule="auto"/>
              <w:ind w:right="-10"/>
              <w:jc w:val="center"/>
              <w:rPr>
                <w:rFonts w:ascii="宋体" w:hAnsi="宋体"/>
                <w:color w:val="auto"/>
                <w:sz w:val="24"/>
                <w:highlight w:val="none"/>
              </w:rPr>
            </w:pPr>
            <w:r>
              <w:rPr>
                <w:rFonts w:hint="eastAsia" w:ascii="宋体" w:hAnsi="宋体"/>
                <w:color w:val="auto"/>
                <w:sz w:val="24"/>
                <w:highlight w:val="none"/>
              </w:rPr>
              <w:t>5</w:t>
            </w:r>
          </w:p>
        </w:tc>
        <w:tc>
          <w:tcPr>
            <w:tcW w:w="2417" w:type="dxa"/>
            <w:vAlign w:val="center"/>
          </w:tcPr>
          <w:p>
            <w:pPr>
              <w:spacing w:after="50" w:line="360" w:lineRule="auto"/>
              <w:ind w:right="-10"/>
              <w:jc w:val="center"/>
              <w:rPr>
                <w:rFonts w:ascii="宋体" w:hAnsi="宋体"/>
                <w:color w:val="auto"/>
                <w:sz w:val="24"/>
                <w:szCs w:val="28"/>
                <w:highlight w:val="none"/>
              </w:rPr>
            </w:pPr>
            <w:r>
              <w:rPr>
                <w:rFonts w:hint="eastAsia" w:ascii="宋体" w:hAnsi="宋体"/>
                <w:color w:val="auto"/>
                <w:sz w:val="24"/>
                <w:szCs w:val="28"/>
                <w:highlight w:val="none"/>
              </w:rPr>
              <w:t>投标人信用记录证明材料</w:t>
            </w:r>
          </w:p>
        </w:tc>
        <w:tc>
          <w:tcPr>
            <w:tcW w:w="2261" w:type="dxa"/>
            <w:vAlign w:val="center"/>
          </w:tcPr>
          <w:p>
            <w:pPr>
              <w:spacing w:after="50" w:line="360" w:lineRule="auto"/>
              <w:ind w:right="-10"/>
              <w:jc w:val="center"/>
              <w:rPr>
                <w:rFonts w:ascii="宋体" w:hAnsi="宋体"/>
                <w:color w:val="auto"/>
                <w:sz w:val="24"/>
                <w:szCs w:val="28"/>
                <w:highlight w:val="none"/>
              </w:rPr>
            </w:pPr>
            <w:r>
              <w:rPr>
                <w:rFonts w:hint="eastAsia" w:ascii="宋体" w:hAnsi="宋体"/>
                <w:color w:val="auto"/>
                <w:sz w:val="24"/>
                <w:szCs w:val="28"/>
                <w:highlight w:val="none"/>
              </w:rPr>
              <w:t>符合招标文件要求</w:t>
            </w:r>
          </w:p>
        </w:tc>
        <w:tc>
          <w:tcPr>
            <w:tcW w:w="709" w:type="dxa"/>
            <w:vAlign w:val="center"/>
          </w:tcPr>
          <w:p>
            <w:pPr>
              <w:adjustRightInd w:val="0"/>
              <w:snapToGrid w:val="0"/>
              <w:spacing w:line="360" w:lineRule="auto"/>
              <w:ind w:right="-10"/>
              <w:jc w:val="center"/>
              <w:rPr>
                <w:rFonts w:ascii="宋体" w:hAnsi="宋体"/>
                <w:color w:val="auto"/>
                <w:sz w:val="24"/>
                <w:highlight w:val="none"/>
              </w:rPr>
            </w:pPr>
          </w:p>
        </w:tc>
        <w:tc>
          <w:tcPr>
            <w:tcW w:w="3112" w:type="dxa"/>
            <w:vAlign w:val="center"/>
          </w:tcPr>
          <w:p>
            <w:pPr>
              <w:adjustRightInd w:val="0"/>
              <w:snapToGrid w:val="0"/>
              <w:spacing w:line="360" w:lineRule="auto"/>
              <w:ind w:right="-10"/>
              <w:jc w:val="center"/>
              <w:rPr>
                <w:rFonts w:ascii="宋体" w:hAnsi="宋体"/>
                <w:color w:val="auto"/>
                <w:sz w:val="24"/>
                <w:highlight w:val="none"/>
              </w:rPr>
            </w:pPr>
            <w:r>
              <w:rPr>
                <w:rFonts w:hint="eastAsia" w:ascii="宋体" w:hAnsi="宋体"/>
                <w:color w:val="auto"/>
                <w:sz w:val="24"/>
                <w:highlight w:val="none"/>
              </w:rPr>
              <w:t>具体详见</w:t>
            </w:r>
            <w:r>
              <w:rPr>
                <w:rFonts w:hint="eastAsia" w:ascii="宋体" w:hAnsi="宋体"/>
                <w:color w:val="auto"/>
                <w:sz w:val="24"/>
                <w:szCs w:val="24"/>
                <w:highlight w:val="none"/>
              </w:rPr>
              <w:t>第七章响应文件格式</w:t>
            </w:r>
            <w:r>
              <w:rPr>
                <w:rFonts w:hint="eastAsia" w:ascii="宋体" w:hAnsi="宋体"/>
                <w:color w:val="auto"/>
                <w:sz w:val="24"/>
                <w:highlight w:val="none"/>
              </w:rPr>
              <w:t>“</w:t>
            </w:r>
            <w:r>
              <w:rPr>
                <w:rFonts w:hint="eastAsia" w:ascii="宋体" w:hAnsi="宋体"/>
                <w:color w:val="auto"/>
                <w:sz w:val="24"/>
                <w:szCs w:val="24"/>
                <w:highlight w:val="none"/>
              </w:rPr>
              <w:t>投标人信用承诺</w:t>
            </w:r>
            <w:r>
              <w:rPr>
                <w:rFonts w:hint="eastAsia" w:ascii="宋体" w:hAnsi="宋体"/>
                <w:color w:val="auto"/>
                <w:sz w:val="24"/>
                <w:highlight w:val="none"/>
              </w:rPr>
              <w:t>”</w:t>
            </w:r>
            <w:r>
              <w:rPr>
                <w:rFonts w:hint="eastAsia" w:ascii="宋体" w:hAnsi="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pPr>
              <w:adjustRightInd w:val="0"/>
              <w:snapToGrid w:val="0"/>
              <w:spacing w:line="360" w:lineRule="auto"/>
              <w:ind w:right="-10"/>
              <w:jc w:val="center"/>
              <w:rPr>
                <w:rFonts w:ascii="宋体" w:hAnsi="宋体"/>
                <w:color w:val="auto"/>
                <w:sz w:val="24"/>
                <w:highlight w:val="none"/>
              </w:rPr>
            </w:pPr>
            <w:r>
              <w:rPr>
                <w:rFonts w:hint="eastAsia" w:ascii="宋体" w:hAnsi="宋体"/>
                <w:color w:val="auto"/>
                <w:sz w:val="24"/>
                <w:highlight w:val="none"/>
              </w:rPr>
              <w:t>6</w:t>
            </w:r>
          </w:p>
        </w:tc>
        <w:tc>
          <w:tcPr>
            <w:tcW w:w="2417" w:type="dxa"/>
            <w:vAlign w:val="center"/>
          </w:tcPr>
          <w:p>
            <w:pPr>
              <w:spacing w:after="50" w:line="360" w:lineRule="auto"/>
              <w:ind w:right="-10"/>
              <w:jc w:val="center"/>
              <w:rPr>
                <w:rFonts w:ascii="宋体" w:hAnsi="宋体"/>
                <w:color w:val="auto"/>
                <w:sz w:val="24"/>
                <w:highlight w:val="none"/>
              </w:rPr>
            </w:pPr>
            <w:r>
              <w:rPr>
                <w:rFonts w:hint="eastAsia" w:ascii="宋体" w:hAnsi="宋体"/>
                <w:color w:val="auto"/>
                <w:sz w:val="24"/>
                <w:highlight w:val="none"/>
              </w:rPr>
              <w:t>开标一览表</w:t>
            </w:r>
          </w:p>
        </w:tc>
        <w:tc>
          <w:tcPr>
            <w:tcW w:w="2261" w:type="dxa"/>
            <w:vAlign w:val="center"/>
          </w:tcPr>
          <w:p>
            <w:pPr>
              <w:spacing w:after="50" w:line="360" w:lineRule="auto"/>
              <w:ind w:right="-10"/>
              <w:jc w:val="center"/>
              <w:rPr>
                <w:rFonts w:ascii="宋体" w:hAnsi="宋体"/>
                <w:color w:val="auto"/>
                <w:sz w:val="24"/>
                <w:highlight w:val="none"/>
              </w:rPr>
            </w:pPr>
            <w:r>
              <w:rPr>
                <w:rFonts w:hint="eastAsia" w:ascii="宋体" w:hAnsi="宋体"/>
                <w:color w:val="auto"/>
                <w:sz w:val="24"/>
                <w:szCs w:val="28"/>
                <w:highlight w:val="none"/>
              </w:rPr>
              <w:t>符合招标文件要求</w:t>
            </w:r>
          </w:p>
        </w:tc>
        <w:tc>
          <w:tcPr>
            <w:tcW w:w="709" w:type="dxa"/>
            <w:vAlign w:val="center"/>
          </w:tcPr>
          <w:p>
            <w:pPr>
              <w:adjustRightInd w:val="0"/>
              <w:snapToGrid w:val="0"/>
              <w:spacing w:line="360" w:lineRule="auto"/>
              <w:ind w:right="-10"/>
              <w:jc w:val="center"/>
              <w:rPr>
                <w:rFonts w:ascii="宋体" w:hAnsi="宋体"/>
                <w:color w:val="auto"/>
                <w:sz w:val="24"/>
                <w:highlight w:val="none"/>
              </w:rPr>
            </w:pPr>
          </w:p>
        </w:tc>
        <w:tc>
          <w:tcPr>
            <w:tcW w:w="3112" w:type="dxa"/>
            <w:vAlign w:val="center"/>
          </w:tcPr>
          <w:p>
            <w:pPr>
              <w:adjustRightInd w:val="0"/>
              <w:snapToGrid w:val="0"/>
              <w:spacing w:line="360" w:lineRule="auto"/>
              <w:ind w:right="-10"/>
              <w:jc w:val="center"/>
              <w:rPr>
                <w:rFonts w:ascii="宋体" w:hAnsi="宋体"/>
                <w:color w:val="auto"/>
                <w:sz w:val="24"/>
                <w:highlight w:val="none"/>
              </w:rPr>
            </w:pPr>
            <w:r>
              <w:rPr>
                <w:rFonts w:hint="eastAsia" w:ascii="宋体" w:hAnsi="宋体"/>
                <w:color w:val="auto"/>
                <w:sz w:val="24"/>
                <w:highlight w:val="none"/>
              </w:rPr>
              <w:t>第七章投标文件格式一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pPr>
              <w:adjustRightInd w:val="0"/>
              <w:snapToGrid w:val="0"/>
              <w:spacing w:line="360" w:lineRule="auto"/>
              <w:ind w:right="-10"/>
              <w:jc w:val="center"/>
              <w:rPr>
                <w:rFonts w:ascii="宋体" w:hAnsi="宋体"/>
                <w:color w:val="auto"/>
                <w:sz w:val="24"/>
                <w:highlight w:val="none"/>
              </w:rPr>
            </w:pPr>
            <w:r>
              <w:rPr>
                <w:rFonts w:hint="eastAsia" w:ascii="宋体" w:hAnsi="宋体"/>
                <w:color w:val="auto"/>
                <w:sz w:val="24"/>
                <w:highlight w:val="none"/>
              </w:rPr>
              <w:t>7</w:t>
            </w:r>
          </w:p>
        </w:tc>
        <w:tc>
          <w:tcPr>
            <w:tcW w:w="2417" w:type="dxa"/>
            <w:vAlign w:val="center"/>
          </w:tcPr>
          <w:p>
            <w:pPr>
              <w:spacing w:after="50" w:line="360" w:lineRule="auto"/>
              <w:ind w:right="-10"/>
              <w:jc w:val="center"/>
              <w:rPr>
                <w:rFonts w:ascii="宋体" w:hAnsi="宋体"/>
                <w:color w:val="auto"/>
                <w:sz w:val="24"/>
                <w:szCs w:val="28"/>
                <w:highlight w:val="none"/>
              </w:rPr>
            </w:pPr>
            <w:r>
              <w:rPr>
                <w:rFonts w:hint="eastAsia" w:ascii="宋体" w:hAnsi="宋体"/>
                <w:color w:val="auto"/>
                <w:sz w:val="24"/>
                <w:szCs w:val="28"/>
                <w:highlight w:val="none"/>
              </w:rPr>
              <w:t>投标报价</w:t>
            </w:r>
          </w:p>
        </w:tc>
        <w:tc>
          <w:tcPr>
            <w:tcW w:w="2261" w:type="dxa"/>
            <w:vAlign w:val="center"/>
          </w:tcPr>
          <w:p>
            <w:pPr>
              <w:spacing w:after="50" w:line="360" w:lineRule="auto"/>
              <w:ind w:right="-10"/>
              <w:jc w:val="center"/>
              <w:rPr>
                <w:rFonts w:ascii="宋体" w:hAnsi="宋体"/>
                <w:bCs/>
                <w:color w:val="auto"/>
                <w:sz w:val="24"/>
                <w:highlight w:val="none"/>
              </w:rPr>
            </w:pPr>
            <w:r>
              <w:rPr>
                <w:rFonts w:hint="eastAsia" w:ascii="宋体" w:hAnsi="宋体"/>
                <w:color w:val="auto"/>
                <w:sz w:val="24"/>
                <w:szCs w:val="28"/>
                <w:highlight w:val="none"/>
              </w:rPr>
              <w:t>符合招标文件要求</w:t>
            </w:r>
          </w:p>
        </w:tc>
        <w:tc>
          <w:tcPr>
            <w:tcW w:w="709" w:type="dxa"/>
            <w:vAlign w:val="center"/>
          </w:tcPr>
          <w:p>
            <w:pPr>
              <w:adjustRightInd w:val="0"/>
              <w:snapToGrid w:val="0"/>
              <w:spacing w:line="360" w:lineRule="auto"/>
              <w:ind w:right="-10"/>
              <w:jc w:val="center"/>
              <w:rPr>
                <w:rFonts w:ascii="宋体" w:hAnsi="宋体"/>
                <w:color w:val="auto"/>
                <w:sz w:val="24"/>
                <w:highlight w:val="none"/>
              </w:rPr>
            </w:pPr>
          </w:p>
        </w:tc>
        <w:tc>
          <w:tcPr>
            <w:tcW w:w="3112" w:type="dxa"/>
            <w:vAlign w:val="center"/>
          </w:tcPr>
          <w:p>
            <w:pPr>
              <w:adjustRightInd w:val="0"/>
              <w:snapToGrid w:val="0"/>
              <w:spacing w:line="360" w:lineRule="auto"/>
              <w:ind w:right="-1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pPr>
              <w:adjustRightInd w:val="0"/>
              <w:snapToGrid w:val="0"/>
              <w:spacing w:line="360" w:lineRule="auto"/>
              <w:ind w:right="-10"/>
              <w:jc w:val="center"/>
              <w:rPr>
                <w:rFonts w:ascii="宋体" w:hAnsi="宋体"/>
                <w:color w:val="auto"/>
                <w:sz w:val="24"/>
                <w:highlight w:val="none"/>
              </w:rPr>
            </w:pPr>
            <w:r>
              <w:rPr>
                <w:rFonts w:hint="eastAsia" w:ascii="宋体" w:hAnsi="宋体"/>
                <w:color w:val="auto"/>
                <w:sz w:val="24"/>
                <w:highlight w:val="none"/>
              </w:rPr>
              <w:t>8</w:t>
            </w:r>
          </w:p>
        </w:tc>
        <w:tc>
          <w:tcPr>
            <w:tcW w:w="2417" w:type="dxa"/>
            <w:vAlign w:val="center"/>
          </w:tcPr>
          <w:p>
            <w:pPr>
              <w:spacing w:after="50" w:line="360" w:lineRule="auto"/>
              <w:ind w:right="-10"/>
              <w:jc w:val="center"/>
              <w:rPr>
                <w:rFonts w:ascii="宋体" w:hAnsi="宋体"/>
                <w:color w:val="auto"/>
                <w:sz w:val="24"/>
                <w:szCs w:val="28"/>
                <w:highlight w:val="none"/>
              </w:rPr>
            </w:pPr>
            <w:r>
              <w:rPr>
                <w:rFonts w:hint="eastAsia" w:ascii="宋体" w:hAnsi="宋体"/>
                <w:color w:val="auto"/>
                <w:sz w:val="24"/>
                <w:szCs w:val="28"/>
                <w:highlight w:val="none"/>
              </w:rPr>
              <w:t>投标人资格</w:t>
            </w:r>
          </w:p>
        </w:tc>
        <w:tc>
          <w:tcPr>
            <w:tcW w:w="2261" w:type="dxa"/>
            <w:vAlign w:val="center"/>
          </w:tcPr>
          <w:p>
            <w:pPr>
              <w:spacing w:after="50" w:line="360" w:lineRule="auto"/>
              <w:ind w:right="-10"/>
              <w:jc w:val="center"/>
              <w:rPr>
                <w:rFonts w:ascii="宋体" w:hAnsi="宋体"/>
                <w:color w:val="auto"/>
                <w:sz w:val="24"/>
                <w:szCs w:val="28"/>
                <w:highlight w:val="none"/>
              </w:rPr>
            </w:pPr>
            <w:r>
              <w:rPr>
                <w:rFonts w:hint="eastAsia" w:ascii="宋体" w:hAnsi="宋体"/>
                <w:color w:val="auto"/>
                <w:sz w:val="24"/>
                <w:szCs w:val="28"/>
                <w:highlight w:val="none"/>
              </w:rPr>
              <w:t>符合招标公告要求</w:t>
            </w:r>
          </w:p>
        </w:tc>
        <w:tc>
          <w:tcPr>
            <w:tcW w:w="709" w:type="dxa"/>
            <w:vAlign w:val="center"/>
          </w:tcPr>
          <w:p>
            <w:pPr>
              <w:adjustRightInd w:val="0"/>
              <w:snapToGrid w:val="0"/>
              <w:spacing w:line="360" w:lineRule="auto"/>
              <w:ind w:right="-10"/>
              <w:jc w:val="center"/>
              <w:rPr>
                <w:rFonts w:ascii="宋体" w:hAnsi="宋体"/>
                <w:color w:val="auto"/>
                <w:sz w:val="24"/>
                <w:highlight w:val="none"/>
              </w:rPr>
            </w:pPr>
          </w:p>
        </w:tc>
        <w:tc>
          <w:tcPr>
            <w:tcW w:w="3112" w:type="dxa"/>
            <w:vAlign w:val="center"/>
          </w:tcPr>
          <w:p>
            <w:pPr>
              <w:adjustRightInd w:val="0"/>
              <w:snapToGrid w:val="0"/>
              <w:spacing w:line="360" w:lineRule="auto"/>
              <w:ind w:right="-10"/>
              <w:jc w:val="center"/>
              <w:rPr>
                <w:rFonts w:ascii="宋体" w:hAnsi="宋体"/>
                <w:bCs/>
                <w:color w:val="auto"/>
                <w:sz w:val="24"/>
                <w:szCs w:val="24"/>
                <w:highlight w:val="none"/>
              </w:rPr>
            </w:pPr>
            <w:r>
              <w:rPr>
                <w:rFonts w:hint="eastAsia" w:ascii="宋体" w:hAnsi="宋体"/>
                <w:color w:val="auto"/>
                <w:sz w:val="24"/>
                <w:szCs w:val="24"/>
                <w:highlight w:val="none"/>
              </w:rPr>
              <w:t>1.详见第一章投标邀请</w:t>
            </w:r>
            <w:r>
              <w:rPr>
                <w:rFonts w:hint="eastAsia" w:ascii="宋体" w:hAnsi="宋体"/>
                <w:color w:val="auto"/>
                <w:sz w:val="24"/>
                <w:highlight w:val="none"/>
              </w:rPr>
              <w:t>“</w:t>
            </w:r>
            <w:r>
              <w:rPr>
                <w:rFonts w:hint="eastAsia" w:ascii="宋体" w:hAnsi="宋体"/>
                <w:color w:val="auto"/>
                <w:sz w:val="24"/>
                <w:szCs w:val="24"/>
                <w:highlight w:val="none"/>
              </w:rPr>
              <w:t>投标人资格</w:t>
            </w:r>
            <w:r>
              <w:rPr>
                <w:rFonts w:hint="eastAsia" w:ascii="宋体" w:hAnsi="宋体"/>
                <w:color w:val="auto"/>
                <w:sz w:val="24"/>
                <w:highlight w:val="none"/>
              </w:rPr>
              <w:t>”</w:t>
            </w:r>
            <w:r>
              <w:rPr>
                <w:rFonts w:hint="eastAsia" w:ascii="宋体" w:hAnsi="宋体"/>
                <w:bCs/>
                <w:color w:val="auto"/>
                <w:sz w:val="24"/>
                <w:szCs w:val="24"/>
                <w:highlight w:val="none"/>
              </w:rPr>
              <w:t>；</w:t>
            </w:r>
          </w:p>
          <w:p>
            <w:pPr>
              <w:adjustRightInd w:val="0"/>
              <w:snapToGrid w:val="0"/>
              <w:spacing w:line="360" w:lineRule="auto"/>
              <w:ind w:right="-10"/>
              <w:rPr>
                <w:rFonts w:ascii="宋体" w:hAnsi="宋体"/>
                <w:color w:val="auto"/>
                <w:sz w:val="24"/>
                <w:highlight w:val="none"/>
              </w:rPr>
            </w:pPr>
            <w:r>
              <w:rPr>
                <w:rFonts w:hint="eastAsia" w:ascii="宋体" w:hAnsi="宋体"/>
                <w:color w:val="auto"/>
                <w:sz w:val="24"/>
                <w:highlight w:val="none"/>
              </w:rPr>
              <w:t>2.提供资质证书扫描件。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pPr>
              <w:adjustRightInd w:val="0"/>
              <w:snapToGrid w:val="0"/>
              <w:spacing w:line="360" w:lineRule="auto"/>
              <w:ind w:right="-10"/>
              <w:jc w:val="center"/>
              <w:rPr>
                <w:rFonts w:ascii="宋体" w:hAnsi="宋体"/>
                <w:color w:val="auto"/>
                <w:sz w:val="24"/>
                <w:highlight w:val="none"/>
              </w:rPr>
            </w:pPr>
            <w:r>
              <w:rPr>
                <w:rFonts w:hint="eastAsia" w:ascii="宋体" w:hAnsi="宋体"/>
                <w:color w:val="auto"/>
                <w:sz w:val="24"/>
                <w:highlight w:val="none"/>
              </w:rPr>
              <w:t>9</w:t>
            </w:r>
          </w:p>
        </w:tc>
        <w:tc>
          <w:tcPr>
            <w:tcW w:w="2417" w:type="dxa"/>
            <w:vAlign w:val="center"/>
          </w:tcPr>
          <w:p>
            <w:pPr>
              <w:spacing w:after="50" w:line="360" w:lineRule="auto"/>
              <w:ind w:right="-10"/>
              <w:jc w:val="center"/>
              <w:rPr>
                <w:rFonts w:ascii="宋体" w:hAnsi="宋体"/>
                <w:color w:val="auto"/>
                <w:sz w:val="24"/>
                <w:szCs w:val="28"/>
                <w:highlight w:val="none"/>
              </w:rPr>
            </w:pPr>
            <w:r>
              <w:rPr>
                <w:rFonts w:hint="eastAsia" w:ascii="宋体" w:hAnsi="宋体"/>
                <w:color w:val="auto"/>
                <w:sz w:val="24"/>
                <w:szCs w:val="28"/>
                <w:highlight w:val="none"/>
              </w:rPr>
              <w:t>服务本项目团队成员</w:t>
            </w:r>
          </w:p>
        </w:tc>
        <w:tc>
          <w:tcPr>
            <w:tcW w:w="2261" w:type="dxa"/>
            <w:vAlign w:val="center"/>
          </w:tcPr>
          <w:p>
            <w:pPr>
              <w:spacing w:after="50" w:line="360" w:lineRule="auto"/>
              <w:ind w:right="-10"/>
              <w:jc w:val="center"/>
              <w:rPr>
                <w:rFonts w:ascii="宋体" w:hAnsi="宋体"/>
                <w:color w:val="auto"/>
                <w:sz w:val="24"/>
                <w:szCs w:val="28"/>
                <w:highlight w:val="none"/>
              </w:rPr>
            </w:pPr>
            <w:r>
              <w:rPr>
                <w:rFonts w:hint="eastAsia" w:ascii="宋体" w:hAnsi="宋体"/>
                <w:color w:val="auto"/>
                <w:sz w:val="24"/>
                <w:szCs w:val="28"/>
                <w:highlight w:val="none"/>
              </w:rPr>
              <w:t>符合招标公告要求</w:t>
            </w:r>
          </w:p>
        </w:tc>
        <w:tc>
          <w:tcPr>
            <w:tcW w:w="709" w:type="dxa"/>
            <w:vAlign w:val="center"/>
          </w:tcPr>
          <w:p>
            <w:pPr>
              <w:adjustRightInd w:val="0"/>
              <w:snapToGrid w:val="0"/>
              <w:spacing w:line="360" w:lineRule="auto"/>
              <w:ind w:right="-10"/>
              <w:jc w:val="center"/>
              <w:rPr>
                <w:rFonts w:ascii="宋体" w:hAnsi="宋体"/>
                <w:color w:val="auto"/>
                <w:sz w:val="24"/>
                <w:highlight w:val="none"/>
              </w:rPr>
            </w:pPr>
          </w:p>
        </w:tc>
        <w:tc>
          <w:tcPr>
            <w:tcW w:w="3112" w:type="dxa"/>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详见第四章投标需求；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09" w:type="dxa"/>
            <w:vAlign w:val="center"/>
          </w:tcPr>
          <w:p>
            <w:pPr>
              <w:adjustRightInd w:val="0"/>
              <w:snapToGrid w:val="0"/>
              <w:spacing w:line="360" w:lineRule="auto"/>
              <w:ind w:right="-10"/>
              <w:jc w:val="center"/>
              <w:rPr>
                <w:rFonts w:ascii="宋体" w:hAnsi="宋体"/>
                <w:color w:val="auto"/>
                <w:sz w:val="24"/>
                <w:highlight w:val="none"/>
              </w:rPr>
            </w:pPr>
            <w:r>
              <w:rPr>
                <w:rFonts w:hint="eastAsia" w:ascii="宋体" w:hAnsi="宋体"/>
                <w:color w:val="auto"/>
                <w:sz w:val="24"/>
                <w:highlight w:val="none"/>
              </w:rPr>
              <w:t>10</w:t>
            </w:r>
          </w:p>
        </w:tc>
        <w:tc>
          <w:tcPr>
            <w:tcW w:w="2417" w:type="dxa"/>
            <w:vAlign w:val="center"/>
          </w:tcPr>
          <w:p>
            <w:pPr>
              <w:autoSpaceDE w:val="0"/>
              <w:autoSpaceDN w:val="0"/>
              <w:adjustRightInd w:val="0"/>
              <w:spacing w:line="400" w:lineRule="exact"/>
              <w:ind w:firstLine="200"/>
              <w:jc w:val="left"/>
              <w:rPr>
                <w:rFonts w:ascii="宋体" w:hAnsi="宋体"/>
                <w:color w:val="auto"/>
                <w:sz w:val="24"/>
                <w:szCs w:val="24"/>
                <w:highlight w:val="none"/>
              </w:rPr>
            </w:pPr>
            <w:r>
              <w:rPr>
                <w:rFonts w:hint="eastAsia" w:ascii="宋体" w:hAnsi="宋体"/>
                <w:color w:val="auto"/>
                <w:sz w:val="24"/>
                <w:szCs w:val="24"/>
                <w:highlight w:val="none"/>
              </w:rPr>
              <w:t>投标保证金</w:t>
            </w:r>
          </w:p>
        </w:tc>
        <w:tc>
          <w:tcPr>
            <w:tcW w:w="2261" w:type="dxa"/>
            <w:vAlign w:val="center"/>
          </w:tcPr>
          <w:p>
            <w:pPr>
              <w:spacing w:line="400" w:lineRule="exact"/>
              <w:ind w:right="-11"/>
              <w:jc w:val="center"/>
              <w:rPr>
                <w:rFonts w:ascii="宋体" w:hAnsi="宋体"/>
                <w:color w:val="auto"/>
                <w:sz w:val="24"/>
                <w:szCs w:val="28"/>
                <w:highlight w:val="none"/>
              </w:rPr>
            </w:pPr>
            <w:r>
              <w:rPr>
                <w:rFonts w:hint="eastAsia" w:ascii="宋体" w:hAnsi="宋体"/>
                <w:color w:val="auto"/>
                <w:sz w:val="24"/>
                <w:szCs w:val="28"/>
                <w:highlight w:val="none"/>
              </w:rPr>
              <w:t>符合招标文件要求</w:t>
            </w:r>
          </w:p>
        </w:tc>
        <w:tc>
          <w:tcPr>
            <w:tcW w:w="709" w:type="dxa"/>
            <w:vAlign w:val="center"/>
          </w:tcPr>
          <w:p>
            <w:pPr>
              <w:adjustRightInd w:val="0"/>
              <w:snapToGrid w:val="0"/>
              <w:spacing w:line="360" w:lineRule="auto"/>
              <w:ind w:right="-10"/>
              <w:jc w:val="center"/>
              <w:rPr>
                <w:rFonts w:ascii="宋体" w:hAnsi="宋体"/>
                <w:color w:val="auto"/>
                <w:sz w:val="24"/>
                <w:highlight w:val="none"/>
              </w:rPr>
            </w:pPr>
          </w:p>
        </w:tc>
        <w:tc>
          <w:tcPr>
            <w:tcW w:w="3112" w:type="dxa"/>
            <w:vAlign w:val="center"/>
          </w:tcPr>
          <w:p>
            <w:pPr>
              <w:adjustRightInd w:val="0"/>
              <w:snapToGrid w:val="0"/>
              <w:spacing w:line="360" w:lineRule="auto"/>
              <w:ind w:right="-1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pPr>
              <w:adjustRightInd w:val="0"/>
              <w:snapToGrid w:val="0"/>
              <w:spacing w:line="360" w:lineRule="auto"/>
              <w:ind w:right="-10"/>
              <w:jc w:val="center"/>
              <w:rPr>
                <w:rFonts w:ascii="宋体" w:hAnsi="宋体"/>
                <w:color w:val="auto"/>
                <w:sz w:val="24"/>
                <w:highlight w:val="none"/>
              </w:rPr>
            </w:pPr>
            <w:r>
              <w:rPr>
                <w:rFonts w:hint="eastAsia" w:ascii="宋体" w:hAnsi="宋体"/>
                <w:color w:val="auto"/>
                <w:sz w:val="24"/>
                <w:highlight w:val="none"/>
              </w:rPr>
              <w:t>11</w:t>
            </w:r>
          </w:p>
        </w:tc>
        <w:tc>
          <w:tcPr>
            <w:tcW w:w="2417" w:type="dxa"/>
            <w:vAlign w:val="center"/>
          </w:tcPr>
          <w:p>
            <w:pPr>
              <w:spacing w:after="50" w:line="360" w:lineRule="auto"/>
              <w:ind w:right="-10"/>
              <w:jc w:val="center"/>
              <w:rPr>
                <w:rFonts w:ascii="宋体" w:hAnsi="宋体"/>
                <w:color w:val="auto"/>
                <w:sz w:val="24"/>
                <w:szCs w:val="28"/>
                <w:highlight w:val="none"/>
              </w:rPr>
            </w:pPr>
            <w:r>
              <w:rPr>
                <w:rFonts w:hint="eastAsia" w:ascii="宋体" w:hAnsi="宋体"/>
                <w:color w:val="auto"/>
                <w:sz w:val="24"/>
                <w:szCs w:val="28"/>
                <w:highlight w:val="none"/>
              </w:rPr>
              <w:t>标书响应情况</w:t>
            </w:r>
          </w:p>
        </w:tc>
        <w:tc>
          <w:tcPr>
            <w:tcW w:w="2261" w:type="dxa"/>
            <w:vAlign w:val="center"/>
          </w:tcPr>
          <w:p>
            <w:pPr>
              <w:spacing w:after="50" w:line="360" w:lineRule="auto"/>
              <w:ind w:right="-10"/>
              <w:jc w:val="center"/>
              <w:rPr>
                <w:rFonts w:ascii="宋体" w:hAnsi="宋体"/>
                <w:color w:val="auto"/>
                <w:sz w:val="24"/>
                <w:szCs w:val="28"/>
                <w:highlight w:val="none"/>
              </w:rPr>
            </w:pPr>
            <w:r>
              <w:rPr>
                <w:rFonts w:hint="eastAsia" w:ascii="宋体" w:hAnsi="宋体"/>
                <w:color w:val="auto"/>
                <w:sz w:val="24"/>
                <w:szCs w:val="28"/>
                <w:highlight w:val="none"/>
              </w:rPr>
              <w:t>付款响应、服务期限响应等</w:t>
            </w:r>
          </w:p>
        </w:tc>
        <w:tc>
          <w:tcPr>
            <w:tcW w:w="709" w:type="dxa"/>
            <w:vAlign w:val="center"/>
          </w:tcPr>
          <w:p>
            <w:pPr>
              <w:adjustRightInd w:val="0"/>
              <w:snapToGrid w:val="0"/>
              <w:spacing w:line="360" w:lineRule="auto"/>
              <w:ind w:right="-10"/>
              <w:jc w:val="center"/>
              <w:rPr>
                <w:rFonts w:ascii="宋体" w:hAnsi="宋体"/>
                <w:color w:val="auto"/>
                <w:sz w:val="24"/>
                <w:szCs w:val="28"/>
                <w:highlight w:val="none"/>
              </w:rPr>
            </w:pPr>
          </w:p>
        </w:tc>
        <w:tc>
          <w:tcPr>
            <w:tcW w:w="3112" w:type="dxa"/>
            <w:vAlign w:val="center"/>
          </w:tcPr>
          <w:p>
            <w:pPr>
              <w:adjustRightInd w:val="0"/>
              <w:snapToGrid w:val="0"/>
              <w:spacing w:line="360" w:lineRule="auto"/>
              <w:ind w:right="-10"/>
              <w:jc w:val="center"/>
              <w:rPr>
                <w:rFonts w:ascii="宋体" w:hAnsi="宋体"/>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pPr>
              <w:adjustRightInd w:val="0"/>
              <w:snapToGrid w:val="0"/>
              <w:spacing w:line="360" w:lineRule="auto"/>
              <w:ind w:right="-10"/>
              <w:jc w:val="center"/>
              <w:rPr>
                <w:rFonts w:ascii="宋体" w:hAnsi="宋体"/>
                <w:color w:val="auto"/>
                <w:sz w:val="24"/>
                <w:highlight w:val="none"/>
              </w:rPr>
            </w:pPr>
            <w:r>
              <w:rPr>
                <w:rFonts w:hint="eastAsia" w:ascii="宋体" w:hAnsi="宋体"/>
                <w:color w:val="auto"/>
                <w:sz w:val="24"/>
                <w:highlight w:val="none"/>
              </w:rPr>
              <w:t>12</w:t>
            </w:r>
          </w:p>
        </w:tc>
        <w:tc>
          <w:tcPr>
            <w:tcW w:w="2417" w:type="dxa"/>
            <w:vAlign w:val="center"/>
          </w:tcPr>
          <w:p>
            <w:pPr>
              <w:spacing w:after="50" w:line="360" w:lineRule="auto"/>
              <w:ind w:right="-10"/>
              <w:jc w:val="center"/>
              <w:rPr>
                <w:rFonts w:ascii="宋体" w:hAnsi="宋体"/>
                <w:color w:val="auto"/>
                <w:sz w:val="24"/>
                <w:highlight w:val="none"/>
              </w:rPr>
            </w:pPr>
            <w:r>
              <w:rPr>
                <w:rFonts w:hint="eastAsia" w:ascii="宋体" w:hAnsi="宋体"/>
                <w:color w:val="auto"/>
                <w:sz w:val="24"/>
                <w:highlight w:val="none"/>
              </w:rPr>
              <w:t>标书规范性</w:t>
            </w:r>
          </w:p>
        </w:tc>
        <w:tc>
          <w:tcPr>
            <w:tcW w:w="2261" w:type="dxa"/>
            <w:vAlign w:val="center"/>
          </w:tcPr>
          <w:p>
            <w:pPr>
              <w:pStyle w:val="111"/>
              <w:pBdr>
                <w:bottom w:val="none" w:color="auto" w:sz="0" w:space="0"/>
              </w:pBdr>
              <w:tabs>
                <w:tab w:val="clear" w:pos="4153"/>
                <w:tab w:val="clear" w:pos="8306"/>
              </w:tabs>
              <w:adjustRightInd/>
              <w:spacing w:after="50" w:line="360" w:lineRule="auto"/>
              <w:ind w:right="-10"/>
              <w:rPr>
                <w:rFonts w:ascii="宋体" w:hAnsi="宋体"/>
                <w:color w:val="auto"/>
                <w:kern w:val="2"/>
                <w:highlight w:val="none"/>
              </w:rPr>
            </w:pPr>
            <w:r>
              <w:rPr>
                <w:rFonts w:hint="eastAsia" w:ascii="宋体" w:hAnsi="宋体"/>
                <w:color w:val="auto"/>
                <w:highlight w:val="none"/>
              </w:rPr>
              <w:t>无严重的编排混乱、内容不全或字迹模糊辨认不清、前后矛盾情况，对评标无实质性影响的</w:t>
            </w:r>
          </w:p>
        </w:tc>
        <w:tc>
          <w:tcPr>
            <w:tcW w:w="709" w:type="dxa"/>
            <w:vAlign w:val="center"/>
          </w:tcPr>
          <w:p>
            <w:pPr>
              <w:adjustRightInd w:val="0"/>
              <w:snapToGrid w:val="0"/>
              <w:spacing w:line="360" w:lineRule="auto"/>
              <w:ind w:right="-10"/>
              <w:jc w:val="center"/>
              <w:rPr>
                <w:rFonts w:ascii="宋体" w:hAnsi="宋体"/>
                <w:color w:val="auto"/>
                <w:sz w:val="24"/>
                <w:szCs w:val="28"/>
                <w:highlight w:val="none"/>
              </w:rPr>
            </w:pPr>
          </w:p>
        </w:tc>
        <w:tc>
          <w:tcPr>
            <w:tcW w:w="3112" w:type="dxa"/>
            <w:vAlign w:val="center"/>
          </w:tcPr>
          <w:p>
            <w:pPr>
              <w:adjustRightInd w:val="0"/>
              <w:snapToGrid w:val="0"/>
              <w:spacing w:line="360" w:lineRule="auto"/>
              <w:ind w:right="-10"/>
              <w:jc w:val="center"/>
              <w:rPr>
                <w:rFonts w:ascii="宋体" w:hAnsi="宋体"/>
                <w:color w:val="auto"/>
                <w:sz w:val="24"/>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09" w:type="dxa"/>
            <w:vAlign w:val="center"/>
          </w:tcPr>
          <w:p>
            <w:pPr>
              <w:adjustRightInd w:val="0"/>
              <w:snapToGrid w:val="0"/>
              <w:spacing w:line="360" w:lineRule="auto"/>
              <w:ind w:right="-10"/>
              <w:jc w:val="center"/>
              <w:rPr>
                <w:rFonts w:ascii="宋体" w:hAnsi="宋体"/>
                <w:color w:val="auto"/>
                <w:sz w:val="24"/>
                <w:highlight w:val="none"/>
              </w:rPr>
            </w:pPr>
            <w:r>
              <w:rPr>
                <w:rFonts w:hint="eastAsia" w:ascii="宋体" w:hAnsi="宋体"/>
                <w:color w:val="auto"/>
                <w:sz w:val="24"/>
                <w:highlight w:val="none"/>
              </w:rPr>
              <w:t>13</w:t>
            </w:r>
          </w:p>
        </w:tc>
        <w:tc>
          <w:tcPr>
            <w:tcW w:w="2417" w:type="dxa"/>
            <w:vAlign w:val="center"/>
          </w:tcPr>
          <w:p>
            <w:pPr>
              <w:spacing w:after="50" w:line="360" w:lineRule="auto"/>
              <w:ind w:right="-10"/>
              <w:jc w:val="center"/>
              <w:rPr>
                <w:rFonts w:ascii="宋体" w:hAnsi="宋体"/>
                <w:color w:val="auto"/>
                <w:sz w:val="24"/>
                <w:szCs w:val="28"/>
                <w:highlight w:val="none"/>
              </w:rPr>
            </w:pPr>
            <w:r>
              <w:rPr>
                <w:rFonts w:hint="eastAsia" w:ascii="宋体" w:hAnsi="宋体"/>
                <w:color w:val="auto"/>
                <w:sz w:val="24"/>
                <w:szCs w:val="28"/>
                <w:highlight w:val="none"/>
              </w:rPr>
              <w:t>其他要求</w:t>
            </w:r>
          </w:p>
        </w:tc>
        <w:tc>
          <w:tcPr>
            <w:tcW w:w="2261" w:type="dxa"/>
            <w:vAlign w:val="center"/>
          </w:tcPr>
          <w:p>
            <w:pPr>
              <w:spacing w:after="50" w:line="360" w:lineRule="auto"/>
              <w:ind w:right="-10"/>
              <w:jc w:val="center"/>
              <w:rPr>
                <w:rFonts w:ascii="宋体" w:hAnsi="宋体"/>
                <w:color w:val="auto"/>
                <w:sz w:val="24"/>
                <w:szCs w:val="28"/>
                <w:highlight w:val="none"/>
              </w:rPr>
            </w:pPr>
            <w:r>
              <w:rPr>
                <w:rFonts w:hint="eastAsia" w:ascii="宋体" w:hAnsi="宋体"/>
                <w:color w:val="auto"/>
                <w:sz w:val="24"/>
                <w:szCs w:val="28"/>
                <w:highlight w:val="none"/>
              </w:rPr>
              <w:t>上述指标中未列出，但国家相关法律法规或招标文件有明确规定的</w:t>
            </w:r>
          </w:p>
        </w:tc>
        <w:tc>
          <w:tcPr>
            <w:tcW w:w="709" w:type="dxa"/>
            <w:vAlign w:val="center"/>
          </w:tcPr>
          <w:p>
            <w:pPr>
              <w:adjustRightInd w:val="0"/>
              <w:snapToGrid w:val="0"/>
              <w:spacing w:line="360" w:lineRule="auto"/>
              <w:ind w:right="-10"/>
              <w:jc w:val="center"/>
              <w:rPr>
                <w:rFonts w:ascii="宋体" w:hAnsi="宋体"/>
                <w:color w:val="auto"/>
                <w:sz w:val="24"/>
                <w:highlight w:val="none"/>
              </w:rPr>
            </w:pPr>
          </w:p>
        </w:tc>
        <w:tc>
          <w:tcPr>
            <w:tcW w:w="3112" w:type="dxa"/>
            <w:vAlign w:val="center"/>
          </w:tcPr>
          <w:p>
            <w:pPr>
              <w:adjustRightInd w:val="0"/>
              <w:snapToGrid w:val="0"/>
              <w:spacing w:line="360" w:lineRule="auto"/>
              <w:ind w:right="-10"/>
              <w:jc w:val="center"/>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08" w:type="dxa"/>
            <w:gridSpan w:val="5"/>
            <w:vAlign w:val="center"/>
          </w:tcPr>
          <w:p>
            <w:pPr>
              <w:spacing w:before="139" w:line="400" w:lineRule="exact"/>
              <w:rPr>
                <w:rFonts w:ascii="宋体" w:hAnsi="宋体"/>
                <w:color w:val="auto"/>
                <w:sz w:val="24"/>
                <w:szCs w:val="28"/>
                <w:highlight w:val="none"/>
              </w:rPr>
            </w:pPr>
            <w:r>
              <w:rPr>
                <w:rFonts w:hint="eastAsia" w:ascii="宋体" w:hAnsi="宋体"/>
                <w:color w:val="auto"/>
                <w:sz w:val="24"/>
                <w:szCs w:val="20"/>
                <w:highlight w:val="none"/>
              </w:rPr>
              <w:t>评</w:t>
            </w:r>
            <w:r>
              <w:rPr>
                <w:rFonts w:hint="eastAsia" w:ascii="宋体" w:hAnsi="宋体"/>
                <w:color w:val="auto"/>
                <w:sz w:val="24"/>
                <w:szCs w:val="28"/>
                <w:highlight w:val="none"/>
              </w:rPr>
              <w:t>审指标通过标准：</w:t>
            </w:r>
          </w:p>
          <w:p>
            <w:pPr>
              <w:spacing w:before="139" w:line="360" w:lineRule="auto"/>
              <w:rPr>
                <w:rFonts w:ascii="宋体" w:hAnsi="宋体"/>
                <w:color w:val="auto"/>
                <w:sz w:val="24"/>
                <w:szCs w:val="28"/>
                <w:highlight w:val="none"/>
              </w:rPr>
            </w:pPr>
            <w:r>
              <w:rPr>
                <w:rFonts w:hint="eastAsia" w:ascii="宋体" w:hAnsi="宋体"/>
                <w:color w:val="auto"/>
                <w:sz w:val="24"/>
                <w:szCs w:val="28"/>
                <w:highlight w:val="none"/>
              </w:rPr>
              <w:t>（1）资格审查采用定性方法，符合性评审，所有评审选项必须全部通过方为合格。</w:t>
            </w:r>
          </w:p>
          <w:p>
            <w:pPr>
              <w:adjustRightInd w:val="0"/>
              <w:snapToGrid w:val="0"/>
              <w:spacing w:line="360" w:lineRule="auto"/>
              <w:ind w:right="-10"/>
              <w:rPr>
                <w:rFonts w:ascii="宋体" w:hAnsi="宋体"/>
                <w:color w:val="auto"/>
                <w:sz w:val="24"/>
                <w:szCs w:val="28"/>
                <w:highlight w:val="none"/>
              </w:rPr>
            </w:pPr>
            <w:r>
              <w:rPr>
                <w:rFonts w:hint="eastAsia" w:ascii="宋体" w:hAnsi="宋体"/>
                <w:color w:val="auto"/>
                <w:sz w:val="24"/>
                <w:szCs w:val="28"/>
                <w:highlight w:val="none"/>
              </w:rPr>
              <w:t>评标委员会根据表中所列各项指标对投标人是否为有效标进行评审，未列入上表中的指标不得作为废标依据。符合评审指标通过标准的，为有效投标。未通过评审的投标人将不参与技术标、商务标评审。</w:t>
            </w:r>
          </w:p>
          <w:p>
            <w:pPr>
              <w:adjustRightInd w:val="0"/>
              <w:snapToGrid w:val="0"/>
              <w:spacing w:line="360" w:lineRule="auto"/>
              <w:rPr>
                <w:rFonts w:ascii="宋体" w:hAnsi="宋体"/>
                <w:color w:val="auto"/>
                <w:sz w:val="24"/>
                <w:szCs w:val="28"/>
                <w:highlight w:val="none"/>
              </w:rPr>
            </w:pPr>
            <w:r>
              <w:rPr>
                <w:rFonts w:hint="eastAsia" w:ascii="宋体" w:hAnsi="宋体"/>
                <w:color w:val="auto"/>
                <w:sz w:val="24"/>
                <w:szCs w:val="28"/>
                <w:highlight w:val="none"/>
              </w:rPr>
              <w:t>（2）投标人提供的资料不全、不清楚、超出有效期等情况，将由评审委员会按照对投标人不利的解释去理解，由此产生的一切后果由投标人自行承担。</w:t>
            </w:r>
          </w:p>
          <w:p>
            <w:pPr>
              <w:adjustRightInd w:val="0"/>
              <w:snapToGrid w:val="0"/>
              <w:spacing w:line="360" w:lineRule="auto"/>
              <w:ind w:right="-10"/>
              <w:rPr>
                <w:rFonts w:ascii="宋体" w:hAnsi="宋体"/>
                <w:color w:val="auto"/>
                <w:sz w:val="24"/>
                <w:highlight w:val="none"/>
              </w:rPr>
            </w:pPr>
            <w:r>
              <w:rPr>
                <w:rFonts w:hint="eastAsia" w:ascii="宋体" w:hAnsi="宋体"/>
                <w:color w:val="auto"/>
                <w:sz w:val="24"/>
                <w:szCs w:val="28"/>
                <w:highlight w:val="none"/>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不诚信行为。</w:t>
            </w:r>
          </w:p>
        </w:tc>
      </w:tr>
    </w:tbl>
    <w:p>
      <w:pPr>
        <w:adjustRightInd w:val="0"/>
        <w:snapToGrid w:val="0"/>
        <w:spacing w:line="360" w:lineRule="auto"/>
        <w:ind w:right="-10" w:firstLine="420" w:firstLineChars="175"/>
        <w:rPr>
          <w:rFonts w:ascii="宋体" w:hAnsi="宋体"/>
          <w:bCs/>
          <w:color w:val="auto"/>
          <w:sz w:val="24"/>
          <w:szCs w:val="24"/>
          <w:highlight w:val="none"/>
        </w:rPr>
      </w:pPr>
      <w:r>
        <w:rPr>
          <w:rFonts w:hint="eastAsia" w:ascii="宋体" w:hAnsi="宋体"/>
          <w:bCs/>
          <w:color w:val="auto"/>
          <w:sz w:val="24"/>
          <w:szCs w:val="24"/>
          <w:highlight w:val="none"/>
        </w:rPr>
        <w:t>评标委员会按下表内容对所有投标人进行初审：</w:t>
      </w:r>
    </w:p>
    <w:p>
      <w:pPr>
        <w:spacing w:line="360" w:lineRule="auto"/>
        <w:ind w:left="143" w:leftChars="68" w:firstLine="480" w:firstLineChars="200"/>
        <w:rPr>
          <w:rFonts w:ascii="宋体" w:hAnsi="宋体"/>
          <w:bCs/>
          <w:color w:val="auto"/>
          <w:sz w:val="24"/>
          <w:highlight w:val="none"/>
        </w:rPr>
      </w:pPr>
    </w:p>
    <w:p>
      <w:pPr>
        <w:adjustRightInd w:val="0"/>
        <w:snapToGrid w:val="0"/>
        <w:spacing w:line="360" w:lineRule="auto"/>
        <w:ind w:right="-10" w:firstLine="420" w:firstLineChars="175"/>
        <w:rPr>
          <w:rFonts w:ascii="宋体" w:hAnsi="宋体"/>
          <w:bCs/>
          <w:color w:val="auto"/>
          <w:sz w:val="24"/>
          <w:highlight w:val="none"/>
        </w:rPr>
      </w:pPr>
      <w:bookmarkStart w:id="50" w:name="_Hlk514734618"/>
      <w:r>
        <w:rPr>
          <w:rFonts w:hint="eastAsia" w:ascii="宋体" w:hAnsi="宋体"/>
          <w:bCs/>
          <w:color w:val="auto"/>
          <w:sz w:val="24"/>
          <w:highlight w:val="none"/>
        </w:rPr>
        <w:t>8.2详细评审</w:t>
      </w:r>
    </w:p>
    <w:p>
      <w:pPr>
        <w:adjustRightInd w:val="0"/>
        <w:snapToGrid w:val="0"/>
        <w:spacing w:line="360" w:lineRule="auto"/>
        <w:ind w:right="-10" w:firstLine="420" w:firstLineChars="175"/>
        <w:rPr>
          <w:rFonts w:ascii="宋体" w:hAnsi="宋体"/>
          <w:bCs/>
          <w:color w:val="auto"/>
          <w:sz w:val="24"/>
          <w:highlight w:val="none"/>
        </w:rPr>
      </w:pPr>
      <w:r>
        <w:rPr>
          <w:rFonts w:hint="eastAsia" w:ascii="宋体" w:hAnsi="宋体"/>
          <w:bCs/>
          <w:color w:val="auto"/>
          <w:sz w:val="24"/>
          <w:highlight w:val="none"/>
        </w:rPr>
        <w:t>8.2.1</w:t>
      </w:r>
      <w:bookmarkStart w:id="51" w:name="_Hlk514734853"/>
      <w:r>
        <w:rPr>
          <w:rFonts w:hint="eastAsia" w:ascii="宋体" w:hAnsi="宋体"/>
          <w:bCs/>
          <w:color w:val="auto"/>
          <w:sz w:val="24"/>
          <w:highlight w:val="none"/>
        </w:rPr>
        <w:t>评标委员会将对所有通过初审的投标文件进行详细评审，具体如下：</w:t>
      </w:r>
      <w:bookmarkEnd w:id="51"/>
    </w:p>
    <w:p>
      <w:pPr>
        <w:adjustRightInd w:val="0"/>
        <w:snapToGrid w:val="0"/>
        <w:spacing w:line="360" w:lineRule="auto"/>
        <w:ind w:right="-10" w:firstLine="420" w:firstLineChars="175"/>
        <w:rPr>
          <w:rFonts w:ascii="宋体" w:hAnsi="宋体"/>
          <w:bCs/>
          <w:color w:val="auto"/>
          <w:sz w:val="24"/>
          <w:highlight w:val="none"/>
        </w:rPr>
      </w:pPr>
      <w:r>
        <w:rPr>
          <w:rFonts w:hint="eastAsia" w:ascii="宋体" w:hAnsi="宋体"/>
          <w:bCs/>
          <w:color w:val="auto"/>
          <w:sz w:val="24"/>
          <w:highlight w:val="none"/>
        </w:rPr>
        <w:t>根据评分的细则，评委应对进入详细评审的所有投标文件进行评分，并分别填写打分表。</w:t>
      </w:r>
    </w:p>
    <w:p>
      <w:pPr>
        <w:adjustRightInd w:val="0"/>
        <w:snapToGrid w:val="0"/>
        <w:spacing w:line="360" w:lineRule="auto"/>
        <w:ind w:right="-10" w:firstLine="420" w:firstLineChars="175"/>
        <w:rPr>
          <w:rFonts w:ascii="宋体" w:hAnsi="宋体"/>
          <w:bCs/>
          <w:color w:val="auto"/>
          <w:sz w:val="24"/>
          <w:highlight w:val="none"/>
        </w:rPr>
      </w:pPr>
      <w:r>
        <w:rPr>
          <w:rFonts w:hint="eastAsia" w:ascii="宋体" w:hAnsi="宋体"/>
          <w:bCs/>
          <w:color w:val="auto"/>
          <w:sz w:val="24"/>
          <w:highlight w:val="none"/>
        </w:rPr>
        <w:t>将投标人每个分值项得分进行汇总并计算出平均值，得到该投标人该分值项的得分。</w:t>
      </w:r>
    </w:p>
    <w:p>
      <w:pPr>
        <w:adjustRightInd w:val="0"/>
        <w:snapToGrid w:val="0"/>
        <w:spacing w:line="360" w:lineRule="auto"/>
        <w:ind w:right="-10" w:firstLine="420" w:firstLineChars="175"/>
        <w:rPr>
          <w:rFonts w:ascii="宋体" w:hAnsi="宋体"/>
          <w:bCs/>
          <w:color w:val="auto"/>
          <w:sz w:val="24"/>
          <w:highlight w:val="none"/>
        </w:rPr>
      </w:pPr>
      <w:r>
        <w:rPr>
          <w:rFonts w:hint="eastAsia" w:ascii="宋体" w:hAnsi="宋体"/>
          <w:bCs/>
          <w:color w:val="auto"/>
          <w:sz w:val="24"/>
          <w:szCs w:val="24"/>
          <w:highlight w:val="none"/>
        </w:rPr>
        <w:t>投标人的各项得分均保留小数点后两位（小数点后第三位四舍五入）。</w:t>
      </w:r>
    </w:p>
    <w:p>
      <w:pPr>
        <w:adjustRightInd w:val="0"/>
        <w:snapToGrid w:val="0"/>
        <w:spacing w:line="360" w:lineRule="auto"/>
        <w:ind w:right="-10" w:firstLine="420" w:firstLineChars="175"/>
        <w:rPr>
          <w:color w:val="auto"/>
          <w:highlight w:val="none"/>
        </w:rPr>
      </w:pPr>
      <w:r>
        <w:rPr>
          <w:rFonts w:hint="eastAsia" w:ascii="宋体" w:hAnsi="宋体"/>
          <w:bCs/>
          <w:color w:val="auto"/>
          <w:sz w:val="24"/>
          <w:highlight w:val="none"/>
        </w:rPr>
        <w:t>8.2.2</w:t>
      </w:r>
      <w:r>
        <w:rPr>
          <w:rFonts w:hint="eastAsia" w:ascii="宋体" w:hAnsi="宋体"/>
          <w:color w:val="auto"/>
          <w:sz w:val="24"/>
          <w:szCs w:val="24"/>
          <w:highlight w:val="none"/>
        </w:rPr>
        <w:t>技术部分详细评审</w:t>
      </w:r>
      <w:bookmarkStart w:id="52" w:name="_Hlk514734883"/>
      <w:r>
        <w:rPr>
          <w:rFonts w:hint="eastAsia" w:ascii="宋体" w:hAnsi="宋体"/>
          <w:bCs/>
          <w:color w:val="auto"/>
          <w:sz w:val="24"/>
          <w:highlight w:val="none"/>
        </w:rPr>
        <w:t>指标如下：</w:t>
      </w:r>
      <w:bookmarkEnd w:id="50"/>
      <w:bookmarkEnd w:id="52"/>
    </w:p>
    <w:tbl>
      <w:tblPr>
        <w:tblStyle w:val="51"/>
        <w:tblW w:w="54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859"/>
        <w:gridCol w:w="859"/>
        <w:gridCol w:w="6793"/>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39" w:type="pct"/>
            <w:vAlign w:val="center"/>
          </w:tcPr>
          <w:p>
            <w:pPr>
              <w:adjustRightInd w:val="0"/>
              <w:snapToGrid w:val="0"/>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类别</w:t>
            </w:r>
          </w:p>
        </w:tc>
        <w:tc>
          <w:tcPr>
            <w:tcW w:w="406" w:type="pct"/>
            <w:vAlign w:val="center"/>
          </w:tcPr>
          <w:p>
            <w:pPr>
              <w:adjustRightInd w:val="0"/>
              <w:snapToGrid w:val="0"/>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序号</w:t>
            </w:r>
          </w:p>
        </w:tc>
        <w:tc>
          <w:tcPr>
            <w:tcW w:w="406" w:type="pct"/>
            <w:vAlign w:val="center"/>
          </w:tcPr>
          <w:p>
            <w:pPr>
              <w:adjustRightInd w:val="0"/>
              <w:snapToGrid w:val="0"/>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指标</w:t>
            </w:r>
          </w:p>
        </w:tc>
        <w:tc>
          <w:tcPr>
            <w:tcW w:w="3212" w:type="pct"/>
            <w:vAlign w:val="center"/>
          </w:tcPr>
          <w:p>
            <w:pPr>
              <w:adjustRightInd w:val="0"/>
              <w:snapToGrid w:val="0"/>
              <w:spacing w:line="360" w:lineRule="auto"/>
              <w:ind w:firstLine="482" w:firstLineChars="200"/>
              <w:jc w:val="center"/>
              <w:rPr>
                <w:rFonts w:ascii="宋体" w:hAnsi="宋体"/>
                <w:b/>
                <w:color w:val="auto"/>
                <w:sz w:val="24"/>
                <w:szCs w:val="24"/>
                <w:highlight w:val="none"/>
              </w:rPr>
            </w:pPr>
            <w:r>
              <w:rPr>
                <w:rFonts w:hint="eastAsia" w:ascii="宋体" w:hAnsi="宋体"/>
                <w:b/>
                <w:color w:val="auto"/>
                <w:sz w:val="24"/>
                <w:szCs w:val="24"/>
                <w:highlight w:val="none"/>
              </w:rPr>
              <w:t>指标描述</w:t>
            </w:r>
          </w:p>
        </w:tc>
        <w:tc>
          <w:tcPr>
            <w:tcW w:w="636" w:type="pct"/>
            <w:vAlign w:val="center"/>
          </w:tcPr>
          <w:p>
            <w:pPr>
              <w:adjustRightInd w:val="0"/>
              <w:snapToGrid w:val="0"/>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339" w:type="pct"/>
            <w:vAlign w:val="center"/>
          </w:tcPr>
          <w:p>
            <w:pPr>
              <w:spacing w:line="360" w:lineRule="auto"/>
              <w:jc w:val="center"/>
              <w:rPr>
                <w:rFonts w:ascii="宋体" w:hAnsi="宋体"/>
                <w:color w:val="auto"/>
                <w:sz w:val="24"/>
                <w:szCs w:val="24"/>
                <w:highlight w:val="none"/>
              </w:rPr>
            </w:pPr>
            <w:r>
              <w:rPr>
                <w:rFonts w:hint="eastAsia" w:ascii="宋体" w:hAnsi="宋体" w:cs="宋体"/>
                <w:b/>
                <w:color w:val="auto"/>
                <w:sz w:val="24"/>
                <w:szCs w:val="24"/>
                <w:highlight w:val="none"/>
              </w:rPr>
              <w:t>商务、技术部分评标标准</w:t>
            </w:r>
          </w:p>
        </w:tc>
        <w:tc>
          <w:tcPr>
            <w:tcW w:w="406" w:type="pct"/>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1</w:t>
            </w:r>
          </w:p>
        </w:tc>
        <w:tc>
          <w:tcPr>
            <w:tcW w:w="406" w:type="pct"/>
            <w:vAlign w:val="center"/>
          </w:tcPr>
          <w:p>
            <w:pPr>
              <w:spacing w:before="24" w:after="24" w:line="360" w:lineRule="auto"/>
              <w:jc w:val="center"/>
              <w:rPr>
                <w:rFonts w:ascii="宋体" w:hAnsi="宋体"/>
                <w:color w:val="auto"/>
                <w:sz w:val="24"/>
                <w:szCs w:val="24"/>
                <w:highlight w:val="none"/>
              </w:rPr>
            </w:pPr>
            <w:r>
              <w:rPr>
                <w:rFonts w:hint="eastAsia" w:ascii="宋体" w:hAnsi="宋体"/>
                <w:color w:val="auto"/>
                <w:kern w:val="0"/>
                <w:sz w:val="24"/>
                <w:szCs w:val="24"/>
                <w:highlight w:val="none"/>
              </w:rPr>
              <w:t>投标人综合实力</w:t>
            </w:r>
          </w:p>
        </w:tc>
        <w:tc>
          <w:tcPr>
            <w:tcW w:w="3212" w:type="pct"/>
            <w:vAlign w:val="center"/>
          </w:tcPr>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（1）投标人具有在全国8个及以上省、自治区、直辖市设立分支机构的，得</w:t>
            </w:r>
            <w:r>
              <w:rPr>
                <w:rFonts w:ascii="宋体" w:hAnsi="宋体"/>
                <w:color w:val="auto"/>
                <w:sz w:val="24"/>
                <w:szCs w:val="24"/>
                <w:highlight w:val="none"/>
              </w:rPr>
              <w:t>6</w:t>
            </w:r>
            <w:r>
              <w:rPr>
                <w:rFonts w:hint="eastAsia" w:ascii="宋体" w:hAnsi="宋体"/>
                <w:color w:val="auto"/>
                <w:sz w:val="24"/>
                <w:szCs w:val="24"/>
                <w:highlight w:val="none"/>
              </w:rPr>
              <w:t>分。</w:t>
            </w:r>
          </w:p>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（2）投标人具有安徽省内发布招聘信息的网站，得</w:t>
            </w:r>
            <w:r>
              <w:rPr>
                <w:rFonts w:ascii="宋体" w:hAnsi="宋体"/>
                <w:color w:val="auto"/>
                <w:sz w:val="24"/>
                <w:szCs w:val="24"/>
                <w:highlight w:val="none"/>
              </w:rPr>
              <w:t>4</w:t>
            </w:r>
            <w:r>
              <w:rPr>
                <w:rFonts w:hint="eastAsia" w:ascii="宋体" w:hAnsi="宋体"/>
                <w:color w:val="auto"/>
                <w:sz w:val="24"/>
                <w:szCs w:val="24"/>
                <w:highlight w:val="none"/>
              </w:rPr>
              <w:t>分。</w:t>
            </w:r>
          </w:p>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3）投标人具有经中华人民共和国国家版权局认可的计算机软件著作权登记证书，即：候选人在线测评系统、职业行为风格测评系统、企业管理者能力测验系统等与招聘业务相关线上测评系统的，每提供1份测评系统，得1分，本子项最高得</w:t>
            </w:r>
            <w:r>
              <w:rPr>
                <w:rFonts w:ascii="宋体" w:hAnsi="宋体"/>
                <w:color w:val="auto"/>
                <w:sz w:val="24"/>
                <w:szCs w:val="24"/>
                <w:highlight w:val="none"/>
              </w:rPr>
              <w:t>5</w:t>
            </w:r>
            <w:r>
              <w:rPr>
                <w:rFonts w:hint="eastAsia" w:ascii="宋体" w:hAnsi="宋体"/>
                <w:color w:val="auto"/>
                <w:sz w:val="24"/>
                <w:szCs w:val="24"/>
                <w:highlight w:val="none"/>
              </w:rPr>
              <w:t>分。</w:t>
            </w:r>
          </w:p>
          <w:p>
            <w:pPr>
              <w:spacing w:line="360" w:lineRule="auto"/>
              <w:jc w:val="left"/>
              <w:rPr>
                <w:rFonts w:ascii="宋体" w:hAnsi="宋体"/>
                <w:color w:val="auto"/>
                <w:sz w:val="24"/>
                <w:szCs w:val="24"/>
                <w:highlight w:val="none"/>
              </w:rPr>
            </w:pPr>
            <w:r>
              <w:rPr>
                <w:rFonts w:hint="eastAsia" w:ascii="宋体" w:hAnsi="宋体"/>
                <w:color w:val="auto"/>
                <w:sz w:val="24"/>
                <w:szCs w:val="24"/>
                <w:highlight w:val="none"/>
              </w:rPr>
              <w:t>（4）能够提供满足全国性的线上报名平台，同时报名系统内可进行简历多维度筛选的，得5分，不能提供的不得分。</w:t>
            </w:r>
          </w:p>
          <w:p>
            <w:pPr>
              <w:spacing w:line="360" w:lineRule="auto"/>
              <w:ind w:firstLine="120" w:firstLineChars="50"/>
              <w:jc w:val="left"/>
              <w:rPr>
                <w:b/>
                <w:color w:val="auto"/>
                <w:highlight w:val="none"/>
              </w:rPr>
            </w:pPr>
            <w:r>
              <w:rPr>
                <w:rFonts w:hint="eastAsia" w:ascii="宋体" w:hAnsi="宋体"/>
                <w:b/>
                <w:color w:val="auto"/>
                <w:sz w:val="24"/>
                <w:szCs w:val="24"/>
                <w:highlight w:val="none"/>
              </w:rPr>
              <w:t>注：1.投标文件中提供省、自治区、直辖市设立分支机构的提供网站截图及营业执照扫面件；</w:t>
            </w:r>
          </w:p>
          <w:p>
            <w:pPr>
              <w:spacing w:line="360" w:lineRule="auto"/>
              <w:ind w:firstLine="723" w:firstLineChars="300"/>
              <w:jc w:val="left"/>
              <w:rPr>
                <w:rFonts w:ascii="宋体" w:hAnsi="宋体"/>
                <w:b/>
                <w:color w:val="auto"/>
                <w:sz w:val="24"/>
                <w:szCs w:val="24"/>
                <w:highlight w:val="none"/>
              </w:rPr>
            </w:pPr>
            <w:r>
              <w:rPr>
                <w:rFonts w:hint="eastAsia" w:ascii="宋体" w:hAnsi="宋体"/>
                <w:b/>
                <w:color w:val="auto"/>
                <w:sz w:val="24"/>
                <w:szCs w:val="24"/>
                <w:highlight w:val="none"/>
              </w:rPr>
              <w:t>2.投标文件中提供经中华人民共和国国家版权局认可的计算机软件著作权登记证书扫描件作为评审依据；</w:t>
            </w:r>
          </w:p>
          <w:p>
            <w:pPr>
              <w:spacing w:line="360" w:lineRule="auto"/>
              <w:ind w:firstLine="723" w:firstLineChars="300"/>
              <w:jc w:val="left"/>
              <w:rPr>
                <w:rFonts w:ascii="宋体" w:hAnsi="宋体"/>
                <w:b/>
                <w:color w:val="auto"/>
                <w:sz w:val="24"/>
                <w:szCs w:val="24"/>
                <w:highlight w:val="none"/>
              </w:rPr>
            </w:pPr>
            <w:r>
              <w:rPr>
                <w:rFonts w:hint="eastAsia" w:ascii="宋体" w:hAnsi="宋体"/>
                <w:b/>
                <w:color w:val="auto"/>
                <w:sz w:val="24"/>
                <w:szCs w:val="24"/>
                <w:highlight w:val="none"/>
              </w:rPr>
              <w:t>3</w:t>
            </w:r>
            <w:r>
              <w:rPr>
                <w:rFonts w:ascii="宋体" w:hAnsi="宋体"/>
                <w:b/>
                <w:color w:val="auto"/>
                <w:sz w:val="24"/>
                <w:szCs w:val="24"/>
                <w:highlight w:val="none"/>
              </w:rPr>
              <w:t>.</w:t>
            </w:r>
            <w:r>
              <w:rPr>
                <w:rFonts w:hint="eastAsia" w:ascii="宋体" w:hAnsi="宋体"/>
                <w:b/>
                <w:color w:val="auto"/>
                <w:sz w:val="24"/>
                <w:szCs w:val="24"/>
                <w:highlight w:val="none"/>
              </w:rPr>
              <w:t>投标文件中提供获奖证书、批复、颁奖单位颁奖文件、网上公示截图（具有其中之一即可）等证明材料。以上材料提供扫描件，须能体现供应商名称，如无法体现，须另附颁奖单位的相关证明材料扫描件，未提供或提供不全的不得分。</w:t>
            </w:r>
          </w:p>
        </w:tc>
        <w:tc>
          <w:tcPr>
            <w:tcW w:w="636" w:type="pct"/>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0-</w:t>
            </w:r>
            <w:r>
              <w:rPr>
                <w:rFonts w:ascii="宋体" w:hAnsi="宋体"/>
                <w:color w:val="auto"/>
                <w:sz w:val="24"/>
                <w:szCs w:val="24"/>
                <w:highlight w:val="none"/>
              </w:rPr>
              <w:t>20</w:t>
            </w:r>
            <w:r>
              <w:rPr>
                <w:rFonts w:hint="eastAsia" w:ascii="宋体" w:hAnsi="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5" w:hRule="atLeast"/>
          <w:jc w:val="center"/>
        </w:trPr>
        <w:tc>
          <w:tcPr>
            <w:tcW w:w="339" w:type="pct"/>
            <w:vAlign w:val="center"/>
          </w:tcPr>
          <w:p>
            <w:pPr>
              <w:spacing w:line="360" w:lineRule="auto"/>
              <w:jc w:val="center"/>
              <w:rPr>
                <w:rFonts w:ascii="宋体" w:hAnsi="宋体"/>
                <w:color w:val="auto"/>
                <w:sz w:val="24"/>
                <w:szCs w:val="24"/>
                <w:highlight w:val="none"/>
              </w:rPr>
            </w:pPr>
            <w:r>
              <w:rPr>
                <w:rFonts w:hint="eastAsia" w:ascii="宋体" w:hAnsi="宋体" w:cs="宋体"/>
                <w:b/>
                <w:color w:val="auto"/>
                <w:sz w:val="24"/>
                <w:szCs w:val="24"/>
                <w:highlight w:val="none"/>
              </w:rPr>
              <w:t>商务、技术部分评标标准</w:t>
            </w:r>
          </w:p>
        </w:tc>
        <w:tc>
          <w:tcPr>
            <w:tcW w:w="406" w:type="pct"/>
            <w:vAlign w:val="center"/>
          </w:tcPr>
          <w:p>
            <w:pPr>
              <w:spacing w:line="360" w:lineRule="auto"/>
              <w:jc w:val="center"/>
              <w:rPr>
                <w:rFonts w:ascii="宋体" w:hAnsi="宋体"/>
                <w:color w:val="auto"/>
                <w:sz w:val="24"/>
                <w:szCs w:val="24"/>
                <w:highlight w:val="none"/>
              </w:rPr>
            </w:pPr>
            <w:r>
              <w:rPr>
                <w:rFonts w:ascii="宋体" w:hAnsi="宋体" w:cs="宋体"/>
                <w:b/>
                <w:color w:val="auto"/>
                <w:sz w:val="24"/>
                <w:szCs w:val="24"/>
                <w:highlight w:val="none"/>
              </w:rPr>
              <w:t>2</w:t>
            </w:r>
          </w:p>
        </w:tc>
        <w:tc>
          <w:tcPr>
            <w:tcW w:w="406" w:type="pct"/>
            <w:vAlign w:val="center"/>
          </w:tcPr>
          <w:p>
            <w:pPr>
              <w:spacing w:line="360" w:lineRule="auto"/>
              <w:rPr>
                <w:rFonts w:ascii="宋体" w:hAnsi="宋体"/>
                <w:color w:val="auto"/>
                <w:sz w:val="24"/>
                <w:szCs w:val="24"/>
                <w:highlight w:val="none"/>
              </w:rPr>
            </w:pPr>
            <w:r>
              <w:rPr>
                <w:rFonts w:hint="eastAsia" w:ascii="宋体" w:hAnsi="宋体"/>
                <w:color w:val="auto"/>
                <w:kern w:val="0"/>
                <w:sz w:val="24"/>
                <w:szCs w:val="24"/>
                <w:highlight w:val="none"/>
              </w:rPr>
              <w:t>投标人业绩</w:t>
            </w:r>
          </w:p>
        </w:tc>
        <w:tc>
          <w:tcPr>
            <w:tcW w:w="3212" w:type="pct"/>
            <w:vAlign w:val="center"/>
          </w:tcPr>
          <w:p>
            <w:pPr>
              <w:autoSpaceDE w:val="0"/>
              <w:autoSpaceDN w:val="0"/>
              <w:adjustRightInd w:val="0"/>
              <w:spacing w:line="360" w:lineRule="auto"/>
              <w:jc w:val="left"/>
              <w:rPr>
                <w:rFonts w:ascii="宋体" w:hAnsi="宋体"/>
                <w:b/>
                <w:bCs/>
                <w:color w:val="auto"/>
                <w:szCs w:val="24"/>
                <w:highlight w:val="none"/>
              </w:rPr>
            </w:pPr>
            <w:r>
              <w:rPr>
                <w:rFonts w:hint="eastAsia" w:ascii="宋体" w:hAnsi="宋体"/>
                <w:color w:val="auto"/>
                <w:sz w:val="24"/>
                <w:szCs w:val="24"/>
                <w:highlight w:val="none"/>
              </w:rPr>
              <w:t>投标人自2019年1月1日具有市属国有企业及以上招聘服务项目业绩（以合同签订时间为准）：单个合同金额≥</w:t>
            </w:r>
            <w:r>
              <w:rPr>
                <w:rFonts w:ascii="宋体" w:hAnsi="宋体"/>
                <w:color w:val="auto"/>
                <w:sz w:val="24"/>
                <w:szCs w:val="24"/>
                <w:highlight w:val="none"/>
              </w:rPr>
              <w:t>10</w:t>
            </w:r>
            <w:r>
              <w:rPr>
                <w:rFonts w:hint="eastAsia" w:ascii="宋体" w:hAnsi="宋体"/>
                <w:color w:val="auto"/>
                <w:sz w:val="24"/>
                <w:szCs w:val="24"/>
                <w:highlight w:val="none"/>
              </w:rPr>
              <w:t>万元，每提供一份业绩，得</w:t>
            </w:r>
            <w:r>
              <w:rPr>
                <w:rFonts w:ascii="宋体" w:hAnsi="宋体"/>
                <w:color w:val="auto"/>
                <w:sz w:val="24"/>
                <w:szCs w:val="24"/>
                <w:highlight w:val="none"/>
              </w:rPr>
              <w:t>3</w:t>
            </w:r>
            <w:r>
              <w:rPr>
                <w:rFonts w:hint="eastAsia" w:ascii="宋体" w:hAnsi="宋体"/>
                <w:color w:val="auto"/>
                <w:sz w:val="24"/>
                <w:szCs w:val="24"/>
                <w:highlight w:val="none"/>
              </w:rPr>
              <w:t>分，未提供的不得分。</w:t>
            </w:r>
          </w:p>
          <w:p>
            <w:pPr>
              <w:spacing w:line="360" w:lineRule="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注：本项满分</w:t>
            </w:r>
            <w:r>
              <w:rPr>
                <w:rFonts w:ascii="宋体" w:hAnsi="宋体" w:cs="宋体"/>
                <w:b/>
                <w:bCs/>
                <w:color w:val="auto"/>
                <w:kern w:val="0"/>
                <w:sz w:val="24"/>
                <w:szCs w:val="24"/>
                <w:highlight w:val="none"/>
              </w:rPr>
              <w:t>15</w:t>
            </w:r>
            <w:r>
              <w:rPr>
                <w:rFonts w:hint="eastAsia" w:ascii="宋体" w:hAnsi="宋体" w:cs="宋体"/>
                <w:b/>
                <w:bCs/>
                <w:color w:val="auto"/>
                <w:kern w:val="0"/>
                <w:sz w:val="24"/>
                <w:szCs w:val="24"/>
                <w:highlight w:val="none"/>
              </w:rPr>
              <w:t>分，同一业绩不重复计分。</w:t>
            </w:r>
          </w:p>
          <w:p>
            <w:pPr>
              <w:spacing w:line="360" w:lineRule="auto"/>
              <w:rPr>
                <w:rFonts w:ascii="宋体" w:hAnsi="宋体"/>
                <w:b/>
                <w:bCs/>
                <w:color w:val="auto"/>
                <w:sz w:val="24"/>
                <w:szCs w:val="24"/>
                <w:highlight w:val="none"/>
              </w:rPr>
            </w:pPr>
            <w:r>
              <w:rPr>
                <w:rFonts w:hint="eastAsia" w:ascii="宋体" w:hAnsi="宋体" w:cs="宋体"/>
                <w:b/>
                <w:bCs/>
                <w:color w:val="auto"/>
                <w:kern w:val="0"/>
                <w:sz w:val="24"/>
                <w:szCs w:val="24"/>
                <w:highlight w:val="none"/>
              </w:rPr>
              <w:t>注：</w:t>
            </w:r>
            <w:r>
              <w:rPr>
                <w:rFonts w:hint="eastAsia" w:ascii="宋体" w:hAnsi="宋体"/>
                <w:b/>
                <w:bCs/>
                <w:color w:val="auto"/>
                <w:sz w:val="24"/>
                <w:szCs w:val="24"/>
                <w:highlight w:val="none"/>
              </w:rPr>
              <w:t>已完成的业绩；投标文件中须同时提供以下业绩证明材料：</w:t>
            </w:r>
          </w:p>
          <w:p>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（1）业绩合同扫描件；</w:t>
            </w:r>
          </w:p>
          <w:p>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（2）与该业绩对应的项目已完成的证明材料（提供项目服务验收证明或业主（合同甲方）证明）。</w:t>
            </w:r>
          </w:p>
          <w:p>
            <w:pPr>
              <w:spacing w:line="360" w:lineRule="auto"/>
              <w:rPr>
                <w:rFonts w:ascii="宋体" w:hAnsi="宋体"/>
                <w:b/>
                <w:bCs/>
                <w:color w:val="auto"/>
                <w:sz w:val="24"/>
                <w:szCs w:val="24"/>
                <w:highlight w:val="none"/>
              </w:rPr>
            </w:pPr>
            <w:r>
              <w:rPr>
                <w:rFonts w:hint="eastAsia" w:ascii="宋体" w:hAnsi="宋体"/>
                <w:b/>
                <w:color w:val="auto"/>
                <w:sz w:val="24"/>
                <w:szCs w:val="24"/>
                <w:highlight w:val="none"/>
              </w:rPr>
              <w:t>注：</w:t>
            </w:r>
            <w:r>
              <w:rPr>
                <w:rFonts w:hint="eastAsia" w:ascii="宋体" w:hAnsi="宋体"/>
                <w:b/>
                <w:color w:val="auto"/>
                <w:kern w:val="0"/>
                <w:sz w:val="24"/>
                <w:szCs w:val="24"/>
                <w:highlight w:val="none"/>
              </w:rPr>
              <w:t>（1）已完成的证明材料须加盖项目业主单位或合同甲方公章(证明材料已有项目业主单位或合同甲方公章的除外)，否则评标委员会不予认可。</w:t>
            </w:r>
            <w:r>
              <w:rPr>
                <w:rFonts w:hint="eastAsia" w:ascii="宋体" w:hAnsi="宋体"/>
                <w:b/>
                <w:color w:val="auto"/>
                <w:sz w:val="24"/>
                <w:szCs w:val="24"/>
                <w:highlight w:val="none"/>
              </w:rPr>
              <w:t>（2）如果业绩合同和项目已完成的证明材料中的合同金额、服务内容等合同要素不一致的，以项目已完成的证明材料为准。</w:t>
            </w:r>
          </w:p>
          <w:p>
            <w:pPr>
              <w:pStyle w:val="111"/>
              <w:pBdr>
                <w:bottom w:val="none" w:color="auto" w:sz="0" w:space="0"/>
              </w:pBdr>
              <w:tabs>
                <w:tab w:val="clear" w:pos="4153"/>
                <w:tab w:val="clear" w:pos="8306"/>
              </w:tabs>
              <w:adjustRightInd/>
              <w:spacing w:line="360" w:lineRule="auto"/>
              <w:ind w:right="-10"/>
              <w:jc w:val="both"/>
              <w:rPr>
                <w:rFonts w:ascii="宋体" w:hAnsi="宋体"/>
                <w:color w:val="auto"/>
                <w:kern w:val="2"/>
                <w:szCs w:val="24"/>
                <w:highlight w:val="none"/>
              </w:rPr>
            </w:pPr>
            <w:r>
              <w:rPr>
                <w:rFonts w:hint="eastAsia" w:ascii="宋体" w:hAnsi="宋体"/>
                <w:b/>
                <w:color w:val="auto"/>
                <w:szCs w:val="24"/>
                <w:highlight w:val="none"/>
              </w:rPr>
              <w:t>2</w:t>
            </w:r>
            <w:r>
              <w:rPr>
                <w:rFonts w:ascii="宋体" w:hAnsi="宋体"/>
                <w:b/>
                <w:color w:val="auto"/>
                <w:szCs w:val="24"/>
                <w:highlight w:val="none"/>
              </w:rPr>
              <w:t>.</w:t>
            </w:r>
            <w:r>
              <w:rPr>
                <w:rFonts w:hint="eastAsia" w:ascii="宋体" w:hAnsi="宋体"/>
                <w:b/>
                <w:color w:val="auto"/>
                <w:szCs w:val="24"/>
                <w:highlight w:val="none"/>
              </w:rPr>
              <w:t>如投标人提供的上述1要求的业绩证明材料均未能明确反映出招标文件所要求的内容的</w:t>
            </w:r>
            <w:r>
              <w:rPr>
                <w:rFonts w:hint="eastAsia" w:ascii="宋体" w:hAnsi="宋体"/>
                <w:b/>
                <w:color w:val="auto"/>
                <w:szCs w:val="24"/>
                <w:highlight w:val="none"/>
                <w:u w:val="single"/>
              </w:rPr>
              <w:t>（如合同总金额、服务内容或项目负责人名称等）</w:t>
            </w:r>
            <w:r>
              <w:rPr>
                <w:rFonts w:hint="eastAsia" w:ascii="宋体" w:hAnsi="宋体"/>
                <w:b/>
                <w:color w:val="auto"/>
                <w:szCs w:val="24"/>
                <w:highlight w:val="none"/>
              </w:rPr>
              <w:t>，应另附业主（或合同甲方）证明材料予以明确说明，须加盖项目业主单位或合同甲方公章，否则评标委员会不予认可。</w:t>
            </w:r>
          </w:p>
        </w:tc>
        <w:tc>
          <w:tcPr>
            <w:tcW w:w="636" w:type="pct"/>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0-</w:t>
            </w:r>
            <w:r>
              <w:rPr>
                <w:rFonts w:ascii="宋体" w:hAnsi="宋体"/>
                <w:color w:val="auto"/>
                <w:sz w:val="24"/>
                <w:szCs w:val="24"/>
                <w:highlight w:val="none"/>
              </w:rPr>
              <w:t>15</w:t>
            </w:r>
            <w:r>
              <w:rPr>
                <w:rFonts w:hint="eastAsia" w:ascii="宋体" w:hAnsi="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2" w:hRule="atLeast"/>
          <w:jc w:val="center"/>
        </w:trPr>
        <w:tc>
          <w:tcPr>
            <w:tcW w:w="339" w:type="pct"/>
            <w:vMerge w:val="restart"/>
            <w:vAlign w:val="center"/>
          </w:tcPr>
          <w:p>
            <w:pPr>
              <w:spacing w:line="360" w:lineRule="auto"/>
              <w:jc w:val="center"/>
              <w:rPr>
                <w:rFonts w:ascii="宋体" w:hAnsi="宋体"/>
                <w:color w:val="auto"/>
                <w:sz w:val="24"/>
                <w:szCs w:val="24"/>
                <w:highlight w:val="none"/>
              </w:rPr>
            </w:pPr>
            <w:r>
              <w:rPr>
                <w:rFonts w:hint="eastAsia" w:ascii="宋体" w:hAnsi="宋体" w:cs="宋体"/>
                <w:b/>
                <w:color w:val="auto"/>
                <w:sz w:val="24"/>
                <w:szCs w:val="24"/>
                <w:highlight w:val="none"/>
              </w:rPr>
              <w:t>商务、技术部分评标标准</w:t>
            </w:r>
          </w:p>
        </w:tc>
        <w:tc>
          <w:tcPr>
            <w:tcW w:w="406" w:type="pct"/>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3</w:t>
            </w:r>
          </w:p>
        </w:tc>
        <w:tc>
          <w:tcPr>
            <w:tcW w:w="406" w:type="pct"/>
            <w:vAlign w:val="center"/>
          </w:tcPr>
          <w:p>
            <w:pPr>
              <w:spacing w:before="24" w:after="24" w:line="360" w:lineRule="auto"/>
              <w:jc w:val="center"/>
              <w:rPr>
                <w:rFonts w:ascii="宋体" w:hAnsi="宋体"/>
                <w:color w:val="auto"/>
                <w:kern w:val="0"/>
                <w:sz w:val="24"/>
                <w:szCs w:val="24"/>
                <w:highlight w:val="none"/>
              </w:rPr>
            </w:pPr>
            <w:r>
              <w:rPr>
                <w:rFonts w:hint="eastAsia" w:ascii="宋体" w:hAnsi="宋体"/>
                <w:color w:val="auto"/>
                <w:kern w:val="0"/>
                <w:sz w:val="24"/>
                <w:szCs w:val="24"/>
                <w:highlight w:val="none"/>
              </w:rPr>
              <w:t>服务本项目人员配备</w:t>
            </w:r>
          </w:p>
        </w:tc>
        <w:tc>
          <w:tcPr>
            <w:tcW w:w="3212" w:type="pct"/>
            <w:vAlign w:val="center"/>
          </w:tcPr>
          <w:p>
            <w:pPr>
              <w:spacing w:line="360" w:lineRule="auto"/>
              <w:jc w:val="left"/>
              <w:rPr>
                <w:rFonts w:ascii="宋体" w:hAnsi="宋体" w:cs="宋体"/>
                <w:color w:val="auto"/>
                <w:sz w:val="24"/>
                <w:szCs w:val="24"/>
                <w:highlight w:val="none"/>
              </w:rPr>
            </w:pPr>
            <w:r>
              <w:rPr>
                <w:rFonts w:hint="eastAsia" w:ascii="宋体" w:hAnsi="宋体"/>
                <w:color w:val="auto"/>
                <w:sz w:val="24"/>
                <w:szCs w:val="24"/>
                <w:highlight w:val="none"/>
              </w:rPr>
              <w:t>（1）服务本项目团队人员在满足最低</w:t>
            </w:r>
            <w:r>
              <w:rPr>
                <w:rFonts w:ascii="宋体" w:hAnsi="宋体"/>
                <w:color w:val="auto"/>
                <w:sz w:val="24"/>
                <w:szCs w:val="24"/>
                <w:highlight w:val="none"/>
              </w:rPr>
              <w:t>5</w:t>
            </w:r>
            <w:r>
              <w:rPr>
                <w:rFonts w:hint="eastAsia" w:ascii="宋体" w:hAnsi="宋体"/>
                <w:color w:val="auto"/>
                <w:sz w:val="24"/>
                <w:szCs w:val="24"/>
                <w:highlight w:val="none"/>
              </w:rPr>
              <w:t>人的基础上，每增加1人，得</w:t>
            </w:r>
            <w:r>
              <w:rPr>
                <w:rFonts w:ascii="宋体" w:hAnsi="宋体"/>
                <w:color w:val="auto"/>
                <w:sz w:val="24"/>
                <w:szCs w:val="24"/>
                <w:highlight w:val="none"/>
              </w:rPr>
              <w:t>2</w:t>
            </w:r>
            <w:r>
              <w:rPr>
                <w:rFonts w:hint="eastAsia" w:ascii="宋体" w:hAnsi="宋体"/>
                <w:color w:val="auto"/>
                <w:sz w:val="24"/>
                <w:szCs w:val="24"/>
                <w:highlight w:val="none"/>
              </w:rPr>
              <w:t>分，最高得</w:t>
            </w:r>
            <w:r>
              <w:rPr>
                <w:rFonts w:ascii="宋体" w:hAnsi="宋体"/>
                <w:color w:val="auto"/>
                <w:sz w:val="24"/>
                <w:szCs w:val="24"/>
                <w:highlight w:val="none"/>
              </w:rPr>
              <w:t>4</w:t>
            </w:r>
            <w:r>
              <w:rPr>
                <w:rFonts w:hint="eastAsia" w:ascii="宋体" w:hAnsi="宋体"/>
                <w:color w:val="auto"/>
                <w:sz w:val="24"/>
                <w:szCs w:val="24"/>
                <w:highlight w:val="none"/>
              </w:rPr>
              <w:t>分</w:t>
            </w:r>
            <w:r>
              <w:rPr>
                <w:rFonts w:hint="eastAsia" w:ascii="宋体" w:hAnsi="宋体" w:cs="宋体"/>
                <w:color w:val="auto"/>
                <w:sz w:val="24"/>
                <w:szCs w:val="24"/>
                <w:highlight w:val="none"/>
              </w:rPr>
              <w:t>。</w:t>
            </w:r>
          </w:p>
          <w:p>
            <w:pPr>
              <w:spacing w:before="24" w:after="24"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备注：投标文件中提供在职人员信息（姓名、年龄、身份证复印件等）、劳动合同复印件及投标人为其缴纳的近三个月（任意1个月即可）社保证明扫描件等内容作为评标依据。</w:t>
            </w:r>
          </w:p>
          <w:p>
            <w:pPr>
              <w:spacing w:before="24" w:after="24" w:line="360" w:lineRule="auto"/>
              <w:rPr>
                <w:rFonts w:ascii="宋体" w:hAnsi="宋体"/>
                <w:color w:val="auto"/>
                <w:sz w:val="24"/>
                <w:szCs w:val="24"/>
                <w:highlight w:val="none"/>
              </w:rPr>
            </w:pPr>
            <w:r>
              <w:rPr>
                <w:rFonts w:ascii="宋体" w:hAnsi="宋体"/>
                <w:color w:val="auto"/>
                <w:sz w:val="24"/>
                <w:szCs w:val="24"/>
                <w:highlight w:val="none"/>
              </w:rPr>
              <w:t>（</w:t>
            </w:r>
            <w:r>
              <w:rPr>
                <w:rFonts w:hint="eastAsia" w:ascii="宋体" w:hAnsi="宋体"/>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rPr>
              <w:t>投标人提供服务本项目的项目负责人1名，具有高级人力资源师（国家职业资格一级），得5分；具有人力资源管理师（国家职业资格二级），得3分；具有助理人力资源管理师（国家职业资格三级），得1分；本子项最多不超过5分。</w:t>
            </w:r>
          </w:p>
          <w:p>
            <w:pPr>
              <w:spacing w:before="24" w:after="24" w:line="360" w:lineRule="auto"/>
              <w:rPr>
                <w:rFonts w:ascii="宋体" w:hAnsi="宋体"/>
                <w:b/>
                <w:color w:val="auto"/>
                <w:sz w:val="24"/>
                <w:szCs w:val="24"/>
                <w:highlight w:val="none"/>
              </w:rPr>
            </w:pPr>
            <w:r>
              <w:rPr>
                <w:rFonts w:hint="eastAsia" w:ascii="宋体" w:hAnsi="宋体"/>
                <w:b/>
                <w:color w:val="auto"/>
                <w:sz w:val="24"/>
                <w:szCs w:val="24"/>
                <w:highlight w:val="none"/>
              </w:rPr>
              <w:t>备注：投标文件中提供国家人力资源和社会保障部颁发相应等级的职业资格证书及投标人</w:t>
            </w:r>
            <w:r>
              <w:rPr>
                <w:rFonts w:hint="eastAsia" w:ascii="宋体" w:hAnsi="宋体" w:cs="宋体"/>
                <w:b/>
                <w:color w:val="auto"/>
                <w:sz w:val="24"/>
                <w:szCs w:val="24"/>
                <w:highlight w:val="none"/>
              </w:rPr>
              <w:t>为其缴纳的近三个月（任意1个月即可）社保证明扫描件</w:t>
            </w:r>
            <w:r>
              <w:rPr>
                <w:rFonts w:hint="eastAsia" w:ascii="宋体" w:hAnsi="宋体"/>
                <w:b/>
                <w:color w:val="auto"/>
                <w:sz w:val="24"/>
                <w:szCs w:val="24"/>
                <w:highlight w:val="none"/>
              </w:rPr>
              <w:t>。</w:t>
            </w:r>
          </w:p>
          <w:p>
            <w:pPr>
              <w:spacing w:before="24" w:after="24" w:line="360" w:lineRule="auto"/>
              <w:rPr>
                <w:rFonts w:ascii="宋体" w:hAnsi="宋体"/>
                <w:color w:val="auto"/>
                <w:sz w:val="24"/>
                <w:szCs w:val="24"/>
                <w:highlight w:val="none"/>
              </w:rPr>
            </w:pPr>
            <w:r>
              <w:rPr>
                <w:rFonts w:hint="eastAsia" w:ascii="宋体" w:hAnsi="宋体" w:cs="宋体"/>
                <w:b/>
                <w:color w:val="auto"/>
                <w:sz w:val="24"/>
                <w:szCs w:val="24"/>
                <w:highlight w:val="none"/>
              </w:rPr>
              <w:t>（3）评委会投标人提供的</w:t>
            </w:r>
            <w:r>
              <w:rPr>
                <w:rFonts w:hint="eastAsia" w:ascii="宋体" w:hAnsi="宋体"/>
                <w:color w:val="auto"/>
                <w:sz w:val="24"/>
                <w:szCs w:val="24"/>
                <w:highlight w:val="none"/>
              </w:rPr>
              <w:t>团队人员年龄、学历、职称、从业经验等方面进行综合评审。</w:t>
            </w:r>
            <w:r>
              <w:rPr>
                <w:rFonts w:hint="eastAsia" w:ascii="宋体" w:hAnsi="宋体" w:cs="宋体"/>
                <w:b/>
                <w:color w:val="auto"/>
                <w:sz w:val="24"/>
                <w:szCs w:val="24"/>
                <w:highlight w:val="none"/>
              </w:rPr>
              <w:t>优秀得 4≤F≤6分；良好得2≤F＜4分；一般得</w:t>
            </w:r>
            <w:r>
              <w:rPr>
                <w:rFonts w:ascii="宋体" w:hAnsi="宋体" w:cs="宋体"/>
                <w:b/>
                <w:color w:val="auto"/>
                <w:sz w:val="24"/>
                <w:szCs w:val="24"/>
                <w:highlight w:val="none"/>
              </w:rPr>
              <w:t>1</w:t>
            </w:r>
            <w:r>
              <w:rPr>
                <w:rFonts w:hint="eastAsia" w:ascii="宋体" w:hAnsi="宋体" w:cs="宋体"/>
                <w:b/>
                <w:color w:val="auto"/>
                <w:sz w:val="24"/>
                <w:szCs w:val="24"/>
                <w:highlight w:val="none"/>
              </w:rPr>
              <w:t>≤F＜</w:t>
            </w:r>
            <w:r>
              <w:rPr>
                <w:rFonts w:ascii="宋体" w:hAnsi="宋体" w:cs="宋体"/>
                <w:b/>
                <w:color w:val="auto"/>
                <w:sz w:val="24"/>
                <w:szCs w:val="24"/>
                <w:highlight w:val="none"/>
              </w:rPr>
              <w:t>2</w:t>
            </w:r>
            <w:r>
              <w:rPr>
                <w:rFonts w:hint="eastAsia" w:ascii="宋体" w:hAnsi="宋体" w:cs="宋体"/>
                <w:b/>
                <w:color w:val="auto"/>
                <w:sz w:val="24"/>
                <w:szCs w:val="24"/>
                <w:highlight w:val="none"/>
              </w:rPr>
              <w:t xml:space="preserve">分；未提供的，不得分。 </w:t>
            </w:r>
            <w:r>
              <w:rPr>
                <w:rFonts w:ascii="宋体" w:hAnsi="宋体" w:cs="宋体"/>
                <w:b/>
                <w:color w:val="auto"/>
                <w:sz w:val="24"/>
                <w:szCs w:val="24"/>
                <w:highlight w:val="none"/>
              </w:rPr>
              <w:t xml:space="preserve"> </w:t>
            </w:r>
          </w:p>
        </w:tc>
        <w:tc>
          <w:tcPr>
            <w:tcW w:w="636" w:type="pct"/>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0-1</w:t>
            </w:r>
            <w:r>
              <w:rPr>
                <w:rFonts w:ascii="宋体" w:hAnsi="宋体"/>
                <w:color w:val="auto"/>
                <w:sz w:val="24"/>
                <w:szCs w:val="24"/>
                <w:highlight w:val="none"/>
              </w:rPr>
              <w:t>5</w:t>
            </w:r>
            <w:r>
              <w:rPr>
                <w:rFonts w:hint="eastAsia" w:ascii="宋体" w:hAnsi="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339" w:type="pct"/>
            <w:vMerge w:val="continue"/>
            <w:vAlign w:val="center"/>
          </w:tcPr>
          <w:p>
            <w:pPr>
              <w:spacing w:line="360" w:lineRule="auto"/>
              <w:jc w:val="center"/>
              <w:rPr>
                <w:rFonts w:ascii="宋体" w:hAnsi="宋体"/>
                <w:color w:val="auto"/>
                <w:sz w:val="24"/>
                <w:szCs w:val="24"/>
                <w:highlight w:val="none"/>
              </w:rPr>
            </w:pPr>
          </w:p>
        </w:tc>
        <w:tc>
          <w:tcPr>
            <w:tcW w:w="406" w:type="pct"/>
            <w:vAlign w:val="center"/>
          </w:tcPr>
          <w:p>
            <w:pPr>
              <w:spacing w:line="360" w:lineRule="auto"/>
              <w:jc w:val="center"/>
              <w:rPr>
                <w:rFonts w:ascii="宋体" w:hAnsi="宋体"/>
                <w:color w:val="auto"/>
                <w:sz w:val="24"/>
                <w:szCs w:val="24"/>
                <w:highlight w:val="none"/>
              </w:rPr>
            </w:pPr>
            <w:r>
              <w:rPr>
                <w:rFonts w:ascii="宋体" w:hAnsi="宋体"/>
                <w:color w:val="auto"/>
                <w:sz w:val="24"/>
                <w:szCs w:val="24"/>
                <w:highlight w:val="none"/>
              </w:rPr>
              <w:t>4</w:t>
            </w:r>
          </w:p>
        </w:tc>
        <w:tc>
          <w:tcPr>
            <w:tcW w:w="406" w:type="pct"/>
            <w:vAlign w:val="center"/>
          </w:tcPr>
          <w:p>
            <w:pPr>
              <w:spacing w:line="360" w:lineRule="auto"/>
              <w:jc w:val="center"/>
              <w:rPr>
                <w:rFonts w:ascii="宋体" w:hAnsi="宋体"/>
                <w:color w:val="auto"/>
                <w:kern w:val="0"/>
                <w:sz w:val="24"/>
                <w:szCs w:val="24"/>
                <w:highlight w:val="none"/>
              </w:rPr>
            </w:pPr>
            <w:r>
              <w:rPr>
                <w:rFonts w:hint="eastAsia" w:ascii="宋体" w:hAnsi="宋体" w:cs="宋体"/>
                <w:color w:val="auto"/>
                <w:spacing w:val="15"/>
                <w:w w:val="101"/>
                <w:sz w:val="24"/>
                <w:szCs w:val="24"/>
                <w:highlight w:val="none"/>
              </w:rPr>
              <w:t>便利化服务</w:t>
            </w:r>
          </w:p>
        </w:tc>
        <w:tc>
          <w:tcPr>
            <w:tcW w:w="3212" w:type="pct"/>
            <w:vAlign w:val="center"/>
          </w:tcPr>
          <w:p>
            <w:pPr>
              <w:spacing w:line="360" w:lineRule="auto"/>
              <w:jc w:val="left"/>
              <w:rPr>
                <w:rFonts w:ascii="宋体" w:hAnsi="宋体" w:cs="宋体"/>
                <w:b/>
                <w:color w:val="auto"/>
                <w:sz w:val="24"/>
                <w:szCs w:val="24"/>
                <w:highlight w:val="none"/>
              </w:rPr>
            </w:pPr>
            <w:r>
              <w:rPr>
                <w:rFonts w:hint="eastAsia" w:ascii="宋体" w:hAnsi="宋体" w:cs="宋体"/>
                <w:b/>
                <w:color w:val="auto"/>
                <w:sz w:val="24"/>
                <w:szCs w:val="24"/>
                <w:highlight w:val="none"/>
              </w:rPr>
              <w:t>据投标人对便利化服务方案的完善性、可操作性、响应及时性以及便利化服务人员的技术能力等方面进行综合评审。</w:t>
            </w:r>
          </w:p>
          <w:p>
            <w:pPr>
              <w:spacing w:line="360" w:lineRule="auto"/>
              <w:jc w:val="left"/>
              <w:rPr>
                <w:rFonts w:ascii="宋体" w:hAnsi="宋体"/>
                <w:color w:val="auto"/>
                <w:kern w:val="0"/>
                <w:sz w:val="24"/>
                <w:szCs w:val="24"/>
                <w:highlight w:val="none"/>
              </w:rPr>
            </w:pPr>
            <w:r>
              <w:rPr>
                <w:rFonts w:hint="eastAsia" w:ascii="宋体" w:hAnsi="宋体" w:cs="宋体"/>
                <w:b/>
                <w:color w:val="auto"/>
                <w:sz w:val="24"/>
                <w:szCs w:val="24"/>
                <w:highlight w:val="none"/>
              </w:rPr>
              <w:t xml:space="preserve">评委会根据检测方案内容酌情进行评分：优秀得 </w:t>
            </w:r>
            <w:r>
              <w:rPr>
                <w:rFonts w:ascii="宋体" w:hAnsi="宋体" w:cs="宋体"/>
                <w:b/>
                <w:color w:val="auto"/>
                <w:sz w:val="24"/>
                <w:szCs w:val="24"/>
                <w:highlight w:val="none"/>
              </w:rPr>
              <w:t>4</w:t>
            </w:r>
            <w:r>
              <w:rPr>
                <w:rFonts w:hint="eastAsia" w:ascii="宋体" w:hAnsi="宋体" w:cs="宋体"/>
                <w:b/>
                <w:color w:val="auto"/>
                <w:sz w:val="24"/>
                <w:szCs w:val="24"/>
                <w:highlight w:val="none"/>
              </w:rPr>
              <w:t>≤F≤5分；良好得</w:t>
            </w:r>
            <w:r>
              <w:rPr>
                <w:rFonts w:ascii="宋体" w:hAnsi="宋体" w:cs="宋体"/>
                <w:b/>
                <w:color w:val="auto"/>
                <w:sz w:val="24"/>
                <w:szCs w:val="24"/>
                <w:highlight w:val="none"/>
              </w:rPr>
              <w:t>2</w:t>
            </w:r>
            <w:r>
              <w:rPr>
                <w:rFonts w:hint="eastAsia" w:ascii="宋体" w:hAnsi="宋体" w:cs="宋体"/>
                <w:b/>
                <w:color w:val="auto"/>
                <w:sz w:val="24"/>
                <w:szCs w:val="24"/>
                <w:highlight w:val="none"/>
              </w:rPr>
              <w:t>≤F＜</w:t>
            </w:r>
            <w:r>
              <w:rPr>
                <w:rFonts w:ascii="宋体" w:hAnsi="宋体" w:cs="宋体"/>
                <w:b/>
                <w:color w:val="auto"/>
                <w:sz w:val="24"/>
                <w:szCs w:val="24"/>
                <w:highlight w:val="none"/>
              </w:rPr>
              <w:t>4</w:t>
            </w:r>
            <w:r>
              <w:rPr>
                <w:rFonts w:hint="eastAsia" w:ascii="宋体" w:hAnsi="宋体" w:cs="宋体"/>
                <w:b/>
                <w:color w:val="auto"/>
                <w:sz w:val="24"/>
                <w:szCs w:val="24"/>
                <w:highlight w:val="none"/>
              </w:rPr>
              <w:t>分；一般得</w:t>
            </w:r>
            <w:r>
              <w:rPr>
                <w:rFonts w:ascii="宋体" w:hAnsi="宋体" w:cs="宋体"/>
                <w:b/>
                <w:color w:val="auto"/>
                <w:sz w:val="24"/>
                <w:szCs w:val="24"/>
                <w:highlight w:val="none"/>
              </w:rPr>
              <w:t>1</w:t>
            </w:r>
            <w:r>
              <w:rPr>
                <w:rFonts w:hint="eastAsia" w:ascii="宋体" w:hAnsi="宋体" w:cs="宋体"/>
                <w:b/>
                <w:color w:val="auto"/>
                <w:sz w:val="24"/>
                <w:szCs w:val="24"/>
                <w:highlight w:val="none"/>
              </w:rPr>
              <w:t>≤F＜</w:t>
            </w:r>
            <w:r>
              <w:rPr>
                <w:rFonts w:ascii="宋体" w:hAnsi="宋体" w:cs="宋体"/>
                <w:b/>
                <w:color w:val="auto"/>
                <w:sz w:val="24"/>
                <w:szCs w:val="24"/>
                <w:highlight w:val="none"/>
              </w:rPr>
              <w:t>2</w:t>
            </w:r>
            <w:r>
              <w:rPr>
                <w:rFonts w:hint="eastAsia" w:ascii="宋体" w:hAnsi="宋体" w:cs="宋体"/>
                <w:b/>
                <w:color w:val="auto"/>
                <w:sz w:val="24"/>
                <w:szCs w:val="24"/>
                <w:highlight w:val="none"/>
              </w:rPr>
              <w:t>分；未提供的，不得分。</w:t>
            </w:r>
          </w:p>
        </w:tc>
        <w:tc>
          <w:tcPr>
            <w:tcW w:w="636" w:type="pct"/>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339" w:type="pct"/>
            <w:vMerge w:val="continue"/>
            <w:vAlign w:val="center"/>
          </w:tcPr>
          <w:p>
            <w:pPr>
              <w:spacing w:line="360" w:lineRule="auto"/>
              <w:jc w:val="center"/>
              <w:rPr>
                <w:rFonts w:ascii="宋体" w:hAnsi="宋体"/>
                <w:color w:val="auto"/>
                <w:sz w:val="24"/>
                <w:szCs w:val="24"/>
                <w:highlight w:val="none"/>
              </w:rPr>
            </w:pPr>
          </w:p>
        </w:tc>
        <w:tc>
          <w:tcPr>
            <w:tcW w:w="406" w:type="pct"/>
            <w:vAlign w:val="center"/>
          </w:tcPr>
          <w:p>
            <w:pPr>
              <w:spacing w:line="360" w:lineRule="auto"/>
              <w:jc w:val="center"/>
              <w:rPr>
                <w:rFonts w:ascii="宋体" w:hAnsi="宋体"/>
                <w:b/>
                <w:color w:val="auto"/>
                <w:kern w:val="0"/>
                <w:sz w:val="24"/>
                <w:szCs w:val="24"/>
                <w:highlight w:val="none"/>
              </w:rPr>
            </w:pPr>
            <w:r>
              <w:rPr>
                <w:rFonts w:ascii="宋体" w:hAnsi="宋体"/>
                <w:b/>
                <w:color w:val="auto"/>
                <w:kern w:val="0"/>
                <w:sz w:val="24"/>
                <w:szCs w:val="24"/>
                <w:highlight w:val="none"/>
              </w:rPr>
              <w:t>5</w:t>
            </w:r>
          </w:p>
        </w:tc>
        <w:tc>
          <w:tcPr>
            <w:tcW w:w="406" w:type="pct"/>
            <w:vAlign w:val="center"/>
          </w:tcPr>
          <w:p>
            <w:pPr>
              <w:spacing w:line="360" w:lineRule="auto"/>
              <w:jc w:val="center"/>
              <w:rPr>
                <w:rFonts w:ascii="宋体" w:hAnsi="宋体"/>
                <w:color w:val="auto"/>
                <w:kern w:val="0"/>
                <w:sz w:val="24"/>
                <w:szCs w:val="24"/>
                <w:highlight w:val="none"/>
              </w:rPr>
            </w:pPr>
            <w:r>
              <w:rPr>
                <w:rFonts w:hint="eastAsia" w:ascii="宋体" w:hAnsi="宋体"/>
                <w:color w:val="auto"/>
                <w:kern w:val="0"/>
                <w:sz w:val="24"/>
                <w:szCs w:val="24"/>
                <w:highlight w:val="none"/>
              </w:rPr>
              <w:t>服务方案</w:t>
            </w:r>
          </w:p>
        </w:tc>
        <w:tc>
          <w:tcPr>
            <w:tcW w:w="3212" w:type="pct"/>
            <w:vAlign w:val="center"/>
          </w:tcPr>
          <w:p>
            <w:pPr>
              <w:spacing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投标人对招聘公告发布、简历筛选、资格审查、笔试命题组卷、测评、笔试、监考、阅卷、面试命题、考官提问、背景调查以及笔试、面试场地租赁等内容合理性安排进行编制方案进行综合评审。</w:t>
            </w:r>
          </w:p>
          <w:p>
            <w:pPr>
              <w:spacing w:line="360" w:lineRule="auto"/>
              <w:jc w:val="left"/>
              <w:rPr>
                <w:rFonts w:ascii="宋体" w:hAnsi="宋体"/>
                <w:color w:val="auto"/>
                <w:kern w:val="0"/>
                <w:sz w:val="24"/>
                <w:szCs w:val="24"/>
                <w:highlight w:val="none"/>
              </w:rPr>
            </w:pPr>
            <w:r>
              <w:rPr>
                <w:rFonts w:hint="eastAsia" w:ascii="宋体" w:hAnsi="宋体" w:cs="宋体"/>
                <w:color w:val="auto"/>
                <w:sz w:val="24"/>
                <w:szCs w:val="24"/>
                <w:highlight w:val="none"/>
              </w:rPr>
              <w:t>较优的，得</w:t>
            </w:r>
            <w:r>
              <w:rPr>
                <w:rFonts w:ascii="宋体" w:hAnsi="宋体" w:cs="宋体"/>
                <w:color w:val="auto"/>
                <w:sz w:val="24"/>
                <w:szCs w:val="24"/>
                <w:highlight w:val="none"/>
              </w:rPr>
              <w:t>16</w:t>
            </w:r>
            <w:r>
              <w:rPr>
                <w:rFonts w:hint="eastAsia" w:ascii="宋体" w:hAnsi="宋体" w:cs="宋体"/>
                <w:color w:val="auto"/>
                <w:sz w:val="24"/>
                <w:szCs w:val="24"/>
                <w:highlight w:val="none"/>
              </w:rPr>
              <w:t>≤F≤</w:t>
            </w:r>
            <w:r>
              <w:rPr>
                <w:rFonts w:ascii="宋体" w:hAnsi="宋体" w:cs="宋体"/>
                <w:color w:val="auto"/>
                <w:sz w:val="24"/>
                <w:szCs w:val="24"/>
                <w:highlight w:val="none"/>
              </w:rPr>
              <w:t>25</w:t>
            </w:r>
            <w:r>
              <w:rPr>
                <w:rFonts w:hint="eastAsia" w:ascii="宋体" w:hAnsi="宋体" w:cs="宋体"/>
                <w:color w:val="auto"/>
                <w:sz w:val="24"/>
                <w:szCs w:val="24"/>
                <w:highlight w:val="none"/>
              </w:rPr>
              <w:t>分；良好的，得</w:t>
            </w:r>
            <w:r>
              <w:rPr>
                <w:rFonts w:ascii="宋体" w:hAnsi="宋体" w:cs="宋体"/>
                <w:color w:val="auto"/>
                <w:sz w:val="24"/>
                <w:szCs w:val="24"/>
                <w:highlight w:val="none"/>
              </w:rPr>
              <w:t>8</w:t>
            </w:r>
            <w:r>
              <w:rPr>
                <w:rFonts w:hint="eastAsia" w:ascii="宋体" w:hAnsi="宋体" w:cs="宋体"/>
                <w:color w:val="auto"/>
                <w:sz w:val="24"/>
                <w:szCs w:val="24"/>
                <w:highlight w:val="none"/>
              </w:rPr>
              <w:t>≤F＜</w:t>
            </w:r>
            <w:r>
              <w:rPr>
                <w:rFonts w:ascii="宋体" w:hAnsi="宋体" w:cs="宋体"/>
                <w:color w:val="auto"/>
                <w:sz w:val="24"/>
                <w:szCs w:val="24"/>
                <w:highlight w:val="none"/>
              </w:rPr>
              <w:t>16</w:t>
            </w:r>
            <w:r>
              <w:rPr>
                <w:rFonts w:hint="eastAsia" w:ascii="宋体" w:hAnsi="宋体" w:cs="宋体"/>
                <w:color w:val="auto"/>
                <w:sz w:val="24"/>
                <w:szCs w:val="24"/>
                <w:highlight w:val="none"/>
              </w:rPr>
              <w:t>分，一般的，得1≤F＜</w:t>
            </w:r>
            <w:r>
              <w:rPr>
                <w:rFonts w:ascii="宋体" w:hAnsi="宋体" w:cs="宋体"/>
                <w:color w:val="auto"/>
                <w:sz w:val="24"/>
                <w:szCs w:val="24"/>
                <w:highlight w:val="none"/>
              </w:rPr>
              <w:t>8</w:t>
            </w:r>
            <w:r>
              <w:rPr>
                <w:rFonts w:hint="eastAsia" w:ascii="宋体" w:hAnsi="宋体" w:cs="宋体"/>
                <w:color w:val="auto"/>
                <w:sz w:val="24"/>
                <w:szCs w:val="24"/>
                <w:highlight w:val="none"/>
              </w:rPr>
              <w:t>分，未提供服务方案的不得分。</w:t>
            </w:r>
          </w:p>
        </w:tc>
        <w:tc>
          <w:tcPr>
            <w:tcW w:w="636" w:type="pct"/>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0-</w:t>
            </w:r>
            <w:r>
              <w:rPr>
                <w:rFonts w:ascii="宋体" w:hAnsi="宋体"/>
                <w:color w:val="auto"/>
                <w:sz w:val="24"/>
                <w:szCs w:val="24"/>
                <w:highlight w:val="none"/>
              </w:rPr>
              <w:t>25</w:t>
            </w:r>
            <w:r>
              <w:rPr>
                <w:rFonts w:hint="eastAsia" w:ascii="宋体" w:hAnsi="宋体"/>
                <w:color w:val="auto"/>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jc w:val="center"/>
        </w:trPr>
        <w:tc>
          <w:tcPr>
            <w:tcW w:w="339" w:type="pct"/>
            <w:vAlign w:val="center"/>
          </w:tcPr>
          <w:p>
            <w:pPr>
              <w:spacing w:line="360" w:lineRule="auto"/>
              <w:jc w:val="center"/>
              <w:rPr>
                <w:rFonts w:ascii="宋体" w:hAnsi="宋体"/>
                <w:b/>
                <w:color w:val="auto"/>
                <w:sz w:val="24"/>
                <w:szCs w:val="24"/>
                <w:highlight w:val="none"/>
              </w:rPr>
            </w:pPr>
          </w:p>
        </w:tc>
        <w:tc>
          <w:tcPr>
            <w:tcW w:w="406" w:type="pct"/>
            <w:vAlign w:val="center"/>
          </w:tcPr>
          <w:p>
            <w:pPr>
              <w:spacing w:line="360" w:lineRule="auto"/>
              <w:jc w:val="center"/>
              <w:rPr>
                <w:rFonts w:ascii="宋体" w:hAnsi="宋体"/>
                <w:b/>
                <w:color w:val="auto"/>
                <w:sz w:val="24"/>
                <w:szCs w:val="24"/>
                <w:highlight w:val="none"/>
              </w:rPr>
            </w:pPr>
          </w:p>
        </w:tc>
        <w:tc>
          <w:tcPr>
            <w:tcW w:w="406" w:type="pct"/>
            <w:vAlign w:val="center"/>
          </w:tcPr>
          <w:p>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合计</w:t>
            </w:r>
          </w:p>
        </w:tc>
        <w:tc>
          <w:tcPr>
            <w:tcW w:w="3212" w:type="pct"/>
            <w:vAlign w:val="center"/>
          </w:tcPr>
          <w:p>
            <w:pPr>
              <w:spacing w:line="360" w:lineRule="auto"/>
              <w:rPr>
                <w:rFonts w:ascii="宋体" w:hAnsi="宋体"/>
                <w:b/>
                <w:color w:val="auto"/>
                <w:sz w:val="24"/>
                <w:szCs w:val="24"/>
                <w:highlight w:val="none"/>
              </w:rPr>
            </w:pPr>
          </w:p>
        </w:tc>
        <w:tc>
          <w:tcPr>
            <w:tcW w:w="636" w:type="pct"/>
            <w:vAlign w:val="center"/>
          </w:tcPr>
          <w:p>
            <w:pPr>
              <w:spacing w:line="360" w:lineRule="auto"/>
              <w:jc w:val="center"/>
              <w:rPr>
                <w:rFonts w:ascii="宋体" w:hAnsi="宋体"/>
                <w:b/>
                <w:color w:val="auto"/>
                <w:sz w:val="24"/>
                <w:szCs w:val="24"/>
                <w:highlight w:val="none"/>
              </w:rPr>
            </w:pPr>
            <w:r>
              <w:rPr>
                <w:rFonts w:ascii="宋体" w:hAnsi="宋体"/>
                <w:b/>
                <w:color w:val="auto"/>
                <w:sz w:val="24"/>
                <w:szCs w:val="24"/>
                <w:highlight w:val="none"/>
              </w:rPr>
              <w:t>80</w:t>
            </w:r>
            <w:r>
              <w:rPr>
                <w:rFonts w:hint="eastAsia" w:ascii="宋体" w:hAnsi="宋体"/>
                <w:b/>
                <w:color w:val="auto"/>
                <w:sz w:val="24"/>
                <w:szCs w:val="24"/>
                <w:highlight w:val="none"/>
              </w:rPr>
              <w:t>分</w:t>
            </w:r>
          </w:p>
        </w:tc>
      </w:tr>
    </w:tbl>
    <w:p>
      <w:pPr>
        <w:spacing w:line="360" w:lineRule="auto"/>
        <w:rPr>
          <w:rFonts w:ascii="宋体" w:hAnsi="宋体"/>
          <w:b/>
          <w:color w:val="auto"/>
          <w:sz w:val="24"/>
          <w:szCs w:val="24"/>
          <w:highlight w:val="none"/>
        </w:rPr>
      </w:pPr>
    </w:p>
    <w:p>
      <w:pPr>
        <w:spacing w:line="360" w:lineRule="auto"/>
        <w:rPr>
          <w:rFonts w:ascii="宋体" w:hAnsi="宋体"/>
          <w:b/>
          <w:color w:val="auto"/>
          <w:sz w:val="24"/>
          <w:szCs w:val="24"/>
          <w:highlight w:val="none"/>
        </w:rPr>
      </w:pPr>
      <w:r>
        <w:rPr>
          <w:rFonts w:hint="eastAsia" w:ascii="宋体" w:hAnsi="宋体"/>
          <w:b/>
          <w:color w:val="auto"/>
          <w:sz w:val="24"/>
          <w:szCs w:val="24"/>
          <w:highlight w:val="none"/>
        </w:rPr>
        <w:t>8.3报价部分得分计算（20分）</w:t>
      </w:r>
    </w:p>
    <w:p>
      <w:pPr>
        <w:adjustRightInd w:val="0"/>
        <w:snapToGrid w:val="0"/>
        <w:spacing w:line="360" w:lineRule="auto"/>
        <w:ind w:right="-10"/>
        <w:rPr>
          <w:rFonts w:ascii="宋体" w:hAnsi="宋体"/>
          <w:bCs/>
          <w:color w:val="auto"/>
          <w:sz w:val="24"/>
          <w:szCs w:val="24"/>
          <w:highlight w:val="none"/>
        </w:rPr>
      </w:pPr>
      <w:r>
        <w:rPr>
          <w:rFonts w:hint="eastAsia" w:ascii="宋体" w:hAnsi="宋体"/>
          <w:bCs/>
          <w:color w:val="auto"/>
          <w:sz w:val="24"/>
          <w:szCs w:val="24"/>
          <w:highlight w:val="none"/>
        </w:rPr>
        <w:t>依据通过初审的有效投标人名单，其投标人的报价部分得分按照以下方式计算：</w:t>
      </w:r>
    </w:p>
    <w:tbl>
      <w:tblPr>
        <w:tblStyle w:val="51"/>
        <w:tblW w:w="10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1056"/>
        <w:gridCol w:w="6950"/>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49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szCs w:val="24"/>
                <w:highlight w:val="none"/>
              </w:rPr>
            </w:pPr>
            <w:r>
              <w:rPr>
                <w:rFonts w:hint="eastAsia" w:ascii="宋体" w:hAnsi="宋体"/>
                <w:b/>
                <w:color w:val="auto"/>
                <w:sz w:val="24"/>
                <w:szCs w:val="24"/>
                <w:highlight w:val="none"/>
              </w:rPr>
              <w:t>报价部分</w:t>
            </w:r>
          </w:p>
        </w:tc>
        <w:tc>
          <w:tcPr>
            <w:tcW w:w="105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最终投标报价</w:t>
            </w:r>
          </w:p>
        </w:tc>
        <w:tc>
          <w:tcPr>
            <w:tcW w:w="695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szCs w:val="24"/>
                <w:highlight w:val="none"/>
              </w:rPr>
            </w:pPr>
            <w:r>
              <w:rPr>
                <w:rFonts w:hint="eastAsia" w:ascii="宋体" w:hAnsi="宋体"/>
                <w:color w:val="auto"/>
                <w:sz w:val="24"/>
                <w:szCs w:val="24"/>
                <w:highlight w:val="none"/>
              </w:rPr>
              <w:t>价格分统一采用低价优先法，及满足招标文件要求且价格最低的投标报价为评标基准价，其价格分满分为</w:t>
            </w:r>
            <w:r>
              <w:rPr>
                <w:rFonts w:ascii="宋体" w:hAnsi="宋体"/>
                <w:color w:val="auto"/>
                <w:sz w:val="24"/>
                <w:szCs w:val="24"/>
                <w:highlight w:val="none"/>
              </w:rPr>
              <w:t>20</w:t>
            </w:r>
            <w:r>
              <w:rPr>
                <w:rFonts w:hint="eastAsia" w:ascii="宋体" w:hAnsi="宋体"/>
                <w:color w:val="auto"/>
                <w:sz w:val="24"/>
                <w:szCs w:val="24"/>
                <w:highlight w:val="none"/>
              </w:rPr>
              <w:t>分，其他供应商的价格分统一按照下列公示计算：投标报价得分=（评价基准价/投标报价）×</w:t>
            </w:r>
            <w:r>
              <w:rPr>
                <w:rFonts w:ascii="宋体" w:hAnsi="宋体"/>
                <w:color w:val="auto"/>
                <w:sz w:val="24"/>
                <w:szCs w:val="24"/>
                <w:highlight w:val="none"/>
              </w:rPr>
              <w:t>20</w:t>
            </w:r>
            <w:r>
              <w:rPr>
                <w:rFonts w:hint="eastAsia" w:ascii="宋体" w:hAnsi="宋体"/>
                <w:color w:val="auto"/>
                <w:sz w:val="24"/>
                <w:szCs w:val="24"/>
                <w:highlight w:val="none"/>
              </w:rPr>
              <w:t>%×</w:t>
            </w:r>
            <w:r>
              <w:rPr>
                <w:rFonts w:ascii="宋体" w:hAnsi="宋体"/>
                <w:color w:val="auto"/>
                <w:sz w:val="24"/>
                <w:szCs w:val="24"/>
                <w:highlight w:val="none"/>
              </w:rPr>
              <w:t>100</w:t>
            </w:r>
          </w:p>
        </w:tc>
        <w:tc>
          <w:tcPr>
            <w:tcW w:w="1072"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0-</w:t>
            </w:r>
            <w:r>
              <w:rPr>
                <w:rFonts w:ascii="宋体" w:hAnsi="宋体" w:cs="宋体"/>
                <w:b/>
                <w:color w:val="auto"/>
                <w:kern w:val="0"/>
                <w:sz w:val="24"/>
                <w:szCs w:val="24"/>
                <w:highlight w:val="none"/>
                <w:u w:val="single"/>
              </w:rPr>
              <w:t>20</w:t>
            </w:r>
            <w:r>
              <w:rPr>
                <w:rFonts w:hint="eastAsia" w:ascii="宋体" w:hAnsi="宋体" w:cs="宋体"/>
                <w:b/>
                <w:color w:val="auto"/>
                <w:kern w:val="0"/>
                <w:sz w:val="24"/>
                <w:szCs w:val="24"/>
                <w:highlight w:val="none"/>
              </w:rPr>
              <w:t>分</w:t>
            </w:r>
          </w:p>
        </w:tc>
      </w:tr>
    </w:tbl>
    <w:p>
      <w:pPr>
        <w:adjustRightInd w:val="0"/>
        <w:snapToGrid w:val="0"/>
        <w:spacing w:line="360" w:lineRule="auto"/>
        <w:ind w:right="-10" w:firstLine="482" w:firstLineChars="200"/>
        <w:rPr>
          <w:rFonts w:ascii="宋体" w:hAnsi="宋体"/>
          <w:color w:val="auto"/>
          <w:sz w:val="24"/>
          <w:highlight w:val="none"/>
        </w:rPr>
      </w:pPr>
      <w:bookmarkStart w:id="53" w:name="_Toc220232391"/>
      <w:r>
        <w:rPr>
          <w:rFonts w:hint="eastAsia" w:ascii="宋体" w:hAnsi="宋体"/>
          <w:b/>
          <w:color w:val="auto"/>
          <w:sz w:val="24"/>
          <w:szCs w:val="24"/>
          <w:highlight w:val="none"/>
        </w:rPr>
        <w:t>8.4确定中标候选人</w:t>
      </w:r>
    </w:p>
    <w:p>
      <w:pPr>
        <w:adjustRightInd w:val="0"/>
        <w:snapToGrid w:val="0"/>
        <w:spacing w:line="360" w:lineRule="auto"/>
        <w:ind w:right="-10" w:firstLine="420" w:firstLineChars="175"/>
        <w:rPr>
          <w:rFonts w:ascii="宋体" w:hAnsi="宋体"/>
          <w:bCs/>
          <w:color w:val="auto"/>
          <w:sz w:val="24"/>
          <w:highlight w:val="none"/>
        </w:rPr>
      </w:pPr>
      <w:r>
        <w:rPr>
          <w:rFonts w:hint="eastAsia" w:ascii="宋体" w:hAnsi="宋体"/>
          <w:bCs/>
          <w:color w:val="auto"/>
          <w:sz w:val="24"/>
          <w:highlight w:val="none"/>
        </w:rPr>
        <w:t>8.4.1计算最终得分</w:t>
      </w:r>
    </w:p>
    <w:p>
      <w:pPr>
        <w:adjustRightInd w:val="0"/>
        <w:snapToGrid w:val="0"/>
        <w:spacing w:line="360" w:lineRule="auto"/>
        <w:ind w:right="-10" w:firstLine="420" w:firstLineChars="175"/>
        <w:rPr>
          <w:rFonts w:ascii="宋体" w:hAnsi="宋体"/>
          <w:bCs/>
          <w:color w:val="auto"/>
          <w:sz w:val="24"/>
          <w:highlight w:val="none"/>
        </w:rPr>
      </w:pPr>
      <w:r>
        <w:rPr>
          <w:rFonts w:hint="eastAsia" w:ascii="宋体" w:hAnsi="宋体"/>
          <w:bCs/>
          <w:color w:val="auto"/>
          <w:sz w:val="24"/>
          <w:highlight w:val="none"/>
        </w:rPr>
        <w:t>将每个有效投标人的商务、技术部分得分加报价部分得分，得出该投标人的最终得分。</w:t>
      </w:r>
    </w:p>
    <w:p>
      <w:pPr>
        <w:adjustRightInd w:val="0"/>
        <w:snapToGrid w:val="0"/>
        <w:spacing w:line="360" w:lineRule="auto"/>
        <w:ind w:right="-10" w:firstLine="420" w:firstLineChars="175"/>
        <w:rPr>
          <w:rFonts w:ascii="宋体" w:hAnsi="宋体"/>
          <w:bCs/>
          <w:color w:val="auto"/>
          <w:sz w:val="24"/>
          <w:highlight w:val="none"/>
        </w:rPr>
      </w:pPr>
      <w:r>
        <w:rPr>
          <w:rFonts w:hint="eastAsia" w:ascii="宋体" w:hAnsi="宋体"/>
          <w:bCs/>
          <w:color w:val="auto"/>
          <w:sz w:val="24"/>
          <w:highlight w:val="none"/>
        </w:rPr>
        <w:t>投标人的各项得分均</w:t>
      </w:r>
      <w:bookmarkStart w:id="54" w:name="_Hlk514730679"/>
      <w:r>
        <w:rPr>
          <w:rFonts w:hint="eastAsia" w:ascii="宋体" w:hAnsi="宋体"/>
          <w:bCs/>
          <w:color w:val="auto"/>
          <w:sz w:val="24"/>
          <w:highlight w:val="none"/>
        </w:rPr>
        <w:t>保留小数点后两位（小数点后第三位四舍五入）</w:t>
      </w:r>
      <w:bookmarkEnd w:id="54"/>
      <w:r>
        <w:rPr>
          <w:rFonts w:hint="eastAsia" w:ascii="宋体" w:hAnsi="宋体"/>
          <w:bCs/>
          <w:color w:val="auto"/>
          <w:sz w:val="24"/>
          <w:highlight w:val="none"/>
        </w:rPr>
        <w:t>。</w:t>
      </w:r>
    </w:p>
    <w:p>
      <w:pPr>
        <w:adjustRightInd w:val="0"/>
        <w:snapToGrid w:val="0"/>
        <w:spacing w:line="360" w:lineRule="auto"/>
        <w:ind w:right="-10" w:firstLine="420" w:firstLineChars="175"/>
        <w:rPr>
          <w:rFonts w:ascii="宋体" w:hAnsi="宋体"/>
          <w:bCs/>
          <w:color w:val="auto"/>
          <w:sz w:val="24"/>
          <w:highlight w:val="none"/>
        </w:rPr>
      </w:pPr>
      <w:r>
        <w:rPr>
          <w:rFonts w:hint="eastAsia" w:ascii="宋体" w:hAnsi="宋体"/>
          <w:bCs/>
          <w:color w:val="auto"/>
          <w:sz w:val="24"/>
          <w:highlight w:val="none"/>
        </w:rPr>
        <w:t>8.4.2按照有效投标人最终得分由高到低排出中标候选人。</w:t>
      </w:r>
    </w:p>
    <w:p>
      <w:pPr>
        <w:adjustRightInd w:val="0"/>
        <w:snapToGrid w:val="0"/>
        <w:spacing w:line="360" w:lineRule="auto"/>
        <w:ind w:right="-10" w:firstLine="420" w:firstLineChars="175"/>
        <w:rPr>
          <w:rFonts w:ascii="宋体" w:hAnsi="宋体"/>
          <w:bCs/>
          <w:color w:val="auto"/>
          <w:sz w:val="24"/>
          <w:highlight w:val="none"/>
        </w:rPr>
      </w:pPr>
      <w:r>
        <w:rPr>
          <w:rFonts w:hint="eastAsia" w:ascii="宋体" w:hAnsi="宋体"/>
          <w:bCs/>
          <w:color w:val="auto"/>
          <w:sz w:val="24"/>
          <w:highlight w:val="none"/>
        </w:rPr>
        <w:t>最终得分相同的，按技术部分得分由高到低顺序排序。技术部分得分及最终得分均相同的，</w:t>
      </w:r>
      <w:bookmarkStart w:id="55" w:name="_Hlk514735510"/>
      <w:r>
        <w:rPr>
          <w:rFonts w:hint="eastAsia" w:ascii="宋体" w:hAnsi="宋体"/>
          <w:bCs/>
          <w:color w:val="auto"/>
          <w:sz w:val="24"/>
          <w:highlight w:val="none"/>
        </w:rPr>
        <w:t>则采取评标委员会抽签方式确定其前后次序。</w:t>
      </w:r>
      <w:bookmarkEnd w:id="55"/>
    </w:p>
    <w:p>
      <w:pPr>
        <w:adjustRightInd w:val="0"/>
        <w:snapToGrid w:val="0"/>
        <w:spacing w:line="360" w:lineRule="auto"/>
        <w:ind w:right="-10" w:firstLine="422" w:firstLineChars="175"/>
        <w:rPr>
          <w:rFonts w:ascii="宋体" w:hAnsi="宋体"/>
          <w:bCs/>
          <w:color w:val="auto"/>
          <w:sz w:val="24"/>
          <w:highlight w:val="none"/>
        </w:rPr>
      </w:pPr>
      <w:r>
        <w:rPr>
          <w:rFonts w:hint="eastAsia" w:ascii="宋体" w:hAnsi="宋体"/>
          <w:b/>
          <w:bCs/>
          <w:color w:val="auto"/>
          <w:sz w:val="24"/>
          <w:highlight w:val="none"/>
        </w:rPr>
        <w:t>9.</w:t>
      </w:r>
      <w:r>
        <w:rPr>
          <w:rFonts w:hint="eastAsia" w:ascii="宋体" w:hAnsi="宋体"/>
          <w:bCs/>
          <w:color w:val="auto"/>
          <w:sz w:val="24"/>
          <w:highlight w:val="none"/>
        </w:rPr>
        <w:t>各投标人的得分一经得出，并核对无误后，任何人不得更改。</w:t>
      </w:r>
    </w:p>
    <w:p>
      <w:pPr>
        <w:pStyle w:val="20"/>
        <w:spacing w:line="360" w:lineRule="auto"/>
        <w:ind w:right="-10"/>
        <w:rPr>
          <w:rFonts w:ascii="宋体" w:hAnsi="宋体"/>
          <w:color w:val="auto"/>
          <w:sz w:val="24"/>
          <w:highlight w:val="none"/>
        </w:rPr>
      </w:pPr>
      <w:r>
        <w:rPr>
          <w:rFonts w:hint="eastAsia" w:ascii="宋体" w:hAnsi="宋体"/>
          <w:b/>
          <w:color w:val="auto"/>
          <w:sz w:val="24"/>
          <w:highlight w:val="none"/>
        </w:rPr>
        <w:t>10.</w:t>
      </w:r>
      <w:r>
        <w:rPr>
          <w:rFonts w:hint="eastAsia" w:ascii="宋体" w:hAnsi="宋体"/>
          <w:color w:val="auto"/>
          <w:sz w:val="24"/>
          <w:highlight w:val="none"/>
        </w:rPr>
        <w:t>如果有效投标报价出现两家或两家以上相同者，则采取评标委员会抽签方式确定其前后次序。</w:t>
      </w:r>
    </w:p>
    <w:p>
      <w:pPr>
        <w:adjustRightInd w:val="0"/>
        <w:snapToGrid w:val="0"/>
        <w:spacing w:line="360" w:lineRule="auto"/>
        <w:ind w:right="-10" w:firstLine="482" w:firstLineChars="200"/>
        <w:rPr>
          <w:rFonts w:ascii="宋体" w:hAnsi="宋体"/>
          <w:b/>
          <w:color w:val="auto"/>
          <w:sz w:val="24"/>
          <w:highlight w:val="none"/>
        </w:rPr>
      </w:pPr>
      <w:r>
        <w:rPr>
          <w:rFonts w:hint="eastAsia" w:ascii="宋体" w:hAnsi="宋体"/>
          <w:b/>
          <w:color w:val="auto"/>
          <w:sz w:val="24"/>
          <w:highlight w:val="none"/>
        </w:rPr>
        <w:t>11.</w:t>
      </w:r>
      <w:r>
        <w:rPr>
          <w:rFonts w:hint="eastAsia" w:ascii="宋体" w:hAnsi="宋体"/>
          <w:color w:val="auto"/>
          <w:sz w:val="24"/>
          <w:highlight w:val="none"/>
        </w:rPr>
        <w:t>评标委员会在评标过程中发现的问题，应当及时作出处理或者向招标人提出处理建议，并作书面记录。</w:t>
      </w:r>
    </w:p>
    <w:p>
      <w:pPr>
        <w:adjustRightInd w:val="0"/>
        <w:snapToGrid w:val="0"/>
        <w:spacing w:line="360" w:lineRule="auto"/>
        <w:ind w:right="-10" w:firstLine="482" w:firstLineChars="200"/>
        <w:rPr>
          <w:rFonts w:ascii="宋体" w:hAnsi="宋体"/>
          <w:color w:val="auto"/>
          <w:sz w:val="24"/>
          <w:highlight w:val="none"/>
        </w:rPr>
      </w:pPr>
      <w:r>
        <w:rPr>
          <w:rFonts w:hint="eastAsia" w:ascii="宋体" w:hAnsi="宋体"/>
          <w:b/>
          <w:color w:val="auto"/>
          <w:sz w:val="24"/>
          <w:highlight w:val="none"/>
        </w:rPr>
        <w:t>12.</w:t>
      </w:r>
      <w:r>
        <w:rPr>
          <w:rFonts w:hint="eastAsia" w:ascii="宋体" w:hAnsi="宋体"/>
          <w:color w:val="auto"/>
          <w:sz w:val="24"/>
          <w:highlight w:val="none"/>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招标文件设定的最高投标限价的，将否决其投标。对于询标后判定为不符合招标文件的报价，评委要提出充足的否定理由，并予以书面记录。最终对投标人的评审结论分为通过和未通过。</w:t>
      </w:r>
    </w:p>
    <w:p>
      <w:pPr>
        <w:adjustRightInd w:val="0"/>
        <w:snapToGrid w:val="0"/>
        <w:spacing w:line="360" w:lineRule="auto"/>
        <w:ind w:right="-10" w:firstLine="482" w:firstLineChars="200"/>
        <w:rPr>
          <w:rFonts w:ascii="宋体" w:hAnsi="宋体"/>
          <w:color w:val="auto"/>
          <w:sz w:val="24"/>
          <w:highlight w:val="none"/>
        </w:rPr>
      </w:pPr>
      <w:r>
        <w:rPr>
          <w:rFonts w:hint="eastAsia" w:ascii="宋体" w:hAnsi="宋体"/>
          <w:b/>
          <w:color w:val="auto"/>
          <w:sz w:val="24"/>
          <w:highlight w:val="none"/>
        </w:rPr>
        <w:t>13.</w:t>
      </w:r>
      <w:r>
        <w:rPr>
          <w:rFonts w:hint="eastAsia" w:ascii="宋体" w:hAnsi="宋体"/>
          <w:color w:val="auto"/>
          <w:sz w:val="24"/>
          <w:highlight w:val="none"/>
        </w:rPr>
        <w:t>投标人投标报价与公布的预算价（或控制价)相比降幅过小，或投标人投标报价明显缺乏竞争性的，评标委员会可以否决所有投标。</w:t>
      </w:r>
    </w:p>
    <w:p>
      <w:pPr>
        <w:adjustRightInd w:val="0"/>
        <w:snapToGrid w:val="0"/>
        <w:spacing w:line="360" w:lineRule="auto"/>
        <w:ind w:right="-10" w:firstLine="472" w:firstLineChars="196"/>
        <w:rPr>
          <w:rFonts w:ascii="宋体" w:hAnsi="宋体"/>
          <w:bCs/>
          <w:color w:val="auto"/>
          <w:sz w:val="24"/>
          <w:highlight w:val="none"/>
        </w:rPr>
      </w:pPr>
      <w:r>
        <w:rPr>
          <w:rFonts w:hint="eastAsia" w:ascii="宋体" w:hAnsi="宋体"/>
          <w:b/>
          <w:bCs/>
          <w:color w:val="auto"/>
          <w:sz w:val="24"/>
          <w:highlight w:val="none"/>
        </w:rPr>
        <w:t>14.</w:t>
      </w:r>
      <w:r>
        <w:rPr>
          <w:rFonts w:hint="eastAsia" w:ascii="宋体" w:hAnsi="宋体"/>
          <w:bCs/>
          <w:color w:val="auto"/>
          <w:sz w:val="24"/>
          <w:highlight w:val="none"/>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pPr>
        <w:adjustRightInd w:val="0"/>
        <w:snapToGrid w:val="0"/>
        <w:spacing w:line="360" w:lineRule="auto"/>
        <w:ind w:right="-10" w:firstLine="482" w:firstLineChars="200"/>
        <w:rPr>
          <w:rFonts w:ascii="宋体" w:hAnsi="宋体"/>
          <w:color w:val="auto"/>
          <w:sz w:val="24"/>
          <w:highlight w:val="none"/>
        </w:rPr>
      </w:pPr>
      <w:r>
        <w:rPr>
          <w:rFonts w:hint="eastAsia" w:ascii="宋体" w:hAnsi="宋体"/>
          <w:b/>
          <w:bCs/>
          <w:color w:val="auto"/>
          <w:sz w:val="24"/>
          <w:highlight w:val="none"/>
        </w:rPr>
        <w:t>15.</w:t>
      </w:r>
      <w:r>
        <w:rPr>
          <w:rFonts w:hint="eastAsia" w:ascii="宋体" w:hAnsi="宋体"/>
          <w:color w:val="auto"/>
          <w:sz w:val="24"/>
          <w:highlight w:val="none"/>
        </w:rPr>
        <w:t xml:space="preserve"> 评标委员会和评标工作人员应严格遵守国家的法律、法规和规章制度；严格按照本次招标文件进行评标；公正廉洁、不徇私情，不得损害国家利益；保护招、投标人的合法权益。</w:t>
      </w:r>
    </w:p>
    <w:p>
      <w:pPr>
        <w:spacing w:line="360" w:lineRule="auto"/>
        <w:ind w:firstLine="482" w:firstLineChars="200"/>
        <w:rPr>
          <w:rFonts w:ascii="宋体" w:hAnsi="宋体"/>
          <w:bCs/>
          <w:color w:val="auto"/>
          <w:sz w:val="24"/>
          <w:highlight w:val="none"/>
        </w:rPr>
      </w:pPr>
      <w:r>
        <w:rPr>
          <w:rFonts w:hint="eastAsia" w:ascii="宋体" w:hAnsi="宋体"/>
          <w:b/>
          <w:bCs/>
          <w:color w:val="auto"/>
          <w:sz w:val="24"/>
          <w:highlight w:val="none"/>
        </w:rPr>
        <w:t>16.</w:t>
      </w:r>
      <w:r>
        <w:rPr>
          <w:rFonts w:hint="eastAsia" w:ascii="宋体" w:hAnsi="宋体"/>
          <w:bCs/>
          <w:color w:val="auto"/>
          <w:sz w:val="24"/>
          <w:highlight w:val="none"/>
        </w:rPr>
        <w:t>在评标过程中，评委及其他评标工作人员必须对评标情况严格保密，任何人不得将评标情况透露给与投标人有关的单位和个人</w:t>
      </w:r>
      <w:bookmarkStart w:id="56" w:name="_Toc531011540"/>
    </w:p>
    <w:p>
      <w:pPr>
        <w:pStyle w:val="19"/>
        <w:spacing w:line="360" w:lineRule="auto"/>
        <w:ind w:firstLine="482" w:firstLineChars="200"/>
        <w:rPr>
          <w:rFonts w:hAnsi="宋体" w:cs="黑体"/>
          <w:b/>
          <w:color w:val="auto"/>
          <w:sz w:val="24"/>
          <w:szCs w:val="24"/>
          <w:highlight w:val="none"/>
        </w:rPr>
      </w:pPr>
      <w:r>
        <w:rPr>
          <w:rFonts w:hint="eastAsia" w:hAnsi="宋体"/>
          <w:b/>
          <w:bCs/>
          <w:color w:val="auto"/>
          <w:sz w:val="24"/>
          <w:highlight w:val="none"/>
        </w:rPr>
        <w:t>1</w:t>
      </w:r>
      <w:r>
        <w:rPr>
          <w:rFonts w:hAnsi="宋体"/>
          <w:b/>
          <w:bCs/>
          <w:color w:val="auto"/>
          <w:sz w:val="24"/>
          <w:highlight w:val="none"/>
        </w:rPr>
        <w:t>7.</w:t>
      </w:r>
      <w:r>
        <w:rPr>
          <w:rFonts w:hint="eastAsia" w:hAnsi="宋体" w:cs="黑体"/>
          <w:b/>
          <w:color w:val="auto"/>
          <w:sz w:val="24"/>
          <w:szCs w:val="24"/>
          <w:highlight w:val="none"/>
        </w:rPr>
        <w:t>其他</w:t>
      </w:r>
    </w:p>
    <w:p>
      <w:pPr>
        <w:pStyle w:val="139"/>
        <w:spacing w:line="360" w:lineRule="auto"/>
        <w:ind w:firstLine="482" w:firstLineChars="200"/>
        <w:rPr>
          <w:rFonts w:ascii="宋体" w:hAnsi="宋体"/>
          <w:b/>
          <w:color w:val="auto"/>
          <w:sz w:val="24"/>
          <w:highlight w:val="none"/>
        </w:rPr>
      </w:pPr>
      <w:r>
        <w:rPr>
          <w:rFonts w:hint="eastAsia" w:ascii="宋体" w:hAnsi="宋体"/>
          <w:b/>
          <w:bCs/>
          <w:color w:val="auto"/>
          <w:kern w:val="0"/>
          <w:sz w:val="24"/>
          <w:highlight w:val="none"/>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不诚信行为。合肥文旅博览集团将按相关规定予以处罚并记入不良行为记录，予以披露</w:t>
      </w:r>
      <w:r>
        <w:rPr>
          <w:rFonts w:hint="eastAsia" w:ascii="宋体" w:hAnsi="宋体"/>
          <w:b/>
          <w:color w:val="auto"/>
          <w:sz w:val="24"/>
          <w:highlight w:val="none"/>
        </w:rPr>
        <w:t>。</w:t>
      </w:r>
    </w:p>
    <w:p>
      <w:pPr>
        <w:rPr>
          <w:color w:val="auto"/>
          <w:highlight w:val="none"/>
        </w:rPr>
      </w:pPr>
    </w:p>
    <w:bookmarkEnd w:id="53"/>
    <w:bookmarkEnd w:id="56"/>
    <w:p>
      <w:pPr>
        <w:pStyle w:val="3"/>
        <w:spacing w:line="500" w:lineRule="exact"/>
        <w:rPr>
          <w:rFonts w:ascii="宋体" w:hAnsi="宋体" w:eastAsia="宋体"/>
          <w:color w:val="auto"/>
          <w:highlight w:val="none"/>
        </w:rPr>
      </w:pPr>
      <w:bookmarkStart w:id="57" w:name="_Toc28461"/>
      <w:r>
        <w:rPr>
          <w:rFonts w:hint="eastAsia" w:ascii="宋体" w:hAnsi="宋体" w:eastAsia="宋体"/>
          <w:color w:val="auto"/>
          <w:highlight w:val="none"/>
        </w:rPr>
        <w:t>第六章</w:t>
      </w:r>
      <w:bookmarkStart w:id="58" w:name="_Toc220232392"/>
      <w:r>
        <w:rPr>
          <w:rFonts w:hint="eastAsia" w:ascii="宋体" w:hAnsi="宋体" w:eastAsia="宋体"/>
          <w:color w:val="auto"/>
          <w:highlight w:val="none"/>
        </w:rPr>
        <w:t xml:space="preserve"> 合同</w:t>
      </w:r>
      <w:bookmarkEnd w:id="57"/>
      <w:bookmarkEnd w:id="58"/>
    </w:p>
    <w:p>
      <w:pPr>
        <w:spacing w:line="360" w:lineRule="auto"/>
        <w:ind w:firstLine="482" w:firstLineChars="200"/>
        <w:rPr>
          <w:rFonts w:ascii="宋体" w:hAnsi="宋体" w:cs="华文仿宋"/>
          <w:b/>
          <w:bCs/>
          <w:color w:val="auto"/>
          <w:sz w:val="24"/>
          <w:szCs w:val="24"/>
          <w:highlight w:val="none"/>
          <w:u w:val="single"/>
        </w:rPr>
      </w:pPr>
      <w:r>
        <w:rPr>
          <w:rFonts w:hint="eastAsia" w:ascii="宋体" w:hAnsi="宋体" w:cs="华文仿宋"/>
          <w:b/>
          <w:bCs/>
          <w:color w:val="auto"/>
          <w:sz w:val="24"/>
          <w:szCs w:val="24"/>
          <w:highlight w:val="none"/>
        </w:rPr>
        <w:t>甲方（招标人）：</w:t>
      </w:r>
      <w:r>
        <w:rPr>
          <w:rFonts w:hint="eastAsia" w:ascii="宋体" w:hAnsi="宋体" w:cs="华文仿宋"/>
          <w:b/>
          <w:bCs/>
          <w:color w:val="auto"/>
          <w:sz w:val="24"/>
          <w:szCs w:val="24"/>
          <w:highlight w:val="none"/>
          <w:u w:val="single"/>
        </w:rPr>
        <w:t>合肥文旅博览集团有限公司</w:t>
      </w:r>
    </w:p>
    <w:p>
      <w:pPr>
        <w:spacing w:line="360" w:lineRule="auto"/>
        <w:ind w:firstLine="482" w:firstLineChars="200"/>
        <w:rPr>
          <w:rFonts w:ascii="宋体" w:hAnsi="宋体" w:cs="华文仿宋"/>
          <w:b/>
          <w:bCs/>
          <w:color w:val="auto"/>
          <w:sz w:val="24"/>
          <w:szCs w:val="24"/>
          <w:highlight w:val="none"/>
        </w:rPr>
      </w:pPr>
      <w:r>
        <w:rPr>
          <w:rFonts w:hint="eastAsia" w:ascii="宋体" w:hAnsi="宋体" w:cs="华文仿宋"/>
          <w:b/>
          <w:bCs/>
          <w:color w:val="auto"/>
          <w:sz w:val="24"/>
          <w:szCs w:val="24"/>
          <w:highlight w:val="none"/>
        </w:rPr>
        <w:t>乙方（中标人）：</w:t>
      </w:r>
    </w:p>
    <w:p>
      <w:pPr>
        <w:spacing w:line="360" w:lineRule="auto"/>
        <w:ind w:firstLine="482" w:firstLineChars="200"/>
        <w:rPr>
          <w:rFonts w:ascii="宋体" w:hAnsi="宋体" w:cs="华文仿宋"/>
          <w:b/>
          <w:bCs/>
          <w:color w:val="auto"/>
          <w:sz w:val="24"/>
          <w:szCs w:val="24"/>
          <w:highlight w:val="none"/>
        </w:rPr>
      </w:pPr>
      <w:r>
        <w:rPr>
          <w:rFonts w:hint="eastAsia" w:ascii="宋体" w:hAnsi="宋体" w:cs="华文仿宋"/>
          <w:b/>
          <w:bCs/>
          <w:color w:val="auto"/>
          <w:sz w:val="24"/>
          <w:szCs w:val="24"/>
          <w:highlight w:val="none"/>
        </w:rPr>
        <w:t>项目名称：</w:t>
      </w:r>
      <w:r>
        <w:rPr>
          <w:rFonts w:ascii="宋体" w:hAnsi="宋体" w:cs="华文仿宋"/>
          <w:b/>
          <w:bCs/>
          <w:color w:val="auto"/>
          <w:sz w:val="24"/>
          <w:szCs w:val="24"/>
          <w:highlight w:val="none"/>
        </w:rPr>
        <w:t xml:space="preserve"> </w:t>
      </w:r>
    </w:p>
    <w:p>
      <w:pPr>
        <w:spacing w:line="360" w:lineRule="auto"/>
        <w:ind w:firstLine="480" w:firstLineChars="200"/>
        <w:rPr>
          <w:rFonts w:ascii="宋体" w:hAnsi="宋体" w:cs="华文仿宋"/>
          <w:color w:val="auto"/>
          <w:sz w:val="24"/>
          <w:szCs w:val="24"/>
          <w:highlight w:val="none"/>
        </w:rPr>
      </w:pPr>
      <w:r>
        <w:rPr>
          <w:rFonts w:hint="eastAsia" w:ascii="宋体" w:hAnsi="宋体" w:cs="华文仿宋"/>
          <w:color w:val="auto"/>
          <w:sz w:val="24"/>
          <w:szCs w:val="24"/>
          <w:highlight w:val="none"/>
        </w:rPr>
        <w:t>本项目采用</w:t>
      </w:r>
      <w:r>
        <w:rPr>
          <w:rFonts w:hint="eastAsia" w:ascii="宋体" w:hAnsi="宋体" w:cs="华文仿宋"/>
          <w:color w:val="auto"/>
          <w:sz w:val="24"/>
          <w:szCs w:val="24"/>
          <w:highlight w:val="none"/>
          <w:u w:val="single"/>
        </w:rPr>
        <w:t>公开招标</w:t>
      </w:r>
      <w:r>
        <w:rPr>
          <w:rFonts w:hint="eastAsia" w:ascii="宋体" w:hAnsi="宋体" w:cs="华文仿宋"/>
          <w:color w:val="auto"/>
          <w:sz w:val="24"/>
          <w:szCs w:val="24"/>
          <w:highlight w:val="none"/>
        </w:rPr>
        <w:t>方式进行招标。经甲方（招标人）</w:t>
      </w:r>
      <w:r>
        <w:rPr>
          <w:rFonts w:hint="eastAsia" w:ascii="宋体" w:hAnsi="宋体" w:cs="华文仿宋"/>
          <w:color w:val="auto"/>
          <w:sz w:val="24"/>
          <w:szCs w:val="24"/>
          <w:highlight w:val="none"/>
          <w:u w:val="single"/>
        </w:rPr>
        <w:t>评标委员会</w:t>
      </w:r>
      <w:r>
        <w:rPr>
          <w:rFonts w:hint="eastAsia" w:ascii="宋体" w:hAnsi="宋体" w:cs="华文仿宋"/>
          <w:color w:val="auto"/>
          <w:sz w:val="24"/>
          <w:szCs w:val="24"/>
          <w:highlight w:val="none"/>
        </w:rPr>
        <w:t>认真评审，决定将合同授予乙方（中标人）。为进一步明确双方的</w:t>
      </w:r>
      <w:r>
        <w:rPr>
          <w:rFonts w:ascii="宋体" w:hAnsi="宋体" w:cs="华文仿宋"/>
          <w:color w:val="auto"/>
          <w:sz w:val="24"/>
          <w:szCs w:val="24"/>
          <w:highlight w:val="none"/>
        </w:rPr>
        <w:t>权利义务</w:t>
      </w:r>
      <w:r>
        <w:rPr>
          <w:rFonts w:hint="eastAsia" w:ascii="宋体" w:hAnsi="宋体" w:cs="华文仿宋"/>
          <w:color w:val="auto"/>
          <w:sz w:val="24"/>
          <w:szCs w:val="24"/>
          <w:highlight w:val="none"/>
        </w:rPr>
        <w:t>，根据《中华人民共和国民法典》</w:t>
      </w:r>
      <w:r>
        <w:rPr>
          <w:rFonts w:ascii="宋体" w:hAnsi="宋体" w:cs="华文仿宋"/>
          <w:color w:val="auto"/>
          <w:sz w:val="24"/>
          <w:szCs w:val="24"/>
          <w:highlight w:val="none"/>
        </w:rPr>
        <w:t>相关规定</w:t>
      </w:r>
      <w:r>
        <w:rPr>
          <w:rFonts w:hint="eastAsia" w:ascii="宋体" w:hAnsi="宋体" w:cs="华文仿宋"/>
          <w:color w:val="auto"/>
          <w:sz w:val="24"/>
          <w:szCs w:val="24"/>
          <w:highlight w:val="none"/>
        </w:rPr>
        <w:t>以及招投标文件、中标（成交）通知书等相关资料，经</w:t>
      </w:r>
      <w:r>
        <w:rPr>
          <w:rFonts w:ascii="宋体" w:hAnsi="宋体" w:cs="华文仿宋"/>
          <w:color w:val="auto"/>
          <w:sz w:val="24"/>
          <w:szCs w:val="24"/>
          <w:highlight w:val="none"/>
        </w:rPr>
        <w:t>甲乙</w:t>
      </w:r>
      <w:r>
        <w:rPr>
          <w:rFonts w:hint="eastAsia" w:ascii="宋体" w:hAnsi="宋体" w:cs="华文仿宋"/>
          <w:color w:val="auto"/>
          <w:sz w:val="24"/>
          <w:szCs w:val="24"/>
          <w:highlight w:val="none"/>
        </w:rPr>
        <w:t>双方充分协商，特订立本合同，以便共同遵守。</w:t>
      </w:r>
    </w:p>
    <w:p>
      <w:pPr>
        <w:spacing w:line="360" w:lineRule="auto"/>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rPr>
        <w:t>第一条 委托内容</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经</w:t>
      </w:r>
      <w:r>
        <w:rPr>
          <w:rFonts w:ascii="宋体" w:hAnsi="宋体"/>
          <w:color w:val="auto"/>
          <w:sz w:val="24"/>
          <w:szCs w:val="24"/>
          <w:highlight w:val="none"/>
        </w:rPr>
        <w:t>甲方委托</w:t>
      </w:r>
      <w:r>
        <w:rPr>
          <w:rFonts w:hint="eastAsia" w:ascii="宋体" w:hAnsi="宋体"/>
          <w:color w:val="auto"/>
          <w:sz w:val="24"/>
          <w:szCs w:val="24"/>
          <w:highlight w:val="none"/>
        </w:rPr>
        <w:t>，由乙方提供人才招聘服</w:t>
      </w:r>
      <w:r>
        <w:rPr>
          <w:rFonts w:hint="eastAsia" w:ascii="宋体" w:hAnsi="宋体" w:cs="华文仿宋"/>
          <w:color w:val="auto"/>
          <w:sz w:val="24"/>
          <w:szCs w:val="24"/>
          <w:highlight w:val="none"/>
        </w:rPr>
        <w:t>务，具体</w:t>
      </w:r>
      <w:r>
        <w:rPr>
          <w:rFonts w:hint="eastAsia" w:ascii="宋体" w:hAnsi="宋体"/>
          <w:color w:val="auto"/>
          <w:kern w:val="0"/>
          <w:sz w:val="24"/>
          <w:szCs w:val="24"/>
          <w:highlight w:val="none"/>
        </w:rPr>
        <w:t>包括制作、发布招聘公告；简历筛选；笔试命题、组卷；笔试试卷、答题纸、手机袋印刷；笔试考场安排；笔试服务；监考；阅卷；统分；发送测评邀请；面试命题、考官安排；面试考场安排；面试服务；背景调查；短信通知以及其他招聘所需活动。</w:t>
      </w:r>
      <w:r>
        <w:rPr>
          <w:rFonts w:hint="eastAsia" w:ascii="宋体" w:hAnsi="宋体"/>
          <w:color w:val="auto"/>
          <w:sz w:val="24"/>
          <w:szCs w:val="24"/>
          <w:highlight w:val="none"/>
        </w:rPr>
        <w:t>详见附件一《招聘总体步骤和要求》。</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、招聘人数：</w:t>
      </w:r>
    </w:p>
    <w:p>
      <w:pPr>
        <w:spacing w:line="360" w:lineRule="auto"/>
        <w:ind w:firstLine="480" w:firstLineChars="200"/>
        <w:rPr>
          <w:rFonts w:ascii="宋体" w:hAnsi="宋体"/>
          <w:b/>
          <w:color w:val="auto"/>
          <w:sz w:val="24"/>
          <w:szCs w:val="24"/>
          <w:highlight w:val="none"/>
        </w:rPr>
      </w:pPr>
      <w:r>
        <w:rPr>
          <w:rFonts w:hint="eastAsia" w:ascii="宋体" w:hAnsi="宋体"/>
          <w:color w:val="auto"/>
          <w:sz w:val="24"/>
          <w:szCs w:val="24"/>
          <w:highlight w:val="none"/>
        </w:rPr>
        <w:t>3、服务期限：应在</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hint="eastAsia" w:ascii="宋体" w:hAnsi="宋体"/>
          <w:color w:val="auto"/>
          <w:sz w:val="24"/>
          <w:szCs w:val="24"/>
          <w:highlight w:val="none"/>
        </w:rPr>
        <w:t>前完成招聘工作，具体时间安排以甲方通知为准。</w:t>
      </w:r>
      <w:r>
        <w:rPr>
          <w:rFonts w:hint="eastAsia" w:ascii="宋体" w:hAnsi="宋体"/>
          <w:b/>
          <w:color w:val="auto"/>
          <w:sz w:val="24"/>
          <w:szCs w:val="24"/>
          <w:highlight w:val="none"/>
        </w:rPr>
        <w:t>第二条 费用支付</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、委托服务费：元，（人民币大写元），为乙方为受托组织本次招聘活动的全部费用。包括但不限于乙方为</w:t>
      </w:r>
      <w:r>
        <w:rPr>
          <w:rFonts w:hint="eastAsia" w:ascii="宋体" w:hAnsi="宋体"/>
          <w:color w:val="auto"/>
          <w:kern w:val="0"/>
          <w:sz w:val="24"/>
          <w:szCs w:val="24"/>
          <w:highlight w:val="none"/>
        </w:rPr>
        <w:t>制作、发布招聘公告；简历筛选；笔试命题、组卷；笔试试卷、答题纸、手机袋印刷；笔试考场安排；笔试服务；监考；阅卷；统分；发送测评邀请；面试命题、考官安排；面试考场安排；面试服务；背景调查；短信通知</w:t>
      </w:r>
      <w:r>
        <w:rPr>
          <w:rFonts w:ascii="宋体" w:hAnsi="宋体"/>
          <w:color w:val="auto"/>
          <w:sz w:val="24"/>
          <w:szCs w:val="24"/>
          <w:highlight w:val="none"/>
        </w:rPr>
        <w:t>以及其他招聘</w:t>
      </w:r>
      <w:r>
        <w:rPr>
          <w:rFonts w:hint="eastAsia" w:ascii="宋体" w:hAnsi="宋体"/>
          <w:color w:val="auto"/>
          <w:sz w:val="24"/>
          <w:szCs w:val="24"/>
          <w:highlight w:val="none"/>
        </w:rPr>
        <w:t>所需</w:t>
      </w:r>
      <w:r>
        <w:rPr>
          <w:rFonts w:ascii="宋体" w:hAnsi="宋体"/>
          <w:color w:val="auto"/>
          <w:sz w:val="24"/>
          <w:szCs w:val="24"/>
          <w:highlight w:val="none"/>
        </w:rPr>
        <w:t>活动</w:t>
      </w:r>
      <w:r>
        <w:rPr>
          <w:rFonts w:hint="eastAsia" w:ascii="宋体" w:hAnsi="宋体"/>
          <w:color w:val="auto"/>
          <w:sz w:val="24"/>
          <w:szCs w:val="24"/>
          <w:highlight w:val="none"/>
        </w:rPr>
        <w:t>中产生的一切费用。</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2、付款方式——</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pPr>
        <w:spacing w:line="360" w:lineRule="auto"/>
        <w:ind w:firstLine="600" w:firstLineChars="250"/>
        <w:rPr>
          <w:rFonts w:ascii="宋体" w:hAnsi="宋体"/>
          <w:color w:val="auto"/>
          <w:sz w:val="24"/>
          <w:szCs w:val="24"/>
          <w:highlight w:val="none"/>
        </w:rPr>
      </w:pPr>
      <w:r>
        <w:rPr>
          <w:rFonts w:hint="eastAsia" w:ascii="宋体" w:hAnsi="宋体"/>
          <w:color w:val="auto"/>
          <w:sz w:val="24"/>
          <w:szCs w:val="24"/>
          <w:highlight w:val="none"/>
        </w:rPr>
        <w:t>3、甲方开票信息及乙方银行账户信息如下：</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①.</w:t>
      </w:r>
      <w:r>
        <w:rPr>
          <w:rFonts w:hint="eastAsia" w:ascii="宋体" w:hAnsi="宋体"/>
          <w:color w:val="auto"/>
          <w:sz w:val="24"/>
          <w:szCs w:val="24"/>
          <w:highlight w:val="none"/>
        </w:rPr>
        <w:t>甲方开票信息</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公司名称：</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税号：</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开户银行：</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银行账户：</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公司地址：</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②.</w:t>
      </w:r>
      <w:r>
        <w:rPr>
          <w:rFonts w:hint="eastAsia" w:ascii="宋体" w:hAnsi="宋体"/>
          <w:color w:val="auto"/>
          <w:sz w:val="24"/>
          <w:szCs w:val="24"/>
          <w:highlight w:val="none"/>
        </w:rPr>
        <w:t>乙方</w:t>
      </w:r>
      <w:r>
        <w:rPr>
          <w:rFonts w:ascii="宋体" w:hAnsi="宋体"/>
          <w:color w:val="auto"/>
          <w:sz w:val="24"/>
          <w:szCs w:val="24"/>
          <w:highlight w:val="none"/>
        </w:rPr>
        <w:t>银行</w:t>
      </w:r>
      <w:r>
        <w:rPr>
          <w:rFonts w:hint="eastAsia" w:ascii="宋体" w:hAnsi="宋体"/>
          <w:color w:val="auto"/>
          <w:sz w:val="24"/>
          <w:szCs w:val="24"/>
          <w:highlight w:val="none"/>
        </w:rPr>
        <w:t>账户信息</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名称： </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公司账号：</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开户行：</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4、乙方应按照以下的约定提供增值税专用发票。</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①.</w:t>
      </w:r>
      <w:r>
        <w:rPr>
          <w:rFonts w:hint="eastAsia" w:ascii="宋体" w:hAnsi="宋体"/>
          <w:color w:val="auto"/>
          <w:sz w:val="24"/>
          <w:szCs w:val="24"/>
          <w:highlight w:val="none"/>
        </w:rPr>
        <w:t>在甲方付款前；</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②.</w:t>
      </w:r>
      <w:r>
        <w:rPr>
          <w:rFonts w:hint="eastAsia" w:ascii="宋体" w:hAnsi="宋体"/>
          <w:color w:val="auto"/>
          <w:sz w:val="24"/>
          <w:szCs w:val="24"/>
          <w:highlight w:val="none"/>
        </w:rPr>
        <w:t>甲方付款后个工作日内。</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3）</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第三条验收方法</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甲方依照招投标文件及本合同约定对乙方工作进行验收。</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第四条 甲方权利义务</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甲方</w:t>
      </w:r>
      <w:r>
        <w:rPr>
          <w:rFonts w:hint="eastAsia" w:ascii="宋体" w:hAnsi="宋体"/>
          <w:color w:val="auto"/>
          <w:sz w:val="24"/>
          <w:szCs w:val="24"/>
          <w:highlight w:val="none"/>
        </w:rPr>
        <w:t>负责</w:t>
      </w:r>
      <w:r>
        <w:rPr>
          <w:rFonts w:ascii="宋体" w:hAnsi="宋体"/>
          <w:color w:val="auto"/>
          <w:sz w:val="24"/>
          <w:szCs w:val="24"/>
          <w:highlight w:val="none"/>
        </w:rPr>
        <w:t>提供</w:t>
      </w:r>
      <w:r>
        <w:rPr>
          <w:rFonts w:hint="eastAsia" w:ascii="宋体" w:hAnsi="宋体"/>
          <w:color w:val="auto"/>
          <w:sz w:val="24"/>
          <w:szCs w:val="24"/>
          <w:highlight w:val="none"/>
        </w:rPr>
        <w:t>与招聘活动有关的甲方信息资料，包括公司业务介绍、工作环境、长远发展目标等，并提供委托招聘岗位的岗位描述和要求等。</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、甲方因自身需要调整招聘计划等原因造成试卷套数减少或其他工作量减少的，甲方有权要求相应减少委托服务费。</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w:t>
      </w:r>
      <w:r>
        <w:rPr>
          <w:rFonts w:ascii="宋体" w:hAnsi="宋体"/>
          <w:color w:val="auto"/>
          <w:sz w:val="24"/>
          <w:szCs w:val="24"/>
          <w:highlight w:val="none"/>
        </w:rPr>
        <w:t>甲方</w:t>
      </w:r>
      <w:r>
        <w:rPr>
          <w:rFonts w:hint="eastAsia" w:ascii="宋体" w:hAnsi="宋体"/>
          <w:color w:val="auto"/>
          <w:sz w:val="24"/>
          <w:szCs w:val="24"/>
          <w:highlight w:val="none"/>
        </w:rPr>
        <w:t>有权</w:t>
      </w:r>
      <w:r>
        <w:rPr>
          <w:rFonts w:ascii="宋体" w:hAnsi="宋体"/>
          <w:color w:val="auto"/>
          <w:sz w:val="24"/>
          <w:szCs w:val="24"/>
          <w:highlight w:val="none"/>
        </w:rPr>
        <w:t>最终决定是否录用应聘者。</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 xml:space="preserve">第五条 </w:t>
      </w:r>
      <w:r>
        <w:rPr>
          <w:rFonts w:ascii="宋体" w:hAnsi="宋体"/>
          <w:b/>
          <w:color w:val="auto"/>
          <w:sz w:val="24"/>
          <w:szCs w:val="24"/>
          <w:highlight w:val="none"/>
        </w:rPr>
        <w:t>乙方权利义务</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w:t>
      </w:r>
      <w:r>
        <w:rPr>
          <w:rFonts w:ascii="宋体" w:hAnsi="宋体"/>
          <w:color w:val="auto"/>
          <w:sz w:val="24"/>
          <w:szCs w:val="24"/>
          <w:highlight w:val="none"/>
        </w:rPr>
        <w:t>乙方</w:t>
      </w:r>
      <w:r>
        <w:rPr>
          <w:rFonts w:hint="eastAsia" w:ascii="宋体" w:hAnsi="宋体"/>
          <w:color w:val="auto"/>
          <w:sz w:val="24"/>
          <w:szCs w:val="24"/>
          <w:highlight w:val="none"/>
        </w:rPr>
        <w:t>应严格依照合同约定以及甲方书面通知的</w:t>
      </w:r>
      <w:r>
        <w:rPr>
          <w:rFonts w:ascii="宋体" w:hAnsi="宋体"/>
          <w:color w:val="auto"/>
          <w:sz w:val="24"/>
          <w:szCs w:val="24"/>
          <w:highlight w:val="none"/>
        </w:rPr>
        <w:t>要求</w:t>
      </w:r>
      <w:r>
        <w:rPr>
          <w:rFonts w:hint="eastAsia" w:ascii="宋体" w:hAnsi="宋体"/>
          <w:color w:val="auto"/>
          <w:sz w:val="24"/>
          <w:szCs w:val="24"/>
          <w:highlight w:val="none"/>
        </w:rPr>
        <w:t>组织招聘活动</w:t>
      </w:r>
      <w:r>
        <w:rPr>
          <w:rFonts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w:t>
      </w:r>
      <w:r>
        <w:rPr>
          <w:rFonts w:ascii="宋体" w:hAnsi="宋体"/>
          <w:color w:val="auto"/>
          <w:sz w:val="24"/>
          <w:szCs w:val="24"/>
          <w:highlight w:val="none"/>
        </w:rPr>
        <w:t>乙方</w:t>
      </w:r>
      <w:r>
        <w:rPr>
          <w:rFonts w:hint="eastAsia" w:ascii="宋体" w:hAnsi="宋体"/>
          <w:color w:val="auto"/>
          <w:sz w:val="24"/>
          <w:szCs w:val="24"/>
          <w:highlight w:val="none"/>
        </w:rPr>
        <w:t>应对应聘人员信息进行认真核查，确保信息真实性，核查办法包括但不限于核对原件、网络核查、电话调查等</w:t>
      </w:r>
      <w:r>
        <w:rPr>
          <w:rFonts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w:t>
      </w:r>
      <w:r>
        <w:rPr>
          <w:rFonts w:ascii="宋体" w:hAnsi="宋体"/>
          <w:color w:val="auto"/>
          <w:sz w:val="24"/>
          <w:szCs w:val="24"/>
          <w:highlight w:val="none"/>
        </w:rPr>
        <w:t>乙方</w:t>
      </w:r>
      <w:r>
        <w:rPr>
          <w:rFonts w:hint="eastAsia" w:ascii="宋体" w:hAnsi="宋体"/>
          <w:color w:val="auto"/>
          <w:sz w:val="24"/>
          <w:szCs w:val="24"/>
          <w:highlight w:val="none"/>
        </w:rPr>
        <w:t>不得</w:t>
      </w:r>
      <w:r>
        <w:rPr>
          <w:rFonts w:ascii="宋体" w:hAnsi="宋体"/>
          <w:color w:val="auto"/>
          <w:sz w:val="24"/>
          <w:szCs w:val="24"/>
          <w:highlight w:val="none"/>
        </w:rPr>
        <w:t>收取求职者任何费用。</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、乙方应妥善保管应聘者提供的资料，未经应聘者同意，不得挪作他用或向任意第三方透露。</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第六条 违约责任</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1.被聘人员身份、文凭、简历等造假或不符合招聘条件的，每发现一人，乙方应向甲方支付违约金3000.00元。</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2.因乙方的原因而造成招聘活动延期，每逾期一日，按照委托服务费的万分之七向甲方支付违约金，逾期超过3天的，甲方有权解除合同。造成甲方损失的，另行赔偿。违约金和损失赔偿在委托服务费中直接扣除。</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3.乙方泄露应聘人员资料的，责任由乙方承担。乙方行为给甲方造成名誉、财产等任何损失的，应向甲方承担赔偿责任。</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乙方提供的服务不符合招投标文件、本合同及附件约定的，应及时整改，同时每发现一项，需向甲方支付违约金3000元。经甲方指出后拒绝整改的，甲方有权解除合同，并要求乙方支付委托服务费的30 %作为违约金。</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第七条 不可抗力</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如任何一方由于不可抗力不能履行合同时，应及时向对方通报不能履行或不能完全履行的理由，在取得有关主管机关证明以后，允许延期履行、部分履行或者不履行合同，并根据情况可部分或全部免予承担违约责任。</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第八条 禁止转让</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未经甲方同意，乙方不得全部或部分转让其应履行的合同义务。</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第九条 保密义务</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1.乙方在未经甲方书面同意的情况下，不得将合同、合同中的规定、有关计划、图纸、样本或甲方为上述内容向乙方提供的资料透露给任何人。</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2.除非执行合同需要，在事先未得到甲方书面同意的情况下，乙方不得使用前款所列的任何文件和资料。</w:t>
      </w:r>
    </w:p>
    <w:p>
      <w:pPr>
        <w:spacing w:line="360" w:lineRule="auto"/>
        <w:ind w:firstLine="482" w:firstLineChars="200"/>
        <w:rPr>
          <w:rFonts w:ascii="宋体" w:hAnsi="宋体"/>
          <w:b/>
          <w:color w:val="auto"/>
          <w:sz w:val="24"/>
          <w:szCs w:val="24"/>
          <w:highlight w:val="none"/>
        </w:rPr>
      </w:pPr>
      <w:r>
        <w:rPr>
          <w:rFonts w:hint="eastAsia" w:ascii="宋体" w:hAnsi="宋体"/>
          <w:b/>
          <w:color w:val="auto"/>
          <w:sz w:val="24"/>
          <w:szCs w:val="24"/>
          <w:highlight w:val="none"/>
        </w:rPr>
        <w:t>第十条 其他约定</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1.双方履行合同中发生争议，协商解决，</w:t>
      </w:r>
      <w:r>
        <w:rPr>
          <w:rFonts w:ascii="宋体" w:hAnsi="宋体"/>
          <w:color w:val="auto"/>
          <w:sz w:val="24"/>
          <w:szCs w:val="24"/>
          <w:highlight w:val="none"/>
        </w:rPr>
        <w:t>如协商不成，任何一方可向</w:t>
      </w:r>
      <w:r>
        <w:rPr>
          <w:rFonts w:hint="eastAsia" w:ascii="宋体" w:hAnsi="宋体"/>
          <w:color w:val="auto"/>
          <w:sz w:val="24"/>
          <w:szCs w:val="24"/>
          <w:highlight w:val="none"/>
        </w:rPr>
        <w:t>甲方所在地</w:t>
      </w:r>
      <w:r>
        <w:rPr>
          <w:rFonts w:ascii="宋体" w:hAnsi="宋体"/>
          <w:color w:val="auto"/>
          <w:sz w:val="24"/>
          <w:szCs w:val="24"/>
          <w:highlight w:val="none"/>
        </w:rPr>
        <w:t>人民法院诉讼解决。本合同中任何条款的无效不应影响本合同其他条款的效力，在解决争议的过程中，各方应按本合同所有其他有效条款的约定继续履行本合同。</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本协议一式</w:t>
      </w:r>
      <w:r>
        <w:rPr>
          <w:rFonts w:hint="eastAsia" w:ascii="宋体" w:hAnsi="宋体"/>
          <w:color w:val="auto"/>
          <w:sz w:val="24"/>
          <w:szCs w:val="24"/>
          <w:highlight w:val="none"/>
        </w:rPr>
        <w:t>六</w:t>
      </w:r>
      <w:r>
        <w:rPr>
          <w:rFonts w:ascii="宋体" w:hAnsi="宋体"/>
          <w:color w:val="auto"/>
          <w:sz w:val="24"/>
          <w:szCs w:val="24"/>
          <w:highlight w:val="none"/>
        </w:rPr>
        <w:t>份，</w:t>
      </w:r>
      <w:r>
        <w:rPr>
          <w:rFonts w:hint="eastAsia" w:ascii="宋体" w:hAnsi="宋体"/>
          <w:color w:val="auto"/>
          <w:sz w:val="24"/>
          <w:szCs w:val="24"/>
          <w:highlight w:val="none"/>
        </w:rPr>
        <w:t>甲方持四</w:t>
      </w:r>
      <w:r>
        <w:rPr>
          <w:rFonts w:ascii="宋体" w:hAnsi="宋体"/>
          <w:color w:val="auto"/>
          <w:sz w:val="24"/>
          <w:szCs w:val="24"/>
          <w:highlight w:val="none"/>
        </w:rPr>
        <w:t>份</w:t>
      </w:r>
      <w:r>
        <w:rPr>
          <w:rFonts w:hint="eastAsia" w:ascii="宋体" w:hAnsi="宋体"/>
          <w:color w:val="auto"/>
          <w:sz w:val="24"/>
          <w:szCs w:val="24"/>
          <w:highlight w:val="none"/>
        </w:rPr>
        <w:t>，乙方两</w:t>
      </w:r>
      <w:r>
        <w:rPr>
          <w:rFonts w:ascii="宋体" w:hAnsi="宋体"/>
          <w:color w:val="auto"/>
          <w:sz w:val="24"/>
          <w:szCs w:val="24"/>
          <w:highlight w:val="none"/>
        </w:rPr>
        <w:t>份</w:t>
      </w:r>
      <w:r>
        <w:rPr>
          <w:rFonts w:hint="eastAsia" w:ascii="宋体" w:hAnsi="宋体"/>
          <w:color w:val="auto"/>
          <w:sz w:val="24"/>
          <w:szCs w:val="24"/>
          <w:highlight w:val="none"/>
        </w:rPr>
        <w:t>，</w:t>
      </w:r>
      <w:r>
        <w:rPr>
          <w:rFonts w:ascii="宋体" w:hAnsi="宋体"/>
          <w:color w:val="auto"/>
          <w:sz w:val="24"/>
          <w:szCs w:val="24"/>
          <w:highlight w:val="none"/>
        </w:rPr>
        <w:t>经双方签字盖章后生效</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w:t>
      </w:r>
      <w:r>
        <w:rPr>
          <w:rFonts w:ascii="宋体" w:hAnsi="宋体"/>
          <w:color w:val="auto"/>
          <w:sz w:val="24"/>
          <w:szCs w:val="24"/>
          <w:highlight w:val="none"/>
        </w:rPr>
        <w:t>未尽事宜双方协商后可另定补充协议，经双方盖章后生效。</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4.项目结束后乙方将此次笔面试考生答题纸、考官评分表格等资料移交甲方保管。</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5.双方同意，合同载明的地址以及工商登记地址均为双方约定的法律文书送达地址，寄往该地址的各类文书，自交邮之日起第3日视为送达之日。任何一方地址有变动的，应提前15日以书面形式通知另一方，否则视为地址未变动。</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6</w:t>
      </w:r>
      <w:r>
        <w:rPr>
          <w:rFonts w:hint="eastAsia" w:ascii="宋体" w:hAnsi="宋体"/>
          <w:color w:val="auto"/>
          <w:sz w:val="24"/>
          <w:szCs w:val="24"/>
          <w:highlight w:val="none"/>
        </w:rPr>
        <w:t>.下列关于</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的招标文件及有关附件是本合同不可分割的组成部分，与本合同具有同等法律效力，这些文件包括但不限于：①招标文件；②乙方提供的投标文件；③服务承诺；④双方商定的其他文件。以上附件顺序在前的具有优先解释权。</w:t>
      </w:r>
    </w:p>
    <w:p>
      <w:pPr>
        <w:spacing w:line="360" w:lineRule="auto"/>
        <w:ind w:firstLine="480" w:firstLineChars="200"/>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p>
    <w:p>
      <w:pPr>
        <w:spacing w:line="360" w:lineRule="auto"/>
        <w:ind w:firstLine="480" w:firstLineChars="200"/>
        <w:rPr>
          <w:rFonts w:ascii="宋体" w:hAnsi="宋体"/>
          <w:color w:val="auto"/>
          <w:sz w:val="24"/>
          <w:szCs w:val="24"/>
          <w:highlight w:val="none"/>
        </w:rPr>
      </w:pPr>
    </w:p>
    <w:tbl>
      <w:tblPr>
        <w:tblStyle w:val="51"/>
        <w:tblW w:w="5000" w:type="pct"/>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8" w:type="dxa"/>
          <w:bottom w:w="0" w:type="dxa"/>
          <w:right w:w="108" w:type="dxa"/>
        </w:tblCellMar>
      </w:tblPr>
      <w:tblGrid>
        <w:gridCol w:w="4625"/>
        <w:gridCol w:w="5004"/>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32" w:hRule="atLeast"/>
        </w:trPr>
        <w:tc>
          <w:tcPr>
            <w:tcW w:w="2401" w:type="pct"/>
          </w:tcPr>
          <w:p>
            <w:pPr>
              <w:spacing w:line="360" w:lineRule="auto"/>
              <w:ind w:left="241" w:hanging="241" w:hangingChars="100"/>
              <w:rPr>
                <w:rFonts w:ascii="宋体" w:hAnsi="宋体"/>
                <w:b/>
                <w:bCs/>
                <w:color w:val="auto"/>
                <w:sz w:val="24"/>
                <w:szCs w:val="24"/>
                <w:highlight w:val="none"/>
              </w:rPr>
            </w:pPr>
            <w:r>
              <w:rPr>
                <w:rFonts w:hint="eastAsia" w:ascii="宋体" w:hAnsi="宋体"/>
                <w:b/>
                <w:bCs/>
                <w:color w:val="auto"/>
                <w:sz w:val="24"/>
                <w:szCs w:val="24"/>
                <w:highlight w:val="none"/>
              </w:rPr>
              <w:t>甲方（盖章）：合肥文旅博览集团有限公司</w:t>
            </w:r>
          </w:p>
        </w:tc>
        <w:tc>
          <w:tcPr>
            <w:tcW w:w="2598" w:type="pct"/>
          </w:tcPr>
          <w:p>
            <w:pPr>
              <w:spacing w:line="360" w:lineRule="auto"/>
              <w:ind w:firstLine="118" w:firstLineChars="49"/>
              <w:rPr>
                <w:rFonts w:ascii="宋体" w:hAnsi="宋体"/>
                <w:b/>
                <w:bCs/>
                <w:color w:val="auto"/>
                <w:sz w:val="24"/>
                <w:szCs w:val="24"/>
                <w:highlight w:val="none"/>
              </w:rPr>
            </w:pPr>
            <w:r>
              <w:rPr>
                <w:rFonts w:hint="eastAsia" w:ascii="宋体" w:hAnsi="宋体"/>
                <w:b/>
                <w:bCs/>
                <w:color w:val="auto"/>
                <w:sz w:val="24"/>
                <w:szCs w:val="24"/>
                <w:highlight w:val="none"/>
              </w:rPr>
              <w:t xml:space="preserve">乙方（盖章）：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6" w:hRule="atLeast"/>
        </w:trPr>
        <w:tc>
          <w:tcPr>
            <w:tcW w:w="2401" w:type="pct"/>
          </w:tcPr>
          <w:p>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代表（签名）：</w:t>
            </w:r>
            <w:r>
              <w:rPr>
                <w:rFonts w:ascii="宋体" w:hAnsi="宋体"/>
                <w:b/>
                <w:bCs/>
                <w:color w:val="auto"/>
                <w:sz w:val="24"/>
                <w:szCs w:val="24"/>
                <w:highlight w:val="none"/>
              </w:rPr>
              <w:t xml:space="preserve"> </w:t>
            </w:r>
          </w:p>
        </w:tc>
        <w:tc>
          <w:tcPr>
            <w:tcW w:w="2598" w:type="pct"/>
          </w:tcPr>
          <w:p>
            <w:pPr>
              <w:spacing w:line="360" w:lineRule="auto"/>
              <w:ind w:firstLine="118" w:firstLineChars="49"/>
              <w:rPr>
                <w:rFonts w:ascii="宋体" w:hAnsi="宋体"/>
                <w:b/>
                <w:bCs/>
                <w:color w:val="auto"/>
                <w:sz w:val="24"/>
                <w:szCs w:val="24"/>
                <w:highlight w:val="none"/>
              </w:rPr>
            </w:pPr>
            <w:r>
              <w:rPr>
                <w:rFonts w:hint="eastAsia" w:ascii="宋体" w:hAnsi="宋体"/>
                <w:b/>
                <w:bCs/>
                <w:color w:val="auto"/>
                <w:sz w:val="24"/>
                <w:szCs w:val="24"/>
                <w:highlight w:val="none"/>
              </w:rPr>
              <w:t>代表（签名）：</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25" w:hRule="atLeast"/>
        </w:trPr>
        <w:tc>
          <w:tcPr>
            <w:tcW w:w="2401" w:type="pct"/>
          </w:tcPr>
          <w:p>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地址：合肥市政务区习友路投资大厦</w:t>
            </w:r>
          </w:p>
        </w:tc>
        <w:tc>
          <w:tcPr>
            <w:tcW w:w="2598" w:type="pct"/>
          </w:tcPr>
          <w:p>
            <w:pPr>
              <w:spacing w:line="360" w:lineRule="auto"/>
              <w:ind w:firstLine="118" w:firstLineChars="49"/>
              <w:rPr>
                <w:rFonts w:ascii="宋体" w:hAnsi="宋体"/>
                <w:b/>
                <w:bCs/>
                <w:color w:val="auto"/>
                <w:sz w:val="24"/>
                <w:szCs w:val="24"/>
                <w:highlight w:val="none"/>
              </w:rPr>
            </w:pPr>
            <w:r>
              <w:rPr>
                <w:rFonts w:hint="eastAsia" w:ascii="宋体" w:hAnsi="宋体"/>
                <w:b/>
                <w:bCs/>
                <w:color w:val="auto"/>
                <w:sz w:val="24"/>
                <w:szCs w:val="24"/>
                <w:highlight w:val="none"/>
              </w:rPr>
              <w:t>地址：</w:t>
            </w:r>
            <w:r>
              <w:rPr>
                <w:rFonts w:ascii="宋体" w:hAnsi="宋体"/>
                <w:b/>
                <w:bCs/>
                <w:color w:val="auto"/>
                <w:sz w:val="24"/>
                <w:szCs w:val="24"/>
                <w:highlight w:val="non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32" w:hRule="atLeast"/>
        </w:trPr>
        <w:tc>
          <w:tcPr>
            <w:tcW w:w="2401" w:type="pct"/>
          </w:tcPr>
          <w:p>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电话：</w:t>
            </w:r>
          </w:p>
        </w:tc>
        <w:tc>
          <w:tcPr>
            <w:tcW w:w="2598" w:type="pct"/>
          </w:tcPr>
          <w:p>
            <w:pPr>
              <w:spacing w:line="360" w:lineRule="auto"/>
              <w:ind w:firstLine="118" w:firstLineChars="49"/>
              <w:rPr>
                <w:rFonts w:ascii="宋体" w:hAnsi="宋体"/>
                <w:b/>
                <w:bCs/>
                <w:color w:val="auto"/>
                <w:sz w:val="24"/>
                <w:szCs w:val="24"/>
                <w:highlight w:val="none"/>
              </w:rPr>
            </w:pPr>
            <w:r>
              <w:rPr>
                <w:rFonts w:hint="eastAsia" w:ascii="宋体" w:hAnsi="宋体"/>
                <w:b/>
                <w:bCs/>
                <w:color w:val="auto"/>
                <w:sz w:val="24"/>
                <w:szCs w:val="24"/>
                <w:highlight w:val="none"/>
              </w:rPr>
              <w:t>电话：</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16" w:hRule="atLeast"/>
        </w:trPr>
        <w:tc>
          <w:tcPr>
            <w:tcW w:w="2401" w:type="pct"/>
          </w:tcPr>
          <w:p>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开户银行：</w:t>
            </w:r>
            <w:r>
              <w:rPr>
                <w:rFonts w:ascii="宋体" w:hAnsi="宋体"/>
                <w:b/>
                <w:bCs/>
                <w:color w:val="auto"/>
                <w:sz w:val="24"/>
                <w:szCs w:val="24"/>
                <w:highlight w:val="none"/>
              </w:rPr>
              <w:t xml:space="preserve"> </w:t>
            </w:r>
          </w:p>
        </w:tc>
        <w:tc>
          <w:tcPr>
            <w:tcW w:w="2598" w:type="pct"/>
          </w:tcPr>
          <w:p>
            <w:pPr>
              <w:spacing w:line="360" w:lineRule="auto"/>
              <w:ind w:firstLine="118" w:firstLineChars="49"/>
              <w:rPr>
                <w:rFonts w:ascii="宋体" w:hAnsi="宋体"/>
                <w:b/>
                <w:bCs/>
                <w:color w:val="auto"/>
                <w:sz w:val="24"/>
                <w:szCs w:val="24"/>
                <w:highlight w:val="none"/>
              </w:rPr>
            </w:pPr>
            <w:r>
              <w:rPr>
                <w:rFonts w:hint="eastAsia" w:ascii="宋体" w:hAnsi="宋体"/>
                <w:b/>
                <w:bCs/>
                <w:color w:val="auto"/>
                <w:sz w:val="24"/>
                <w:szCs w:val="24"/>
                <w:highlight w:val="none"/>
              </w:rPr>
              <w:t>开户银行：</w:t>
            </w:r>
            <w:r>
              <w:rPr>
                <w:rFonts w:ascii="宋体" w:hAnsi="宋体"/>
                <w:b/>
                <w:bCs/>
                <w:color w:val="auto"/>
                <w:sz w:val="24"/>
                <w:szCs w:val="24"/>
                <w:highlight w:val="none"/>
              </w:rPr>
              <w:t xml:space="preserve">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12" w:hRule="atLeast"/>
        </w:trPr>
        <w:tc>
          <w:tcPr>
            <w:tcW w:w="2401" w:type="pct"/>
          </w:tcPr>
          <w:p>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账号：</w:t>
            </w:r>
          </w:p>
        </w:tc>
        <w:tc>
          <w:tcPr>
            <w:tcW w:w="2598" w:type="pct"/>
          </w:tcPr>
          <w:p>
            <w:pPr>
              <w:spacing w:line="360" w:lineRule="auto"/>
              <w:ind w:firstLine="118" w:firstLineChars="49"/>
              <w:rPr>
                <w:rFonts w:ascii="宋体" w:hAnsi="宋体"/>
                <w:b/>
                <w:bCs/>
                <w:color w:val="auto"/>
                <w:sz w:val="24"/>
                <w:szCs w:val="24"/>
                <w:highlight w:val="none"/>
              </w:rPr>
            </w:pPr>
            <w:r>
              <w:rPr>
                <w:rFonts w:hint="eastAsia" w:ascii="宋体" w:hAnsi="宋体"/>
                <w:b/>
                <w:bCs/>
                <w:color w:val="auto"/>
                <w:sz w:val="24"/>
                <w:szCs w:val="24"/>
                <w:highlight w:val="none"/>
              </w:rPr>
              <w:t xml:space="preserve">账号： </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336" w:hRule="atLeast"/>
        </w:trPr>
        <w:tc>
          <w:tcPr>
            <w:tcW w:w="2401" w:type="pct"/>
          </w:tcPr>
          <w:p>
            <w:pPr>
              <w:spacing w:line="360" w:lineRule="auto"/>
              <w:rPr>
                <w:rFonts w:ascii="宋体" w:hAnsi="宋体"/>
                <w:b/>
                <w:bCs/>
                <w:color w:val="auto"/>
                <w:sz w:val="24"/>
                <w:szCs w:val="24"/>
                <w:highlight w:val="none"/>
              </w:rPr>
            </w:pPr>
            <w:r>
              <w:rPr>
                <w:rFonts w:hint="eastAsia" w:ascii="宋体" w:hAnsi="宋体"/>
                <w:b/>
                <w:bCs/>
                <w:color w:val="auto"/>
                <w:sz w:val="24"/>
                <w:szCs w:val="24"/>
                <w:highlight w:val="none"/>
              </w:rPr>
              <w:t>2023年   月   日</w:t>
            </w:r>
          </w:p>
        </w:tc>
        <w:tc>
          <w:tcPr>
            <w:tcW w:w="2598" w:type="pct"/>
          </w:tcPr>
          <w:p>
            <w:pPr>
              <w:spacing w:line="360" w:lineRule="auto"/>
              <w:ind w:firstLine="118" w:firstLineChars="49"/>
              <w:rPr>
                <w:rFonts w:ascii="宋体" w:hAnsi="宋体"/>
                <w:b/>
                <w:bCs/>
                <w:color w:val="auto"/>
                <w:sz w:val="24"/>
                <w:szCs w:val="24"/>
                <w:highlight w:val="none"/>
              </w:rPr>
            </w:pPr>
            <w:r>
              <w:rPr>
                <w:rFonts w:hint="eastAsia" w:ascii="宋体" w:hAnsi="宋体"/>
                <w:b/>
                <w:bCs/>
                <w:color w:val="auto"/>
                <w:sz w:val="24"/>
                <w:szCs w:val="24"/>
                <w:highlight w:val="none"/>
              </w:rPr>
              <w:t>2023年  月  日</w:t>
            </w:r>
          </w:p>
        </w:tc>
      </w:tr>
    </w:tbl>
    <w:p>
      <w:pPr>
        <w:spacing w:before="120" w:beforeLines="50" w:after="72" w:afterLines="30" w:line="360" w:lineRule="auto"/>
        <w:rPr>
          <w:rFonts w:ascii="宋体" w:hAnsi="宋体"/>
          <w:b/>
          <w:color w:val="auto"/>
          <w:sz w:val="24"/>
          <w:szCs w:val="27"/>
          <w:highlight w:val="none"/>
        </w:rPr>
      </w:pPr>
    </w:p>
    <w:p>
      <w:pPr>
        <w:spacing w:line="490" w:lineRule="exact"/>
        <w:ind w:firstLine="482" w:firstLineChars="200"/>
        <w:rPr>
          <w:rFonts w:ascii="宋体" w:hAnsi="宋体"/>
          <w:b/>
          <w:color w:val="auto"/>
          <w:sz w:val="24"/>
          <w:szCs w:val="24"/>
          <w:highlight w:val="none"/>
        </w:rPr>
      </w:pPr>
      <w:r>
        <w:rPr>
          <w:rFonts w:hint="eastAsia" w:ascii="宋体" w:hAnsi="宋体"/>
          <w:b/>
          <w:color w:val="auto"/>
          <w:sz w:val="24"/>
          <w:szCs w:val="27"/>
          <w:highlight w:val="none"/>
        </w:rPr>
        <w:t>备注：本合同仅供参考，如本合同的约定如与本项目</w:t>
      </w:r>
      <w:r>
        <w:rPr>
          <w:rFonts w:hint="eastAsia" w:ascii="宋体" w:hAnsi="宋体"/>
          <w:b/>
          <w:color w:val="auto"/>
          <w:sz w:val="24"/>
          <w:highlight w:val="none"/>
        </w:rPr>
        <w:t>招标</w:t>
      </w:r>
      <w:r>
        <w:rPr>
          <w:rFonts w:hint="eastAsia" w:ascii="宋体" w:hAnsi="宋体"/>
          <w:b/>
          <w:color w:val="auto"/>
          <w:sz w:val="24"/>
          <w:szCs w:val="27"/>
          <w:highlight w:val="none"/>
        </w:rPr>
        <w:t>文件的投标人须知前附表、</w:t>
      </w:r>
      <w:r>
        <w:rPr>
          <w:rFonts w:hint="eastAsia" w:ascii="宋体" w:hAnsi="宋体"/>
          <w:b/>
          <w:bCs/>
          <w:color w:val="auto"/>
          <w:sz w:val="24"/>
          <w:highlight w:val="none"/>
        </w:rPr>
        <w:t>招标需求</w:t>
      </w:r>
      <w:r>
        <w:rPr>
          <w:rFonts w:hint="eastAsia" w:ascii="宋体" w:hAnsi="宋体"/>
          <w:b/>
          <w:color w:val="auto"/>
          <w:sz w:val="24"/>
          <w:szCs w:val="27"/>
          <w:highlight w:val="none"/>
        </w:rPr>
        <w:t>的约定不一致的地方，以投标人须知前附表、</w:t>
      </w:r>
      <w:r>
        <w:rPr>
          <w:rFonts w:hint="eastAsia" w:ascii="宋体" w:hAnsi="宋体"/>
          <w:b/>
          <w:bCs/>
          <w:color w:val="auto"/>
          <w:sz w:val="24"/>
          <w:highlight w:val="none"/>
        </w:rPr>
        <w:t>招标需求</w:t>
      </w:r>
      <w:r>
        <w:rPr>
          <w:rFonts w:hint="eastAsia" w:ascii="宋体" w:hAnsi="宋体"/>
          <w:b/>
          <w:color w:val="auto"/>
          <w:sz w:val="24"/>
          <w:szCs w:val="27"/>
          <w:highlight w:val="none"/>
        </w:rPr>
        <w:t>的约定为准。</w:t>
      </w:r>
    </w:p>
    <w:p>
      <w:pPr>
        <w:pStyle w:val="3"/>
        <w:spacing w:line="500" w:lineRule="exact"/>
        <w:rPr>
          <w:rFonts w:ascii="宋体" w:hAnsi="宋体" w:eastAsia="宋体"/>
          <w:color w:val="auto"/>
          <w:highlight w:val="none"/>
        </w:rPr>
      </w:pPr>
    </w:p>
    <w:p>
      <w:pPr>
        <w:rPr>
          <w:color w:val="auto"/>
          <w:highlight w:val="none"/>
        </w:rPr>
      </w:pPr>
    </w:p>
    <w:p>
      <w:pPr>
        <w:pStyle w:val="3"/>
        <w:spacing w:line="500" w:lineRule="exact"/>
        <w:rPr>
          <w:rFonts w:ascii="宋体" w:hAnsi="宋体" w:eastAsia="宋体"/>
          <w:color w:val="auto"/>
          <w:highlight w:val="none"/>
        </w:rPr>
      </w:pPr>
      <w:bookmarkStart w:id="59" w:name="_Toc19320"/>
      <w:r>
        <w:rPr>
          <w:rFonts w:hint="eastAsia" w:ascii="宋体" w:hAnsi="宋体" w:eastAsia="宋体"/>
          <w:color w:val="auto"/>
          <w:highlight w:val="none"/>
        </w:rPr>
        <w:t>第七章 投标文件格式</w:t>
      </w:r>
      <w:bookmarkEnd w:id="59"/>
    </w:p>
    <w:p>
      <w:pPr>
        <w:keepNext/>
        <w:keepLines/>
        <w:spacing w:before="120" w:after="120" w:line="400" w:lineRule="exact"/>
        <w:jc w:val="center"/>
        <w:outlineLvl w:val="1"/>
        <w:rPr>
          <w:rFonts w:ascii="Arial" w:hAnsi="Arial" w:cs="Calibri"/>
          <w:b/>
          <w:bCs/>
          <w:color w:val="auto"/>
          <w:sz w:val="32"/>
          <w:szCs w:val="32"/>
          <w:highlight w:val="none"/>
        </w:rPr>
      </w:pPr>
      <w:bookmarkStart w:id="60" w:name="_Toc73342356"/>
      <w:bookmarkStart w:id="61" w:name="_Toc28799390"/>
      <w:bookmarkStart w:id="62" w:name="_Toc530142180"/>
      <w:bookmarkStart w:id="63" w:name="_Toc479262713"/>
      <w:bookmarkStart w:id="64" w:name="_Toc524462521"/>
      <w:bookmarkStart w:id="65" w:name="_Toc26711494"/>
      <w:r>
        <w:rPr>
          <w:rFonts w:hint="eastAsia" w:ascii="Arial" w:hAnsi="Arial" w:cs="Calibri"/>
          <w:b/>
          <w:bCs/>
          <w:color w:val="auto"/>
          <w:sz w:val="32"/>
          <w:szCs w:val="32"/>
          <w:highlight w:val="none"/>
        </w:rPr>
        <w:t>评审因素索引表</w:t>
      </w:r>
      <w:bookmarkEnd w:id="60"/>
      <w:bookmarkEnd w:id="61"/>
      <w:bookmarkEnd w:id="62"/>
      <w:bookmarkEnd w:id="63"/>
      <w:bookmarkEnd w:id="64"/>
      <w:bookmarkEnd w:id="65"/>
    </w:p>
    <w:p>
      <w:pPr>
        <w:jc w:val="center"/>
        <w:rPr>
          <w:rFonts w:ascii="Calibri" w:hAnsi="Calibri"/>
          <w:color w:val="auto"/>
          <w:sz w:val="24"/>
          <w:highlight w:val="none"/>
        </w:rPr>
      </w:pPr>
    </w:p>
    <w:tbl>
      <w:tblPr>
        <w:tblStyle w:val="51"/>
        <w:tblW w:w="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4820"/>
        <w:gridCol w:w="3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b/>
                <w:color w:val="auto"/>
                <w:sz w:val="24"/>
                <w:highlight w:val="none"/>
              </w:rPr>
            </w:pPr>
            <w:bookmarkStart w:id="66" w:name="_Toc256695443"/>
            <w:bookmarkStart w:id="67" w:name="_Toc256691567"/>
            <w:r>
              <w:rPr>
                <w:rFonts w:hint="eastAsia" w:ascii="Calibri" w:hAnsi="Calibri"/>
                <w:b/>
                <w:color w:val="auto"/>
                <w:sz w:val="24"/>
                <w:highlight w:val="none"/>
              </w:rPr>
              <w:t>序号</w:t>
            </w:r>
            <w:bookmarkEnd w:id="66"/>
            <w:bookmarkEnd w:id="67"/>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b/>
                <w:color w:val="auto"/>
                <w:sz w:val="24"/>
                <w:highlight w:val="none"/>
              </w:rPr>
            </w:pPr>
            <w:bookmarkStart w:id="68" w:name="_Toc256691568"/>
            <w:bookmarkStart w:id="69" w:name="_Toc256695444"/>
            <w:r>
              <w:rPr>
                <w:rFonts w:hint="eastAsia" w:ascii="Calibri" w:hAnsi="Calibri"/>
                <w:b/>
                <w:color w:val="auto"/>
                <w:sz w:val="24"/>
                <w:highlight w:val="none"/>
              </w:rPr>
              <w:t>评审因素</w:t>
            </w:r>
            <w:bookmarkEnd w:id="68"/>
            <w:bookmarkEnd w:id="69"/>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b/>
                <w:color w:val="auto"/>
                <w:sz w:val="24"/>
                <w:highlight w:val="none"/>
              </w:rPr>
            </w:pPr>
            <w:bookmarkStart w:id="70" w:name="_Toc256695445"/>
            <w:bookmarkStart w:id="71" w:name="_Toc256691569"/>
            <w:r>
              <w:rPr>
                <w:rFonts w:hint="eastAsia" w:ascii="Calibri" w:hAnsi="Calibri"/>
                <w:b/>
                <w:color w:val="auto"/>
                <w:sz w:val="24"/>
                <w:highlight w:val="none"/>
              </w:rPr>
              <w:t>投标文件页码范围</w:t>
            </w:r>
            <w:bookmarkEnd w:id="70"/>
            <w:bookmarkEnd w:id="7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4"/>
                <w:highlight w:val="none"/>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4"/>
                <w:highlight w:val="none"/>
              </w:rPr>
            </w:pPr>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4"/>
                <w:highlight w:val="none"/>
              </w:rPr>
            </w:pPr>
            <w:bookmarkStart w:id="72" w:name="_Toc256695446"/>
            <w:bookmarkStart w:id="73" w:name="_Toc256691570"/>
            <w:r>
              <w:rPr>
                <w:rFonts w:ascii="Calibri" w:hAnsi="Calibri"/>
                <w:color w:val="auto"/>
                <w:sz w:val="24"/>
                <w:highlight w:val="none"/>
              </w:rPr>
              <w:t>P---  P</w:t>
            </w:r>
            <w:bookmarkEnd w:id="72"/>
            <w:bookmarkEnd w:id="7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8"/>
                <w:szCs w:val="28"/>
                <w:highlight w:val="none"/>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8"/>
                <w:szCs w:val="28"/>
                <w:highlight w:val="none"/>
              </w:rPr>
            </w:pPr>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4"/>
                <w:highlight w:val="none"/>
              </w:rPr>
            </w:pPr>
            <w:bookmarkStart w:id="74" w:name="_Toc256691571"/>
            <w:bookmarkStart w:id="75" w:name="_Toc256695447"/>
            <w:r>
              <w:rPr>
                <w:rFonts w:ascii="Calibri" w:hAnsi="Calibri"/>
                <w:color w:val="auto"/>
                <w:sz w:val="24"/>
                <w:highlight w:val="none"/>
              </w:rPr>
              <w:t>P---  P</w:t>
            </w:r>
            <w:bookmarkEnd w:id="74"/>
            <w:bookmarkEnd w:id="7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8"/>
                <w:szCs w:val="28"/>
                <w:highlight w:val="none"/>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8"/>
                <w:szCs w:val="28"/>
                <w:highlight w:val="none"/>
              </w:rPr>
            </w:pPr>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4"/>
                <w:highlight w:val="none"/>
              </w:rPr>
            </w:pPr>
            <w:bookmarkStart w:id="76" w:name="_Toc256695448"/>
            <w:bookmarkStart w:id="77" w:name="_Toc256691572"/>
            <w:r>
              <w:rPr>
                <w:rFonts w:ascii="Calibri" w:hAnsi="Calibri"/>
                <w:color w:val="auto"/>
                <w:sz w:val="24"/>
                <w:highlight w:val="none"/>
              </w:rPr>
              <w:t>P---  P</w:t>
            </w:r>
            <w:bookmarkEnd w:id="76"/>
            <w:bookmarkEnd w:id="7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8"/>
                <w:szCs w:val="28"/>
                <w:highlight w:val="none"/>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8"/>
                <w:szCs w:val="28"/>
                <w:highlight w:val="none"/>
              </w:rPr>
            </w:pPr>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4"/>
                <w:highlight w:val="none"/>
              </w:rPr>
            </w:pPr>
            <w:bookmarkStart w:id="78" w:name="_Toc256695449"/>
            <w:bookmarkStart w:id="79" w:name="_Toc256691573"/>
            <w:r>
              <w:rPr>
                <w:rFonts w:ascii="Calibri" w:hAnsi="Calibri"/>
                <w:color w:val="auto"/>
                <w:sz w:val="24"/>
                <w:highlight w:val="none"/>
              </w:rPr>
              <w:t>P---  P</w:t>
            </w:r>
            <w:bookmarkEnd w:id="78"/>
            <w:bookmarkEnd w:id="7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8"/>
                <w:szCs w:val="28"/>
                <w:highlight w:val="none"/>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8"/>
                <w:szCs w:val="28"/>
                <w:highlight w:val="none"/>
              </w:rPr>
            </w:pPr>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4"/>
                <w:highlight w:val="none"/>
              </w:rPr>
            </w:pPr>
            <w:bookmarkStart w:id="80" w:name="_Toc256695450"/>
            <w:bookmarkStart w:id="81" w:name="_Toc256691574"/>
            <w:r>
              <w:rPr>
                <w:rFonts w:ascii="Calibri" w:hAnsi="Calibri"/>
                <w:color w:val="auto"/>
                <w:sz w:val="24"/>
                <w:highlight w:val="none"/>
              </w:rPr>
              <w:t>P---  P</w:t>
            </w:r>
            <w:bookmarkEnd w:id="80"/>
            <w:bookmarkEnd w:id="8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8"/>
                <w:szCs w:val="28"/>
                <w:highlight w:val="none"/>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8"/>
                <w:szCs w:val="28"/>
                <w:highlight w:val="none"/>
              </w:rPr>
            </w:pPr>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4"/>
                <w:highlight w:val="none"/>
              </w:rPr>
            </w:pPr>
            <w:bookmarkStart w:id="82" w:name="_Toc256691575"/>
            <w:bookmarkStart w:id="83" w:name="_Toc256695451"/>
            <w:r>
              <w:rPr>
                <w:rFonts w:ascii="Calibri" w:hAnsi="Calibri"/>
                <w:color w:val="auto"/>
                <w:sz w:val="24"/>
                <w:highlight w:val="none"/>
              </w:rPr>
              <w:t>P---  P</w:t>
            </w:r>
            <w:bookmarkEnd w:id="82"/>
            <w:bookmarkEnd w:id="8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8"/>
                <w:szCs w:val="28"/>
                <w:highlight w:val="none"/>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8"/>
                <w:szCs w:val="28"/>
                <w:highlight w:val="none"/>
              </w:rPr>
            </w:pPr>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4"/>
                <w:highlight w:val="none"/>
              </w:rPr>
            </w:pPr>
            <w:bookmarkStart w:id="84" w:name="_Toc256691576"/>
            <w:bookmarkStart w:id="85" w:name="_Toc256695452"/>
            <w:r>
              <w:rPr>
                <w:rFonts w:ascii="Calibri" w:hAnsi="Calibri"/>
                <w:color w:val="auto"/>
                <w:sz w:val="24"/>
                <w:highlight w:val="none"/>
              </w:rPr>
              <w:t>P---  P</w:t>
            </w:r>
            <w:bookmarkEnd w:id="84"/>
            <w:bookmarkEnd w:id="8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8"/>
                <w:szCs w:val="28"/>
                <w:highlight w:val="none"/>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8"/>
                <w:szCs w:val="28"/>
                <w:highlight w:val="none"/>
              </w:rPr>
            </w:pPr>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4"/>
                <w:highlight w:val="none"/>
              </w:rPr>
            </w:pPr>
            <w:bookmarkStart w:id="86" w:name="_Toc256691577"/>
            <w:bookmarkStart w:id="87" w:name="_Toc256695453"/>
            <w:r>
              <w:rPr>
                <w:rFonts w:ascii="Calibri" w:hAnsi="Calibri"/>
                <w:color w:val="auto"/>
                <w:sz w:val="24"/>
                <w:highlight w:val="none"/>
              </w:rPr>
              <w:t>P---  P</w:t>
            </w:r>
            <w:bookmarkEnd w:id="86"/>
            <w:bookmarkEnd w:id="8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8"/>
                <w:szCs w:val="28"/>
                <w:highlight w:val="none"/>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8"/>
                <w:szCs w:val="28"/>
                <w:highlight w:val="none"/>
              </w:rPr>
            </w:pPr>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4"/>
                <w:highlight w:val="none"/>
              </w:rPr>
            </w:pPr>
            <w:bookmarkStart w:id="88" w:name="_Toc256695454"/>
            <w:bookmarkStart w:id="89" w:name="_Toc256691578"/>
            <w:r>
              <w:rPr>
                <w:rFonts w:ascii="Calibri" w:hAnsi="Calibri"/>
                <w:color w:val="auto"/>
                <w:sz w:val="24"/>
                <w:highlight w:val="none"/>
              </w:rPr>
              <w:t>P---  P</w:t>
            </w:r>
            <w:bookmarkEnd w:id="88"/>
            <w:bookmarkEnd w:id="89"/>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8"/>
                <w:szCs w:val="28"/>
                <w:highlight w:val="none"/>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8"/>
                <w:szCs w:val="28"/>
                <w:highlight w:val="none"/>
              </w:rPr>
            </w:pPr>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4"/>
                <w:highlight w:val="none"/>
              </w:rPr>
            </w:pPr>
            <w:bookmarkStart w:id="90" w:name="_Toc256695455"/>
            <w:bookmarkStart w:id="91" w:name="_Toc256691579"/>
            <w:r>
              <w:rPr>
                <w:rFonts w:ascii="Calibri" w:hAnsi="Calibri"/>
                <w:color w:val="auto"/>
                <w:sz w:val="24"/>
                <w:highlight w:val="none"/>
              </w:rPr>
              <w:t>P---  P</w:t>
            </w:r>
            <w:bookmarkEnd w:id="90"/>
            <w:bookmarkEnd w:id="9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8"/>
                <w:szCs w:val="28"/>
                <w:highlight w:val="none"/>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8"/>
                <w:szCs w:val="28"/>
                <w:highlight w:val="none"/>
              </w:rPr>
            </w:pPr>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8"/>
                <w:szCs w:val="28"/>
                <w:highlight w:val="none"/>
              </w:rPr>
            </w:pPr>
            <w:bookmarkStart w:id="92" w:name="_Toc256691580"/>
            <w:bookmarkStart w:id="93" w:name="_Toc256695456"/>
            <w:r>
              <w:rPr>
                <w:rFonts w:ascii="Calibri" w:hAnsi="Calibri"/>
                <w:color w:val="auto"/>
                <w:sz w:val="24"/>
                <w:highlight w:val="none"/>
              </w:rPr>
              <w:t>P---  P</w:t>
            </w:r>
            <w:bookmarkEnd w:id="92"/>
            <w:bookmarkEnd w:id="93"/>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8"/>
                <w:szCs w:val="28"/>
                <w:highlight w:val="none"/>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8"/>
                <w:szCs w:val="28"/>
                <w:highlight w:val="none"/>
              </w:rPr>
            </w:pPr>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4"/>
                <w:highlight w:val="none"/>
              </w:rPr>
            </w:pPr>
            <w:bookmarkStart w:id="94" w:name="_Toc256691581"/>
            <w:bookmarkStart w:id="95" w:name="_Toc256695457"/>
            <w:r>
              <w:rPr>
                <w:rFonts w:ascii="Calibri" w:hAnsi="Calibri"/>
                <w:color w:val="auto"/>
                <w:sz w:val="24"/>
                <w:highlight w:val="none"/>
              </w:rPr>
              <w:t>P---  P</w:t>
            </w:r>
            <w:bookmarkEnd w:id="94"/>
            <w:bookmarkEnd w:id="95"/>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8"/>
                <w:szCs w:val="28"/>
                <w:highlight w:val="none"/>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8"/>
                <w:szCs w:val="28"/>
                <w:highlight w:val="none"/>
              </w:rPr>
            </w:pPr>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8"/>
                <w:szCs w:val="28"/>
                <w:highlight w:val="none"/>
              </w:rPr>
            </w:pPr>
            <w:bookmarkStart w:id="96" w:name="_Toc256695458"/>
            <w:bookmarkStart w:id="97" w:name="_Toc256691582"/>
            <w:r>
              <w:rPr>
                <w:rFonts w:ascii="Calibri" w:hAnsi="Calibri"/>
                <w:color w:val="auto"/>
                <w:sz w:val="24"/>
                <w:highlight w:val="none"/>
              </w:rPr>
              <w:t>P---  P</w:t>
            </w:r>
            <w:bookmarkEnd w:id="96"/>
            <w:bookmarkEnd w:id="97"/>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8"/>
                <w:szCs w:val="28"/>
                <w:highlight w:val="none"/>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8"/>
                <w:szCs w:val="28"/>
                <w:highlight w:val="none"/>
              </w:rPr>
            </w:pPr>
            <w:bookmarkStart w:id="98" w:name="_Toc256695459"/>
            <w:bookmarkStart w:id="99" w:name="_Toc256691583"/>
            <w:r>
              <w:rPr>
                <w:rFonts w:hint="eastAsia" w:ascii="Calibri" w:hAnsi="Calibri"/>
                <w:color w:val="auto"/>
                <w:sz w:val="28"/>
                <w:szCs w:val="28"/>
                <w:highlight w:val="none"/>
              </w:rPr>
              <w:t>……</w:t>
            </w:r>
            <w:bookmarkEnd w:id="98"/>
            <w:bookmarkEnd w:id="99"/>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4"/>
                <w:highlight w:val="none"/>
              </w:rPr>
            </w:pPr>
            <w:bookmarkStart w:id="100" w:name="_Toc256691584"/>
            <w:bookmarkStart w:id="101" w:name="_Toc256695460"/>
            <w:r>
              <w:rPr>
                <w:rFonts w:hint="eastAsia" w:ascii="Calibri" w:hAnsi="Calibri"/>
                <w:color w:val="auto"/>
                <w:sz w:val="28"/>
                <w:szCs w:val="28"/>
                <w:highlight w:val="none"/>
              </w:rPr>
              <w:t>……</w:t>
            </w:r>
            <w:bookmarkEnd w:id="100"/>
            <w:bookmarkEnd w:id="10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8"/>
                <w:szCs w:val="28"/>
                <w:highlight w:val="none"/>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8"/>
                <w:szCs w:val="28"/>
                <w:highlight w:val="none"/>
              </w:rPr>
            </w:pPr>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8"/>
                <w:szCs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817"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8"/>
                <w:szCs w:val="28"/>
                <w:highlight w:val="none"/>
              </w:rPr>
            </w:pPr>
          </w:p>
        </w:tc>
        <w:tc>
          <w:tcPr>
            <w:tcW w:w="4820"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8"/>
                <w:szCs w:val="28"/>
                <w:highlight w:val="none"/>
              </w:rPr>
            </w:pPr>
          </w:p>
        </w:tc>
        <w:tc>
          <w:tcPr>
            <w:tcW w:w="3649" w:type="dxa"/>
            <w:tcBorders>
              <w:top w:val="single" w:color="000000" w:sz="4" w:space="0"/>
              <w:left w:val="single" w:color="000000" w:sz="4" w:space="0"/>
              <w:bottom w:val="single" w:color="000000" w:sz="4" w:space="0"/>
              <w:right w:val="single" w:color="000000" w:sz="4" w:space="0"/>
            </w:tcBorders>
            <w:vAlign w:val="center"/>
          </w:tcPr>
          <w:p>
            <w:pPr>
              <w:jc w:val="center"/>
              <w:rPr>
                <w:rFonts w:ascii="Calibri" w:hAnsi="Calibri"/>
                <w:color w:val="auto"/>
                <w:sz w:val="28"/>
                <w:szCs w:val="28"/>
                <w:highlight w:val="none"/>
              </w:rPr>
            </w:pPr>
          </w:p>
        </w:tc>
      </w:tr>
    </w:tbl>
    <w:p>
      <w:pPr>
        <w:spacing w:line="500" w:lineRule="exact"/>
        <w:jc w:val="center"/>
        <w:rPr>
          <w:rFonts w:ascii="宋体" w:hAnsi="宋体"/>
          <w:b/>
          <w:color w:val="auto"/>
          <w:sz w:val="24"/>
          <w:szCs w:val="24"/>
          <w:highlight w:val="none"/>
        </w:rPr>
      </w:pPr>
    </w:p>
    <w:p>
      <w:pPr>
        <w:spacing w:line="500" w:lineRule="exact"/>
        <w:jc w:val="center"/>
        <w:rPr>
          <w:rFonts w:ascii="宋体" w:hAnsi="宋体"/>
          <w:b/>
          <w:color w:val="auto"/>
          <w:sz w:val="24"/>
          <w:szCs w:val="24"/>
          <w:highlight w:val="none"/>
        </w:rPr>
      </w:pPr>
    </w:p>
    <w:p>
      <w:pPr>
        <w:spacing w:line="500" w:lineRule="exact"/>
        <w:jc w:val="center"/>
        <w:rPr>
          <w:rFonts w:ascii="宋体" w:hAnsi="宋体"/>
          <w:b/>
          <w:color w:val="auto"/>
          <w:sz w:val="24"/>
          <w:szCs w:val="24"/>
          <w:highlight w:val="none"/>
        </w:rPr>
      </w:pPr>
      <w:r>
        <w:rPr>
          <w:rFonts w:hint="eastAsia" w:ascii="宋体" w:hAnsi="宋体"/>
          <w:b/>
          <w:color w:val="auto"/>
          <w:sz w:val="24"/>
          <w:szCs w:val="24"/>
          <w:highlight w:val="none"/>
        </w:rPr>
        <w:t>投标文件资料清单</w:t>
      </w:r>
    </w:p>
    <w:p>
      <w:pPr>
        <w:spacing w:line="500" w:lineRule="exact"/>
        <w:jc w:val="center"/>
        <w:rPr>
          <w:rFonts w:ascii="宋体" w:hAnsi="宋体"/>
          <w:b/>
          <w:color w:val="auto"/>
          <w:sz w:val="24"/>
          <w:szCs w:val="24"/>
          <w:highlight w:val="none"/>
        </w:rPr>
      </w:pP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76"/>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auto"/>
                <w:sz w:val="24"/>
                <w:highlight w:val="none"/>
              </w:rPr>
            </w:pPr>
            <w:r>
              <w:rPr>
                <w:rFonts w:hint="eastAsia" w:ascii="宋体" w:hAnsi="宋体"/>
                <w:b/>
                <w:color w:val="auto"/>
                <w:sz w:val="24"/>
                <w:highlight w:val="none"/>
              </w:rPr>
              <w:t>序号</w:t>
            </w:r>
          </w:p>
        </w:tc>
        <w:tc>
          <w:tcPr>
            <w:tcW w:w="53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auto"/>
                <w:sz w:val="24"/>
                <w:highlight w:val="none"/>
              </w:rPr>
            </w:pPr>
            <w:r>
              <w:rPr>
                <w:rFonts w:hint="eastAsia" w:ascii="宋体" w:hAnsi="宋体"/>
                <w:b/>
                <w:color w:val="auto"/>
                <w:sz w:val="24"/>
                <w:highlight w:val="none"/>
              </w:rPr>
              <w:t>资料名称</w:t>
            </w:r>
          </w:p>
        </w:tc>
        <w:tc>
          <w:tcPr>
            <w:tcW w:w="26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color w:val="auto"/>
                <w:sz w:val="24"/>
                <w:highlight w:val="none"/>
              </w:rPr>
            </w:pPr>
            <w:r>
              <w:rPr>
                <w:rFonts w:hint="eastAsia" w:ascii="宋体" w:hAnsi="宋体"/>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一</w:t>
            </w:r>
          </w:p>
        </w:tc>
        <w:tc>
          <w:tcPr>
            <w:tcW w:w="5376" w:type="dxa"/>
            <w:tcBorders>
              <w:top w:val="single" w:color="auto" w:sz="4" w:space="0"/>
              <w:left w:val="single" w:color="auto" w:sz="4" w:space="0"/>
              <w:bottom w:val="single" w:color="auto" w:sz="4" w:space="0"/>
              <w:right w:val="single" w:color="auto" w:sz="4" w:space="0"/>
            </w:tcBorders>
            <w:vAlign w:val="center"/>
          </w:tcPr>
          <w:p>
            <w:pPr>
              <w:rPr>
                <w:color w:val="auto"/>
                <w:highlight w:val="none"/>
                <w:u w:val="single"/>
              </w:rPr>
            </w:pPr>
            <w:r>
              <w:rPr>
                <w:rFonts w:hint="eastAsia"/>
                <w:bCs/>
                <w:color w:val="auto"/>
                <w:sz w:val="24"/>
                <w:highlight w:val="none"/>
              </w:rPr>
              <w:t>投标函</w:t>
            </w: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二</w:t>
            </w:r>
          </w:p>
        </w:tc>
        <w:tc>
          <w:tcPr>
            <w:tcW w:w="5376" w:type="dxa"/>
            <w:tcBorders>
              <w:top w:val="single" w:color="auto" w:sz="4" w:space="0"/>
              <w:left w:val="single" w:color="auto" w:sz="4" w:space="0"/>
              <w:bottom w:val="single" w:color="auto" w:sz="4" w:space="0"/>
              <w:right w:val="single" w:color="auto" w:sz="4" w:space="0"/>
            </w:tcBorders>
            <w:vAlign w:val="center"/>
          </w:tcPr>
          <w:p>
            <w:pPr>
              <w:rPr>
                <w:bCs/>
                <w:color w:val="auto"/>
                <w:sz w:val="24"/>
                <w:highlight w:val="none"/>
              </w:rPr>
            </w:pPr>
            <w:r>
              <w:rPr>
                <w:rFonts w:hint="eastAsia"/>
                <w:color w:val="auto"/>
                <w:sz w:val="24"/>
                <w:highlight w:val="none"/>
              </w:rPr>
              <w:t>拟投标人情况综合简介</w:t>
            </w: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三</w:t>
            </w:r>
          </w:p>
        </w:tc>
        <w:tc>
          <w:tcPr>
            <w:tcW w:w="5376" w:type="dxa"/>
            <w:tcBorders>
              <w:top w:val="single" w:color="auto" w:sz="4" w:space="0"/>
              <w:left w:val="single" w:color="auto" w:sz="4" w:space="0"/>
              <w:bottom w:val="single" w:color="auto" w:sz="4" w:space="0"/>
              <w:right w:val="single" w:color="auto" w:sz="4" w:space="0"/>
            </w:tcBorders>
            <w:vAlign w:val="center"/>
          </w:tcPr>
          <w:p>
            <w:pPr>
              <w:rPr>
                <w:bCs/>
                <w:color w:val="auto"/>
                <w:sz w:val="24"/>
                <w:highlight w:val="none"/>
              </w:rPr>
            </w:pPr>
            <w:r>
              <w:rPr>
                <w:rFonts w:hint="eastAsia"/>
                <w:bCs/>
                <w:color w:val="auto"/>
                <w:sz w:val="24"/>
                <w:highlight w:val="none"/>
              </w:rPr>
              <w:t>开标一览表</w:t>
            </w:r>
          </w:p>
        </w:tc>
        <w:tc>
          <w:tcPr>
            <w:tcW w:w="2625" w:type="dxa"/>
            <w:tcBorders>
              <w:top w:val="single" w:color="auto" w:sz="4" w:space="0"/>
              <w:left w:val="single" w:color="auto" w:sz="4" w:space="0"/>
              <w:bottom w:val="single" w:color="auto" w:sz="4" w:space="0"/>
              <w:right w:val="single" w:color="auto" w:sz="4" w:space="0"/>
            </w:tcBorders>
            <w:vAlign w:val="center"/>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四</w:t>
            </w:r>
          </w:p>
        </w:tc>
        <w:tc>
          <w:tcPr>
            <w:tcW w:w="5376" w:type="dxa"/>
            <w:tcBorders>
              <w:top w:val="single" w:color="auto" w:sz="4" w:space="0"/>
              <w:left w:val="single" w:color="auto" w:sz="4" w:space="0"/>
              <w:bottom w:val="single" w:color="auto" w:sz="4" w:space="0"/>
              <w:right w:val="single" w:color="auto" w:sz="4" w:space="0"/>
            </w:tcBorders>
            <w:vAlign w:val="center"/>
          </w:tcPr>
          <w:p>
            <w:pPr>
              <w:rPr>
                <w:bCs/>
                <w:color w:val="auto"/>
                <w:sz w:val="24"/>
                <w:highlight w:val="none"/>
              </w:rPr>
            </w:pPr>
            <w:r>
              <w:rPr>
                <w:rFonts w:hint="eastAsia"/>
                <w:bCs/>
                <w:color w:val="auto"/>
                <w:sz w:val="24"/>
                <w:highlight w:val="none"/>
              </w:rPr>
              <w:t>单项报价表（如有）</w:t>
            </w:r>
          </w:p>
        </w:tc>
        <w:tc>
          <w:tcPr>
            <w:tcW w:w="2625" w:type="dxa"/>
            <w:tcBorders>
              <w:top w:val="single" w:color="auto" w:sz="4" w:space="0"/>
              <w:left w:val="single" w:color="auto" w:sz="4" w:space="0"/>
              <w:bottom w:val="single" w:color="auto" w:sz="4" w:space="0"/>
              <w:right w:val="single" w:color="auto" w:sz="4" w:space="0"/>
            </w:tcBorders>
            <w:vAlign w:val="center"/>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五</w:t>
            </w:r>
          </w:p>
        </w:tc>
        <w:tc>
          <w:tcPr>
            <w:tcW w:w="5376" w:type="dxa"/>
            <w:tcBorders>
              <w:top w:val="single" w:color="auto" w:sz="4" w:space="0"/>
              <w:left w:val="single" w:color="auto" w:sz="4" w:space="0"/>
              <w:bottom w:val="single" w:color="auto" w:sz="4" w:space="0"/>
              <w:right w:val="single" w:color="auto" w:sz="4" w:space="0"/>
            </w:tcBorders>
            <w:vAlign w:val="center"/>
          </w:tcPr>
          <w:p>
            <w:pPr>
              <w:pStyle w:val="109"/>
              <w:rPr>
                <w:rFonts w:ascii="Times New Roman" w:hAnsi="Times New Roman"/>
                <w:bCs/>
                <w:color w:val="auto"/>
                <w:highlight w:val="none"/>
              </w:rPr>
            </w:pPr>
            <w:r>
              <w:rPr>
                <w:rFonts w:hint="eastAsia"/>
                <w:bCs/>
                <w:color w:val="auto"/>
                <w:highlight w:val="none"/>
              </w:rPr>
              <w:t>投标人信用承诺</w:t>
            </w:r>
          </w:p>
        </w:tc>
        <w:tc>
          <w:tcPr>
            <w:tcW w:w="2625" w:type="dxa"/>
            <w:tcBorders>
              <w:top w:val="single" w:color="auto" w:sz="4" w:space="0"/>
              <w:left w:val="single" w:color="auto" w:sz="4" w:space="0"/>
              <w:bottom w:val="single" w:color="auto" w:sz="4" w:space="0"/>
              <w:right w:val="single" w:color="auto" w:sz="4" w:space="0"/>
            </w:tcBorders>
            <w:vAlign w:val="center"/>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六</w:t>
            </w:r>
          </w:p>
        </w:tc>
        <w:tc>
          <w:tcPr>
            <w:tcW w:w="5376" w:type="dxa"/>
            <w:tcBorders>
              <w:top w:val="single" w:color="auto" w:sz="4" w:space="0"/>
              <w:left w:val="single" w:color="auto" w:sz="4" w:space="0"/>
              <w:bottom w:val="single" w:color="auto" w:sz="4" w:space="0"/>
              <w:right w:val="single" w:color="auto" w:sz="4" w:space="0"/>
            </w:tcBorders>
            <w:vAlign w:val="center"/>
          </w:tcPr>
          <w:p>
            <w:pPr>
              <w:rPr>
                <w:color w:val="auto"/>
                <w:sz w:val="24"/>
                <w:highlight w:val="none"/>
              </w:rPr>
            </w:pPr>
            <w:r>
              <w:rPr>
                <w:rFonts w:hint="eastAsia"/>
                <w:color w:val="auto"/>
                <w:sz w:val="24"/>
                <w:highlight w:val="none"/>
              </w:rPr>
              <w:t>投标业绩</w:t>
            </w: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七</w:t>
            </w:r>
          </w:p>
        </w:tc>
        <w:tc>
          <w:tcPr>
            <w:tcW w:w="5376" w:type="dxa"/>
            <w:tcBorders>
              <w:top w:val="single" w:color="auto" w:sz="4" w:space="0"/>
              <w:left w:val="single" w:color="auto" w:sz="4" w:space="0"/>
              <w:bottom w:val="single" w:color="auto" w:sz="4" w:space="0"/>
              <w:right w:val="single" w:color="auto" w:sz="4" w:space="0"/>
            </w:tcBorders>
            <w:vAlign w:val="center"/>
          </w:tcPr>
          <w:p>
            <w:pPr>
              <w:rPr>
                <w:color w:val="auto"/>
                <w:sz w:val="24"/>
                <w:highlight w:val="none"/>
              </w:rPr>
            </w:pPr>
            <w:r>
              <w:rPr>
                <w:rFonts w:hint="eastAsia"/>
                <w:color w:val="auto"/>
                <w:sz w:val="24"/>
                <w:highlight w:val="none"/>
              </w:rPr>
              <w:t>拟投标本项目的人员情况</w:t>
            </w: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八</w:t>
            </w:r>
          </w:p>
        </w:tc>
        <w:tc>
          <w:tcPr>
            <w:tcW w:w="5376" w:type="dxa"/>
            <w:tcBorders>
              <w:top w:val="single" w:color="auto" w:sz="4" w:space="0"/>
              <w:left w:val="single" w:color="auto" w:sz="4" w:space="0"/>
              <w:bottom w:val="single" w:color="auto" w:sz="4" w:space="0"/>
              <w:right w:val="single" w:color="auto" w:sz="4" w:space="0"/>
            </w:tcBorders>
            <w:vAlign w:val="center"/>
          </w:tcPr>
          <w:p>
            <w:pPr>
              <w:rPr>
                <w:color w:val="auto"/>
                <w:sz w:val="24"/>
                <w:highlight w:val="none"/>
              </w:rPr>
            </w:pPr>
            <w:r>
              <w:rPr>
                <w:rFonts w:hint="eastAsia"/>
                <w:color w:val="auto"/>
                <w:sz w:val="24"/>
                <w:highlight w:val="none"/>
              </w:rPr>
              <w:t>服务方案</w:t>
            </w: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九</w:t>
            </w:r>
          </w:p>
        </w:tc>
        <w:tc>
          <w:tcPr>
            <w:tcW w:w="5376" w:type="dxa"/>
            <w:tcBorders>
              <w:top w:val="single" w:color="auto" w:sz="4" w:space="0"/>
              <w:left w:val="single" w:color="auto" w:sz="4" w:space="0"/>
              <w:bottom w:val="single" w:color="auto" w:sz="4" w:space="0"/>
              <w:right w:val="single" w:color="auto" w:sz="4" w:space="0"/>
            </w:tcBorders>
            <w:vAlign w:val="center"/>
          </w:tcPr>
          <w:p>
            <w:pPr>
              <w:rPr>
                <w:color w:val="auto"/>
                <w:sz w:val="24"/>
                <w:highlight w:val="none"/>
              </w:rPr>
            </w:pPr>
            <w:r>
              <w:rPr>
                <w:rFonts w:hint="eastAsia"/>
                <w:color w:val="auto"/>
                <w:sz w:val="24"/>
                <w:highlight w:val="none"/>
              </w:rPr>
              <w:t>有关证明文件</w:t>
            </w: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十</w:t>
            </w:r>
          </w:p>
        </w:tc>
        <w:tc>
          <w:tcPr>
            <w:tcW w:w="5376" w:type="dxa"/>
            <w:tcBorders>
              <w:top w:val="single" w:color="auto" w:sz="4" w:space="0"/>
              <w:left w:val="single" w:color="auto" w:sz="4" w:space="0"/>
              <w:bottom w:val="single" w:color="auto" w:sz="4" w:space="0"/>
              <w:right w:val="single" w:color="auto" w:sz="4" w:space="0"/>
            </w:tcBorders>
            <w:vAlign w:val="center"/>
          </w:tcPr>
          <w:p>
            <w:pPr>
              <w:rPr>
                <w:color w:val="auto"/>
                <w:sz w:val="24"/>
                <w:highlight w:val="none"/>
              </w:rPr>
            </w:pPr>
            <w:r>
              <w:rPr>
                <w:rFonts w:hint="eastAsia"/>
                <w:color w:val="auto"/>
                <w:sz w:val="24"/>
                <w:highlight w:val="none"/>
              </w:rPr>
              <w:t>投标授权书</w:t>
            </w: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十一</w:t>
            </w:r>
          </w:p>
        </w:tc>
        <w:tc>
          <w:tcPr>
            <w:tcW w:w="5376" w:type="dxa"/>
            <w:tcBorders>
              <w:top w:val="single" w:color="auto" w:sz="4" w:space="0"/>
              <w:left w:val="single" w:color="auto" w:sz="4" w:space="0"/>
              <w:bottom w:val="single" w:color="auto" w:sz="4" w:space="0"/>
              <w:right w:val="single" w:color="auto" w:sz="4" w:space="0"/>
            </w:tcBorders>
            <w:vAlign w:val="center"/>
          </w:tcPr>
          <w:p>
            <w:pPr>
              <w:rPr>
                <w:color w:val="auto"/>
                <w:sz w:val="24"/>
                <w:highlight w:val="none"/>
              </w:rPr>
            </w:pPr>
            <w:r>
              <w:rPr>
                <w:rFonts w:hint="eastAsia"/>
                <w:color w:val="auto"/>
                <w:sz w:val="24"/>
                <w:highlight w:val="none"/>
              </w:rPr>
              <w:t>投标人认为需提供的其他资料</w:t>
            </w: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r>
              <w:rPr>
                <w:rFonts w:hint="eastAsia"/>
                <w:color w:val="auto"/>
                <w:sz w:val="24"/>
                <w:highlight w:val="none"/>
              </w:rPr>
              <w:t>十二</w:t>
            </w:r>
          </w:p>
        </w:tc>
        <w:tc>
          <w:tcPr>
            <w:tcW w:w="5376" w:type="dxa"/>
            <w:tcBorders>
              <w:top w:val="single" w:color="auto" w:sz="4" w:space="0"/>
              <w:left w:val="single" w:color="auto" w:sz="4" w:space="0"/>
              <w:bottom w:val="single" w:color="auto" w:sz="4" w:space="0"/>
              <w:right w:val="single" w:color="auto" w:sz="4" w:space="0"/>
            </w:tcBorders>
            <w:vAlign w:val="center"/>
          </w:tcPr>
          <w:p>
            <w:pPr>
              <w:rPr>
                <w:color w:val="auto"/>
                <w:sz w:val="24"/>
                <w:highlight w:val="none"/>
              </w:rPr>
            </w:pPr>
            <w:r>
              <w:rPr>
                <w:rFonts w:hint="eastAsia" w:ascii="宋体" w:hAnsi="宋体" w:cs="宋体"/>
                <w:color w:val="auto"/>
                <w:sz w:val="24"/>
                <w:szCs w:val="24"/>
                <w:highlight w:val="none"/>
              </w:rPr>
              <w:t>投标保证金退还声明</w:t>
            </w: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p>
        </w:tc>
        <w:tc>
          <w:tcPr>
            <w:tcW w:w="5376" w:type="dxa"/>
            <w:tcBorders>
              <w:top w:val="single" w:color="auto" w:sz="4" w:space="0"/>
              <w:left w:val="single" w:color="auto" w:sz="4" w:space="0"/>
              <w:bottom w:val="single" w:color="auto" w:sz="4" w:space="0"/>
              <w:right w:val="single" w:color="auto" w:sz="4" w:space="0"/>
            </w:tcBorders>
            <w:vAlign w:val="center"/>
          </w:tcPr>
          <w:p>
            <w:pPr>
              <w:rPr>
                <w:color w:val="auto"/>
                <w:sz w:val="24"/>
                <w:highlight w:val="none"/>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p>
        </w:tc>
        <w:tc>
          <w:tcPr>
            <w:tcW w:w="5376" w:type="dxa"/>
            <w:tcBorders>
              <w:top w:val="single" w:color="auto" w:sz="4" w:space="0"/>
              <w:left w:val="single" w:color="auto" w:sz="4" w:space="0"/>
              <w:bottom w:val="single" w:color="auto" w:sz="4" w:space="0"/>
              <w:right w:val="single" w:color="auto" w:sz="4" w:space="0"/>
            </w:tcBorders>
            <w:vAlign w:val="center"/>
          </w:tcPr>
          <w:p>
            <w:pPr>
              <w:rPr>
                <w:color w:val="auto"/>
                <w:sz w:val="24"/>
                <w:highlight w:val="none"/>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p>
        </w:tc>
        <w:tc>
          <w:tcPr>
            <w:tcW w:w="5376" w:type="dxa"/>
            <w:tcBorders>
              <w:top w:val="single" w:color="auto" w:sz="4" w:space="0"/>
              <w:left w:val="single" w:color="auto" w:sz="4" w:space="0"/>
              <w:bottom w:val="single" w:color="auto" w:sz="4" w:space="0"/>
              <w:right w:val="single" w:color="auto" w:sz="4" w:space="0"/>
            </w:tcBorders>
            <w:vAlign w:val="center"/>
          </w:tcPr>
          <w:p>
            <w:pPr>
              <w:rPr>
                <w:color w:val="auto"/>
                <w:sz w:val="24"/>
                <w:highlight w:val="none"/>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p>
        </w:tc>
        <w:tc>
          <w:tcPr>
            <w:tcW w:w="5376" w:type="dxa"/>
            <w:tcBorders>
              <w:top w:val="single" w:color="auto" w:sz="4" w:space="0"/>
              <w:left w:val="single" w:color="auto" w:sz="4" w:space="0"/>
              <w:bottom w:val="single" w:color="auto" w:sz="4" w:space="0"/>
              <w:right w:val="single" w:color="auto" w:sz="4" w:space="0"/>
            </w:tcBorders>
            <w:vAlign w:val="center"/>
          </w:tcPr>
          <w:p>
            <w:pPr>
              <w:rPr>
                <w:color w:val="auto"/>
                <w:sz w:val="24"/>
                <w:highlight w:val="none"/>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p>
        </w:tc>
        <w:tc>
          <w:tcPr>
            <w:tcW w:w="5376" w:type="dxa"/>
            <w:tcBorders>
              <w:top w:val="single" w:color="auto" w:sz="4" w:space="0"/>
              <w:left w:val="single" w:color="auto" w:sz="4" w:space="0"/>
              <w:bottom w:val="single" w:color="auto" w:sz="4" w:space="0"/>
              <w:right w:val="single" w:color="auto" w:sz="4" w:space="0"/>
            </w:tcBorders>
            <w:vAlign w:val="center"/>
          </w:tcPr>
          <w:p>
            <w:pPr>
              <w:rPr>
                <w:color w:val="auto"/>
                <w:sz w:val="24"/>
                <w:highlight w:val="none"/>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p>
        </w:tc>
        <w:tc>
          <w:tcPr>
            <w:tcW w:w="5376" w:type="dxa"/>
            <w:tcBorders>
              <w:top w:val="single" w:color="auto" w:sz="4" w:space="0"/>
              <w:left w:val="single" w:color="auto" w:sz="4" w:space="0"/>
              <w:bottom w:val="single" w:color="auto" w:sz="4" w:space="0"/>
              <w:right w:val="single" w:color="auto" w:sz="4" w:space="0"/>
            </w:tcBorders>
            <w:vAlign w:val="center"/>
          </w:tcPr>
          <w:p>
            <w:pPr>
              <w:rPr>
                <w:color w:val="auto"/>
                <w:sz w:val="24"/>
                <w:highlight w:val="none"/>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p>
        </w:tc>
        <w:tc>
          <w:tcPr>
            <w:tcW w:w="5376" w:type="dxa"/>
            <w:tcBorders>
              <w:top w:val="single" w:color="auto" w:sz="4" w:space="0"/>
              <w:left w:val="single" w:color="auto" w:sz="4" w:space="0"/>
              <w:bottom w:val="single" w:color="auto" w:sz="4" w:space="0"/>
              <w:right w:val="single" w:color="auto" w:sz="4" w:space="0"/>
            </w:tcBorders>
            <w:vAlign w:val="center"/>
          </w:tcPr>
          <w:p>
            <w:pPr>
              <w:rPr>
                <w:color w:val="auto"/>
                <w:sz w:val="24"/>
                <w:highlight w:val="none"/>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olor w:val="auto"/>
                <w:sz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color w:val="auto"/>
                <w:sz w:val="24"/>
                <w:highlight w:val="none"/>
              </w:rPr>
            </w:pPr>
          </w:p>
        </w:tc>
        <w:tc>
          <w:tcPr>
            <w:tcW w:w="5376" w:type="dxa"/>
            <w:tcBorders>
              <w:top w:val="single" w:color="auto" w:sz="4" w:space="0"/>
              <w:left w:val="single" w:color="auto" w:sz="4" w:space="0"/>
              <w:bottom w:val="single" w:color="auto" w:sz="4" w:space="0"/>
              <w:right w:val="single" w:color="auto" w:sz="4" w:space="0"/>
            </w:tcBorders>
            <w:vAlign w:val="center"/>
          </w:tcPr>
          <w:p>
            <w:pPr>
              <w:rPr>
                <w:color w:val="auto"/>
                <w:sz w:val="24"/>
                <w:highlight w:val="none"/>
              </w:rPr>
            </w:pPr>
          </w:p>
        </w:tc>
        <w:tc>
          <w:tcPr>
            <w:tcW w:w="2625"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b/>
                <w:color w:val="auto"/>
                <w:sz w:val="28"/>
                <w:highlight w:val="none"/>
              </w:rPr>
            </w:pPr>
          </w:p>
        </w:tc>
      </w:tr>
    </w:tbl>
    <w:p>
      <w:pPr>
        <w:rPr>
          <w:color w:val="auto"/>
          <w:highlight w:val="none"/>
        </w:rPr>
      </w:pPr>
      <w:bookmarkStart w:id="102" w:name="_Toc197934561"/>
    </w:p>
    <w:p>
      <w:pPr>
        <w:rPr>
          <w:color w:val="auto"/>
          <w:highlight w:val="none"/>
        </w:rPr>
      </w:pPr>
      <w:bookmarkStart w:id="103" w:name="_Toc471736407"/>
    </w:p>
    <w:p>
      <w:pPr>
        <w:rPr>
          <w:color w:val="auto"/>
          <w:highlight w:val="none"/>
        </w:rPr>
      </w:pPr>
    </w:p>
    <w:p>
      <w:pPr>
        <w:rPr>
          <w:color w:val="auto"/>
          <w:highlight w:val="none"/>
        </w:rPr>
      </w:pPr>
    </w:p>
    <w:p>
      <w:pPr>
        <w:pStyle w:val="4"/>
        <w:rPr>
          <w:rFonts w:hAnsi="宋体"/>
          <w:color w:val="auto"/>
          <w:sz w:val="28"/>
          <w:highlight w:val="none"/>
        </w:rPr>
      </w:pPr>
      <w:bookmarkStart w:id="104" w:name="_Toc471736410"/>
      <w:bookmarkStart w:id="105" w:name="_Toc516969098"/>
    </w:p>
    <w:p>
      <w:pPr>
        <w:pStyle w:val="4"/>
        <w:rPr>
          <w:rFonts w:hAnsi="宋体"/>
          <w:color w:val="auto"/>
          <w:sz w:val="28"/>
          <w:highlight w:val="none"/>
        </w:rPr>
      </w:pPr>
      <w:bookmarkStart w:id="106" w:name="_Toc18260"/>
      <w:r>
        <w:rPr>
          <w:rFonts w:hint="eastAsia" w:hAnsi="宋体"/>
          <w:color w:val="auto"/>
          <w:sz w:val="28"/>
          <w:highlight w:val="none"/>
        </w:rPr>
        <w:t>一．投标函</w:t>
      </w:r>
      <w:bookmarkEnd w:id="104"/>
      <w:bookmarkEnd w:id="105"/>
      <w:bookmarkEnd w:id="106"/>
    </w:p>
    <w:p>
      <w:pPr>
        <w:spacing w:line="360" w:lineRule="auto"/>
        <w:rPr>
          <w:rFonts w:ascii="宋体" w:hAnsi="宋体"/>
          <w:color w:val="auto"/>
          <w:sz w:val="24"/>
          <w:highlight w:val="none"/>
        </w:rPr>
      </w:pPr>
      <w:r>
        <w:rPr>
          <w:rFonts w:hint="eastAsia" w:ascii="宋体" w:hAnsi="宋体"/>
          <w:color w:val="auto"/>
          <w:sz w:val="24"/>
          <w:highlight w:val="none"/>
        </w:rPr>
        <w:t>致：合肥文旅博览集团有限公司</w:t>
      </w:r>
    </w:p>
    <w:p>
      <w:pPr>
        <w:autoSpaceDE w:val="0"/>
        <w:autoSpaceDN w:val="0"/>
        <w:adjustRightInd w:val="0"/>
        <w:spacing w:line="360" w:lineRule="auto"/>
        <w:ind w:firstLine="240" w:firstLineChars="100"/>
        <w:jc w:val="left"/>
        <w:rPr>
          <w:rFonts w:ascii="宋体" w:hAnsi="宋体"/>
          <w:color w:val="auto"/>
          <w:sz w:val="24"/>
          <w:szCs w:val="24"/>
          <w:highlight w:val="none"/>
        </w:rPr>
      </w:pPr>
      <w:r>
        <w:rPr>
          <w:rFonts w:hint="eastAsia" w:ascii="宋体" w:hAnsi="宋体"/>
          <w:color w:val="auto"/>
          <w:sz w:val="24"/>
          <w:highlight w:val="none"/>
        </w:rPr>
        <w:t>根据贵方“</w:t>
      </w:r>
      <w:r>
        <w:rPr>
          <w:rFonts w:hint="eastAsia" w:ascii="宋体" w:hAnsi="宋体"/>
          <w:b/>
          <w:bCs/>
          <w:color w:val="auto"/>
          <w:sz w:val="24"/>
          <w:highlight w:val="none"/>
          <w:u w:val="single"/>
        </w:rPr>
        <w:t xml:space="preserve">                   项目</w:t>
      </w:r>
      <w:r>
        <w:rPr>
          <w:rFonts w:hint="eastAsia" w:ascii="宋体" w:hAnsi="宋体"/>
          <w:color w:val="auto"/>
          <w:sz w:val="24"/>
          <w:highlight w:val="none"/>
        </w:rPr>
        <w:t>”的第</w:t>
      </w:r>
      <w:r>
        <w:rPr>
          <w:rFonts w:hint="eastAsia" w:ascii="宋体" w:hAnsi="宋体"/>
          <w:color w:val="auto"/>
          <w:sz w:val="24"/>
          <w:szCs w:val="24"/>
          <w:highlight w:val="none"/>
          <w:u w:val="single"/>
        </w:rPr>
        <w:t>号</w:t>
      </w:r>
      <w:r>
        <w:rPr>
          <w:rFonts w:hint="eastAsia" w:ascii="宋体" w:hAnsi="宋体"/>
          <w:color w:val="auto"/>
          <w:sz w:val="24"/>
          <w:highlight w:val="none"/>
        </w:rPr>
        <w:t>招标邀请书，正式授权</w:t>
      </w:r>
      <w:r>
        <w:rPr>
          <w:rFonts w:hint="eastAsia" w:ascii="宋体" w:hAnsi="宋体"/>
          <w:color w:val="auto"/>
          <w:sz w:val="24"/>
          <w:highlight w:val="none"/>
          <w:u w:val="single"/>
        </w:rPr>
        <w:t xml:space="preserve">                   　</w:t>
      </w:r>
      <w:r>
        <w:rPr>
          <w:rFonts w:hint="eastAsia" w:ascii="宋体" w:hAnsi="宋体"/>
          <w:color w:val="auto"/>
          <w:sz w:val="24"/>
          <w:highlight w:val="none"/>
        </w:rPr>
        <w:t>（姓名、身份证号）代表投标人</w:t>
      </w:r>
      <w:r>
        <w:rPr>
          <w:rFonts w:hint="eastAsia" w:ascii="宋体" w:hAnsi="宋体"/>
          <w:color w:val="auto"/>
          <w:sz w:val="24"/>
          <w:highlight w:val="none"/>
          <w:u w:val="single"/>
        </w:rPr>
        <w:t xml:space="preserve">        　   </w:t>
      </w:r>
      <w:r>
        <w:rPr>
          <w:rFonts w:hint="eastAsia" w:ascii="宋体" w:hAnsi="宋体"/>
          <w:color w:val="auto"/>
          <w:sz w:val="24"/>
          <w:highlight w:val="none"/>
        </w:rPr>
        <w:t>（投标人全称），提交规定形式的投标文件。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据此函，我方兹宣布同意如下：</w:t>
      </w:r>
    </w:p>
    <w:p>
      <w:pPr>
        <w:spacing w:line="360" w:lineRule="auto"/>
        <w:ind w:firstLine="628" w:firstLineChars="262"/>
        <w:rPr>
          <w:rFonts w:ascii="宋体" w:hAnsi="宋体"/>
          <w:color w:val="auto"/>
          <w:sz w:val="24"/>
          <w:highlight w:val="none"/>
        </w:rPr>
      </w:pPr>
      <w:r>
        <w:rPr>
          <w:rFonts w:hint="eastAsia" w:ascii="宋体" w:hAnsi="宋体"/>
          <w:color w:val="auto"/>
          <w:sz w:val="24"/>
          <w:highlight w:val="none"/>
        </w:rPr>
        <w:t>（1）我方按招标文件规定提供服务的最终投标报价详见开标一览表，我方完全响应招标文件规定的服务期限、付款方式等全部内容。如我公司中标，我公司承诺愿意按招标文件规定交纳履约保证金。</w:t>
      </w:r>
    </w:p>
    <w:p>
      <w:pPr>
        <w:spacing w:line="360" w:lineRule="auto"/>
        <w:ind w:firstLine="630"/>
        <w:rPr>
          <w:rFonts w:ascii="宋体" w:hAnsi="宋体"/>
          <w:color w:val="auto"/>
          <w:sz w:val="24"/>
          <w:highlight w:val="none"/>
        </w:rPr>
      </w:pPr>
      <w:r>
        <w:rPr>
          <w:rFonts w:hint="eastAsia" w:ascii="宋体" w:hAnsi="宋体"/>
          <w:color w:val="auto"/>
          <w:sz w:val="24"/>
          <w:highlight w:val="none"/>
        </w:rPr>
        <w:t>（2）我方根据招标文件的规定，严格履行合同的责任和义务,并保证于买方要求的日期内完成服务，并通过买方验收。</w:t>
      </w:r>
    </w:p>
    <w:p>
      <w:pPr>
        <w:spacing w:line="360" w:lineRule="auto"/>
        <w:ind w:firstLine="630"/>
        <w:rPr>
          <w:rFonts w:ascii="宋体" w:hAnsi="宋体"/>
          <w:color w:val="auto"/>
          <w:sz w:val="24"/>
          <w:highlight w:val="none"/>
        </w:rPr>
      </w:pPr>
      <w:r>
        <w:rPr>
          <w:rFonts w:hint="eastAsia" w:ascii="宋体" w:hAnsi="宋体"/>
          <w:color w:val="auto"/>
          <w:sz w:val="24"/>
          <w:highlight w:val="none"/>
        </w:rPr>
        <w:t>（3）我方承诺报价低于同类服务的市场平均价格。</w:t>
      </w:r>
    </w:p>
    <w:p>
      <w:pPr>
        <w:spacing w:line="360" w:lineRule="auto"/>
        <w:ind w:left="101" w:leftChars="48" w:firstLine="480" w:firstLineChars="200"/>
        <w:jc w:val="left"/>
        <w:rPr>
          <w:rFonts w:ascii="宋体" w:hAnsi="宋体"/>
          <w:color w:val="auto"/>
          <w:sz w:val="24"/>
          <w:highlight w:val="none"/>
        </w:rPr>
      </w:pPr>
      <w:r>
        <w:rPr>
          <w:rFonts w:hint="eastAsia" w:ascii="宋体" w:hAnsi="宋体"/>
          <w:color w:val="auto"/>
          <w:sz w:val="24"/>
          <w:highlight w:val="none"/>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pPr>
        <w:spacing w:line="360" w:lineRule="auto"/>
        <w:ind w:left="101" w:leftChars="48" w:firstLine="480" w:firstLineChars="200"/>
        <w:jc w:val="left"/>
        <w:rPr>
          <w:rFonts w:ascii="宋体" w:hAnsi="宋体"/>
          <w:color w:val="auto"/>
          <w:sz w:val="24"/>
          <w:highlight w:val="none"/>
        </w:rPr>
      </w:pPr>
      <w:r>
        <w:rPr>
          <w:rFonts w:hint="eastAsia" w:ascii="宋体" w:hAnsi="宋体"/>
          <w:color w:val="auto"/>
          <w:sz w:val="24"/>
          <w:highlight w:val="none"/>
        </w:rPr>
        <w:t>（5）我方同意从招标文件规定的开标日期起遵循本投标文件，并在招标文件规定的投标有效期之前均具有约束力。</w:t>
      </w:r>
    </w:p>
    <w:p>
      <w:pPr>
        <w:spacing w:line="360" w:lineRule="auto"/>
        <w:ind w:left="101" w:leftChars="48" w:firstLine="480" w:firstLineChars="200"/>
        <w:jc w:val="left"/>
        <w:rPr>
          <w:rFonts w:ascii="宋体" w:hAnsi="宋体"/>
          <w:color w:val="auto"/>
          <w:sz w:val="24"/>
          <w:highlight w:val="none"/>
        </w:rPr>
      </w:pPr>
      <w:r>
        <w:rPr>
          <w:rFonts w:hint="eastAsia" w:ascii="宋体" w:hAnsi="宋体"/>
          <w:color w:val="auto"/>
          <w:sz w:val="24"/>
          <w:highlight w:val="none"/>
        </w:rPr>
        <w:t>（6）我方声明投标文件所提供的一切资料均真实无误、及时、有效。企业运营正常（注册登记信息、年报信息可查）。由于我方提供资料不实而造成的责任和后果由我方承担。我方同意按照贵方提出的要求，提供与投标有关的任何证据、数据或资料。</w:t>
      </w:r>
    </w:p>
    <w:p>
      <w:pPr>
        <w:spacing w:line="360" w:lineRule="auto"/>
        <w:ind w:left="101" w:leftChars="48" w:firstLine="480" w:firstLineChars="200"/>
        <w:jc w:val="left"/>
        <w:rPr>
          <w:rFonts w:ascii="宋体" w:hAnsi="宋体"/>
          <w:color w:val="auto"/>
          <w:sz w:val="24"/>
          <w:highlight w:val="none"/>
        </w:rPr>
      </w:pPr>
      <w:r>
        <w:rPr>
          <w:rFonts w:hint="eastAsia" w:ascii="宋体" w:hAnsi="宋体"/>
          <w:color w:val="auto"/>
          <w:sz w:val="24"/>
          <w:highlight w:val="none"/>
        </w:rPr>
        <w:t>（7）我方完全理解贵方不一定接受最低报价的投标。</w:t>
      </w:r>
    </w:p>
    <w:p>
      <w:pPr>
        <w:spacing w:line="360" w:lineRule="auto"/>
        <w:ind w:left="101" w:leftChars="48" w:firstLine="480" w:firstLineChars="200"/>
        <w:jc w:val="left"/>
        <w:rPr>
          <w:rFonts w:ascii="宋体" w:hAnsi="宋体"/>
          <w:color w:val="auto"/>
          <w:sz w:val="24"/>
          <w:highlight w:val="none"/>
        </w:rPr>
      </w:pPr>
      <w:r>
        <w:rPr>
          <w:rFonts w:hint="eastAsia" w:ascii="宋体" w:hAnsi="宋体"/>
          <w:color w:val="auto"/>
          <w:sz w:val="24"/>
          <w:highlight w:val="none"/>
        </w:rPr>
        <w:t>（8）我方承诺若中标，按招标文件要求提供本地化服务。</w:t>
      </w:r>
    </w:p>
    <w:p>
      <w:pPr>
        <w:spacing w:line="360" w:lineRule="auto"/>
        <w:ind w:left="101" w:leftChars="48" w:firstLine="480" w:firstLineChars="200"/>
        <w:jc w:val="left"/>
        <w:rPr>
          <w:rFonts w:ascii="宋体" w:hAnsi="宋体"/>
          <w:color w:val="auto"/>
          <w:sz w:val="24"/>
          <w:highlight w:val="none"/>
        </w:rPr>
      </w:pPr>
      <w:r>
        <w:rPr>
          <w:rFonts w:hint="eastAsia" w:ascii="宋体" w:hAnsi="宋体"/>
          <w:color w:val="auto"/>
          <w:sz w:val="24"/>
          <w:highlight w:val="none"/>
        </w:rPr>
        <w:t>（9）我方同意招标文件规定的付款方式。</w:t>
      </w:r>
    </w:p>
    <w:p>
      <w:pPr>
        <w:spacing w:line="360" w:lineRule="auto"/>
        <w:ind w:firstLine="630"/>
        <w:rPr>
          <w:rFonts w:ascii="宋体" w:hAnsi="宋体"/>
          <w:color w:val="auto"/>
          <w:sz w:val="24"/>
          <w:highlight w:val="none"/>
          <w:u w:val="single"/>
        </w:rPr>
      </w:pPr>
      <w:r>
        <w:rPr>
          <w:rFonts w:hint="eastAsia" w:ascii="宋体" w:hAnsi="宋体"/>
          <w:color w:val="auto"/>
          <w:sz w:val="24"/>
          <w:highlight w:val="none"/>
        </w:rPr>
        <w:t>（10）与本投标有关的通讯地址：</w:t>
      </w:r>
    </w:p>
    <w:p>
      <w:pPr>
        <w:spacing w:line="360" w:lineRule="auto"/>
        <w:ind w:firstLine="630"/>
        <w:rPr>
          <w:rFonts w:ascii="宋体" w:hAnsi="宋体"/>
          <w:color w:val="auto"/>
          <w:sz w:val="24"/>
          <w:highlight w:val="none"/>
          <w:u w:val="single"/>
        </w:rPr>
      </w:pPr>
      <w:r>
        <w:rPr>
          <w:rFonts w:hint="eastAsia" w:ascii="宋体" w:hAnsi="宋体"/>
          <w:color w:val="auto"/>
          <w:sz w:val="24"/>
          <w:highlight w:val="none"/>
        </w:rPr>
        <w:t>电    话：传    真：</w:t>
      </w:r>
    </w:p>
    <w:p>
      <w:pPr>
        <w:spacing w:line="360" w:lineRule="auto"/>
        <w:ind w:firstLine="630"/>
        <w:rPr>
          <w:rFonts w:ascii="宋体" w:hAnsi="宋体"/>
          <w:color w:val="auto"/>
          <w:sz w:val="24"/>
          <w:highlight w:val="none"/>
        </w:rPr>
      </w:pPr>
      <w:r>
        <w:rPr>
          <w:rFonts w:hint="eastAsia" w:ascii="宋体" w:hAnsi="宋体"/>
          <w:color w:val="auto"/>
          <w:sz w:val="24"/>
          <w:highlight w:val="none"/>
        </w:rPr>
        <w:t>投标人基本账户开户名： 账号： 开户行：</w:t>
      </w:r>
    </w:p>
    <w:p>
      <w:pPr>
        <w:spacing w:line="360" w:lineRule="auto"/>
        <w:ind w:firstLine="630"/>
        <w:rPr>
          <w:rFonts w:ascii="宋体" w:hAnsi="宋体"/>
          <w:color w:val="auto"/>
          <w:sz w:val="24"/>
          <w:highlight w:val="none"/>
        </w:rPr>
      </w:pPr>
      <w:r>
        <w:rPr>
          <w:rFonts w:hint="eastAsia" w:ascii="宋体" w:hAnsi="宋体"/>
          <w:color w:val="auto"/>
          <w:sz w:val="24"/>
          <w:highlight w:val="none"/>
        </w:rPr>
        <w:t>投标人章： 日    期：</w:t>
      </w:r>
      <w:bookmarkStart w:id="107" w:name="_Hlt533408944"/>
      <w:bookmarkEnd w:id="107"/>
      <w:bookmarkStart w:id="108" w:name="_Hlt514495724"/>
      <w:bookmarkEnd w:id="108"/>
    </w:p>
    <w:p>
      <w:pPr>
        <w:widowControl/>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特此承诺</w:t>
      </w:r>
    </w:p>
    <w:p>
      <w:pPr>
        <w:widowControl/>
        <w:spacing w:line="480" w:lineRule="exact"/>
        <w:ind w:left="840" w:leftChars="400"/>
        <w:jc w:val="left"/>
        <w:rPr>
          <w:rFonts w:ascii="宋体" w:hAnsi="宋体" w:cs="宋体"/>
          <w:color w:val="auto"/>
          <w:kern w:val="0"/>
          <w:sz w:val="24"/>
          <w:highlight w:val="none"/>
        </w:rPr>
      </w:pPr>
    </w:p>
    <w:p>
      <w:pPr>
        <w:widowControl/>
        <w:spacing w:line="520" w:lineRule="exact"/>
        <w:ind w:left="48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投标人（公章）：</w:t>
      </w:r>
    </w:p>
    <w:p>
      <w:pPr>
        <w:widowControl/>
        <w:spacing w:line="520" w:lineRule="exact"/>
        <w:ind w:left="48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企业法人（签字）：</w:t>
      </w:r>
    </w:p>
    <w:p>
      <w:pPr>
        <w:widowControl/>
        <w:spacing w:line="520" w:lineRule="exact"/>
        <w:ind w:left="48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授权代表（签字）：</w:t>
      </w:r>
    </w:p>
    <w:p>
      <w:pPr>
        <w:widowControl/>
        <w:spacing w:line="520" w:lineRule="exact"/>
        <w:ind w:left="48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年月日</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bookmarkEnd w:id="102"/>
    <w:bookmarkEnd w:id="103"/>
    <w:p>
      <w:pPr>
        <w:pStyle w:val="4"/>
        <w:rPr>
          <w:rFonts w:hAnsi="宋体"/>
          <w:color w:val="auto"/>
          <w:sz w:val="28"/>
          <w:highlight w:val="none"/>
        </w:rPr>
      </w:pPr>
      <w:bookmarkStart w:id="109" w:name="_Toc471736409"/>
      <w:bookmarkStart w:id="110" w:name="_Toc516969097"/>
      <w:bookmarkStart w:id="111" w:name="_Toc29943"/>
      <w:r>
        <w:rPr>
          <w:rFonts w:hint="eastAsia" w:hAnsi="宋体"/>
          <w:color w:val="auto"/>
          <w:sz w:val="28"/>
          <w:highlight w:val="none"/>
        </w:rPr>
        <w:t>二．投标人情况综合简介</w:t>
      </w:r>
      <w:bookmarkEnd w:id="109"/>
      <w:bookmarkEnd w:id="110"/>
      <w:bookmarkEnd w:id="111"/>
    </w:p>
    <w:p>
      <w:pPr>
        <w:spacing w:line="500" w:lineRule="exact"/>
        <w:jc w:val="center"/>
        <w:rPr>
          <w:rFonts w:ascii="宋体" w:hAnsi="宋体"/>
          <w:color w:val="auto"/>
          <w:sz w:val="24"/>
          <w:highlight w:val="none"/>
        </w:rPr>
      </w:pPr>
      <w:r>
        <w:rPr>
          <w:rFonts w:hint="eastAsia" w:ascii="宋体" w:hAnsi="宋体"/>
          <w:color w:val="auto"/>
          <w:sz w:val="24"/>
          <w:highlight w:val="none"/>
        </w:rPr>
        <w:t>(投标人可自行制作格式)</w:t>
      </w:r>
    </w:p>
    <w:p>
      <w:pPr>
        <w:spacing w:line="500" w:lineRule="exact"/>
        <w:jc w:val="center"/>
        <w:rPr>
          <w:rFonts w:ascii="宋体" w:hAnsi="宋体"/>
          <w:color w:val="auto"/>
          <w:sz w:val="24"/>
          <w:highlight w:val="none"/>
        </w:rPr>
      </w:pPr>
    </w:p>
    <w:p>
      <w:pPr>
        <w:spacing w:line="500" w:lineRule="exact"/>
        <w:jc w:val="center"/>
        <w:rPr>
          <w:rFonts w:ascii="宋体" w:hAnsi="宋体"/>
          <w:color w:val="auto"/>
          <w:sz w:val="24"/>
          <w:highlight w:val="none"/>
        </w:rPr>
      </w:pPr>
    </w:p>
    <w:p>
      <w:pPr>
        <w:spacing w:line="500" w:lineRule="exact"/>
        <w:jc w:val="center"/>
        <w:rPr>
          <w:rFonts w:ascii="宋体" w:hAnsi="宋体"/>
          <w:color w:val="auto"/>
          <w:sz w:val="24"/>
          <w:highlight w:val="none"/>
        </w:rPr>
      </w:pPr>
    </w:p>
    <w:p>
      <w:pPr>
        <w:spacing w:line="500" w:lineRule="exact"/>
        <w:jc w:val="center"/>
        <w:rPr>
          <w:rFonts w:ascii="宋体" w:hAnsi="宋体"/>
          <w:color w:val="auto"/>
          <w:sz w:val="24"/>
          <w:highlight w:val="none"/>
        </w:rPr>
      </w:pPr>
    </w:p>
    <w:p>
      <w:pPr>
        <w:spacing w:line="500" w:lineRule="exact"/>
        <w:jc w:val="center"/>
        <w:rPr>
          <w:rFonts w:ascii="宋体" w:hAnsi="宋体"/>
          <w:color w:val="auto"/>
          <w:sz w:val="24"/>
          <w:highlight w:val="none"/>
        </w:rPr>
      </w:pPr>
    </w:p>
    <w:p>
      <w:pPr>
        <w:spacing w:line="500" w:lineRule="exact"/>
        <w:jc w:val="center"/>
        <w:rPr>
          <w:rFonts w:ascii="宋体" w:hAnsi="宋体"/>
          <w:color w:val="auto"/>
          <w:sz w:val="24"/>
          <w:highlight w:val="none"/>
        </w:rPr>
      </w:pPr>
    </w:p>
    <w:p>
      <w:pPr>
        <w:spacing w:line="500" w:lineRule="exact"/>
        <w:jc w:val="center"/>
        <w:rPr>
          <w:rFonts w:ascii="宋体" w:hAnsi="宋体"/>
          <w:color w:val="auto"/>
          <w:sz w:val="24"/>
          <w:highlight w:val="none"/>
        </w:rPr>
      </w:pPr>
    </w:p>
    <w:p>
      <w:pPr>
        <w:spacing w:line="500" w:lineRule="exact"/>
        <w:jc w:val="center"/>
        <w:rPr>
          <w:rFonts w:ascii="宋体" w:hAnsi="宋体"/>
          <w:color w:val="auto"/>
          <w:sz w:val="24"/>
          <w:highlight w:val="none"/>
        </w:rPr>
      </w:pPr>
    </w:p>
    <w:p>
      <w:pPr>
        <w:spacing w:line="500" w:lineRule="exact"/>
        <w:jc w:val="center"/>
        <w:rPr>
          <w:rFonts w:ascii="宋体" w:hAnsi="宋体"/>
          <w:color w:val="auto"/>
          <w:sz w:val="24"/>
          <w:highlight w:val="none"/>
        </w:rPr>
      </w:pPr>
    </w:p>
    <w:p>
      <w:pPr>
        <w:spacing w:line="500" w:lineRule="exact"/>
        <w:jc w:val="center"/>
        <w:rPr>
          <w:rFonts w:ascii="宋体" w:hAnsi="宋体"/>
          <w:color w:val="auto"/>
          <w:sz w:val="24"/>
          <w:highlight w:val="none"/>
        </w:rPr>
      </w:pPr>
    </w:p>
    <w:p>
      <w:pPr>
        <w:spacing w:line="500" w:lineRule="exact"/>
        <w:jc w:val="center"/>
        <w:rPr>
          <w:rFonts w:ascii="宋体" w:hAnsi="宋体"/>
          <w:color w:val="auto"/>
          <w:sz w:val="24"/>
          <w:highlight w:val="none"/>
        </w:rPr>
      </w:pPr>
    </w:p>
    <w:p>
      <w:pPr>
        <w:spacing w:line="500" w:lineRule="exact"/>
        <w:jc w:val="center"/>
        <w:rPr>
          <w:rFonts w:ascii="宋体" w:hAnsi="宋体"/>
          <w:color w:val="auto"/>
          <w:sz w:val="24"/>
          <w:highlight w:val="none"/>
        </w:rPr>
      </w:pPr>
    </w:p>
    <w:p>
      <w:pPr>
        <w:spacing w:line="500" w:lineRule="exact"/>
        <w:jc w:val="center"/>
        <w:rPr>
          <w:rFonts w:ascii="宋体" w:hAnsi="宋体"/>
          <w:color w:val="auto"/>
          <w:sz w:val="24"/>
          <w:highlight w:val="none"/>
        </w:rPr>
      </w:pPr>
    </w:p>
    <w:p>
      <w:pPr>
        <w:pStyle w:val="4"/>
        <w:rPr>
          <w:rFonts w:hAnsi="宋体"/>
          <w:color w:val="auto"/>
          <w:sz w:val="28"/>
          <w:highlight w:val="none"/>
        </w:rPr>
      </w:pPr>
      <w:bookmarkStart w:id="112" w:name="_Toc19997"/>
      <w:r>
        <w:rPr>
          <w:rFonts w:hint="eastAsia" w:hAnsi="宋体"/>
          <w:color w:val="auto"/>
          <w:sz w:val="28"/>
          <w:highlight w:val="none"/>
        </w:rPr>
        <w:t>三．开标一览表</w:t>
      </w:r>
      <w:bookmarkEnd w:id="112"/>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b/>
                <w:color w:val="auto"/>
                <w:sz w:val="24"/>
                <w:highlight w:val="none"/>
              </w:rPr>
            </w:pPr>
            <w:r>
              <w:rPr>
                <w:rFonts w:hint="eastAsia" w:ascii="宋体" w:hAnsi="宋体"/>
                <w:b/>
                <w:color w:val="auto"/>
                <w:sz w:val="24"/>
                <w:highlight w:val="none"/>
              </w:rPr>
              <w:t>项 目 名 称</w:t>
            </w:r>
          </w:p>
        </w:tc>
        <w:tc>
          <w:tcPr>
            <w:tcW w:w="666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bCs/>
                <w:color w:val="auto"/>
                <w:sz w:val="24"/>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b/>
                <w:color w:val="auto"/>
                <w:sz w:val="24"/>
                <w:highlight w:val="none"/>
              </w:rPr>
            </w:pPr>
            <w:r>
              <w:rPr>
                <w:rFonts w:hint="eastAsia" w:ascii="宋体" w:hAnsi="宋体"/>
                <w:b/>
                <w:color w:val="auto"/>
                <w:sz w:val="24"/>
                <w:highlight w:val="none"/>
              </w:rPr>
              <w:t>投标人全称</w:t>
            </w:r>
          </w:p>
        </w:tc>
        <w:tc>
          <w:tcPr>
            <w:tcW w:w="6667" w:type="dxa"/>
            <w:tcBorders>
              <w:top w:val="nil"/>
              <w:left w:val="single" w:color="auto" w:sz="4" w:space="0"/>
              <w:bottom w:val="single" w:color="auto" w:sz="4" w:space="0"/>
              <w:right w:val="single" w:color="auto" w:sz="4" w:space="0"/>
            </w:tcBorders>
            <w:vAlign w:val="center"/>
          </w:tcPr>
          <w:p>
            <w:pPr>
              <w:spacing w:line="360" w:lineRule="auto"/>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b/>
                <w:color w:val="auto"/>
                <w:sz w:val="24"/>
                <w:highlight w:val="none"/>
              </w:rPr>
            </w:pPr>
            <w:r>
              <w:rPr>
                <w:rFonts w:hint="eastAsia" w:ascii="宋体" w:hAnsi="宋体"/>
                <w:b/>
                <w:color w:val="auto"/>
                <w:sz w:val="24"/>
                <w:highlight w:val="none"/>
              </w:rPr>
              <w:t>投标范围</w:t>
            </w:r>
          </w:p>
        </w:tc>
        <w:tc>
          <w:tcPr>
            <w:tcW w:w="6667" w:type="dxa"/>
            <w:tcBorders>
              <w:top w:val="nil"/>
              <w:left w:val="single" w:color="auto" w:sz="4" w:space="0"/>
              <w:bottom w:val="single" w:color="auto" w:sz="4" w:space="0"/>
              <w:right w:val="single" w:color="auto" w:sz="4" w:space="0"/>
            </w:tcBorders>
            <w:vAlign w:val="center"/>
          </w:tcPr>
          <w:p>
            <w:pPr>
              <w:widowControl/>
              <w:spacing w:line="360" w:lineRule="exact"/>
              <w:rPr>
                <w:rFonts w:ascii="宋体" w:hAnsi="宋体"/>
                <w:b/>
                <w:color w:val="auto"/>
                <w:sz w:val="24"/>
                <w:highlight w:val="none"/>
              </w:rPr>
            </w:pPr>
            <w:r>
              <w:rPr>
                <w:rFonts w:hint="eastAsia" w:ascii="宋体" w:hAnsi="宋体"/>
                <w:color w:val="auto"/>
                <w:sz w:val="24"/>
                <w:szCs w:val="28"/>
                <w:highlight w:val="none"/>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jc w:val="center"/>
        </w:trPr>
        <w:tc>
          <w:tcPr>
            <w:tcW w:w="2471"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b/>
                <w:color w:val="auto"/>
                <w:sz w:val="24"/>
                <w:highlight w:val="none"/>
              </w:rPr>
            </w:pPr>
            <w:r>
              <w:rPr>
                <w:rFonts w:hint="eastAsia" w:ascii="宋体" w:hAnsi="宋体"/>
                <w:b/>
                <w:color w:val="auto"/>
                <w:sz w:val="24"/>
                <w:highlight w:val="none"/>
              </w:rPr>
              <w:t>最终投标报价</w:t>
            </w:r>
          </w:p>
          <w:p>
            <w:pPr>
              <w:spacing w:line="360" w:lineRule="exact"/>
              <w:jc w:val="center"/>
              <w:rPr>
                <w:rFonts w:ascii="宋体" w:hAnsi="宋体"/>
                <w:b/>
                <w:color w:val="auto"/>
                <w:sz w:val="24"/>
                <w:highlight w:val="none"/>
              </w:rPr>
            </w:pPr>
            <w:r>
              <w:rPr>
                <w:rFonts w:hint="eastAsia" w:ascii="宋体" w:hAnsi="宋体"/>
                <w:b/>
                <w:color w:val="auto"/>
                <w:sz w:val="24"/>
                <w:highlight w:val="none"/>
              </w:rPr>
              <w:t>（人民币）</w:t>
            </w:r>
          </w:p>
        </w:tc>
        <w:tc>
          <w:tcPr>
            <w:tcW w:w="6667" w:type="dxa"/>
            <w:tcBorders>
              <w:top w:val="nil"/>
              <w:left w:val="single" w:color="auto" w:sz="4" w:space="0"/>
              <w:bottom w:val="single" w:color="auto" w:sz="4" w:space="0"/>
              <w:right w:val="single" w:color="auto" w:sz="4" w:space="0"/>
            </w:tcBorders>
            <w:vAlign w:val="center"/>
          </w:tcPr>
          <w:p>
            <w:pPr>
              <w:widowControl/>
              <w:spacing w:line="360" w:lineRule="exact"/>
              <w:rPr>
                <w:rFonts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b/>
                <w:color w:val="auto"/>
                <w:sz w:val="24"/>
                <w:szCs w:val="24"/>
                <w:highlight w:val="none"/>
              </w:rPr>
            </w:pPr>
            <w:r>
              <w:rPr>
                <w:rFonts w:hint="eastAsia" w:ascii="宋体" w:hAnsi="宋体"/>
                <w:b/>
                <w:color w:val="auto"/>
                <w:sz w:val="24"/>
                <w:szCs w:val="24"/>
                <w:highlight w:val="none"/>
              </w:rPr>
              <w:t>服务期限</w:t>
            </w:r>
          </w:p>
        </w:tc>
        <w:tc>
          <w:tcPr>
            <w:tcW w:w="6667" w:type="dxa"/>
            <w:tcBorders>
              <w:top w:val="nil"/>
              <w:left w:val="single" w:color="auto" w:sz="4" w:space="0"/>
              <w:bottom w:val="single" w:color="auto" w:sz="4" w:space="0"/>
              <w:right w:val="single" w:color="auto" w:sz="4" w:space="0"/>
            </w:tcBorders>
            <w:vAlign w:val="center"/>
          </w:tcPr>
          <w:p>
            <w:pPr>
              <w:spacing w:line="360" w:lineRule="auto"/>
              <w:ind w:right="-670"/>
              <w:jc w:val="left"/>
              <w:rPr>
                <w:rFonts w:ascii="宋体" w:hAnsi="宋体"/>
                <w:color w:val="auto"/>
                <w:sz w:val="24"/>
                <w:szCs w:val="24"/>
                <w:highlight w:val="none"/>
              </w:rPr>
            </w:pPr>
            <w:r>
              <w:rPr>
                <w:rFonts w:hint="eastAsia" w:ascii="宋体" w:hAnsi="宋体"/>
                <w:color w:val="auto"/>
                <w:sz w:val="24"/>
                <w:szCs w:val="24"/>
                <w:highlight w:val="none"/>
              </w:rPr>
              <w:t>□响应    □不响应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left w:val="single" w:color="auto" w:sz="4" w:space="0"/>
              <w:bottom w:val="single" w:color="auto" w:sz="4" w:space="0"/>
              <w:right w:val="single" w:color="auto" w:sz="4" w:space="0"/>
            </w:tcBorders>
            <w:vAlign w:val="center"/>
          </w:tcPr>
          <w:p>
            <w:pPr>
              <w:spacing w:line="360" w:lineRule="exact"/>
              <w:jc w:val="center"/>
              <w:rPr>
                <w:rFonts w:ascii="宋体" w:hAnsi="宋体"/>
                <w:b/>
                <w:color w:val="auto"/>
                <w:sz w:val="24"/>
                <w:szCs w:val="24"/>
                <w:highlight w:val="none"/>
              </w:rPr>
            </w:pPr>
            <w:r>
              <w:rPr>
                <w:rFonts w:hint="eastAsia" w:ascii="宋体" w:hAnsi="宋体"/>
                <w:b/>
                <w:color w:val="auto"/>
                <w:sz w:val="24"/>
                <w:szCs w:val="24"/>
                <w:highlight w:val="none"/>
              </w:rPr>
              <w:t>服务内容</w:t>
            </w:r>
          </w:p>
        </w:tc>
        <w:tc>
          <w:tcPr>
            <w:tcW w:w="6667" w:type="dxa"/>
            <w:tcBorders>
              <w:top w:val="nil"/>
              <w:left w:val="single" w:color="auto" w:sz="4" w:space="0"/>
              <w:bottom w:val="single" w:color="auto" w:sz="4" w:space="0"/>
              <w:right w:val="single" w:color="auto" w:sz="4" w:space="0"/>
            </w:tcBorders>
            <w:vAlign w:val="center"/>
          </w:tcPr>
          <w:p>
            <w:pPr>
              <w:spacing w:line="360" w:lineRule="auto"/>
              <w:ind w:right="-670"/>
              <w:rPr>
                <w:rFonts w:ascii="宋体" w:hAnsi="宋体"/>
                <w:color w:val="auto"/>
                <w:sz w:val="24"/>
                <w:szCs w:val="24"/>
                <w:highlight w:val="none"/>
              </w:rPr>
            </w:pPr>
            <w:r>
              <w:rPr>
                <w:rFonts w:hint="eastAsia" w:ascii="宋体" w:hAnsi="宋体"/>
                <w:color w:val="auto"/>
                <w:sz w:val="24"/>
                <w:szCs w:val="24"/>
                <w:highlight w:val="none"/>
              </w:rPr>
              <w:t>□响应    □不响应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6" w:hRule="atLeast"/>
          <w:jc w:val="center"/>
        </w:trPr>
        <w:tc>
          <w:tcPr>
            <w:tcW w:w="2471"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b/>
                <w:color w:val="auto"/>
                <w:sz w:val="24"/>
                <w:highlight w:val="none"/>
              </w:rPr>
            </w:pPr>
            <w:r>
              <w:rPr>
                <w:rFonts w:hint="eastAsia" w:ascii="宋体" w:hAnsi="宋体"/>
                <w:b/>
                <w:color w:val="auto"/>
                <w:sz w:val="24"/>
                <w:highlight w:val="none"/>
              </w:rPr>
              <w:t>备注</w:t>
            </w:r>
          </w:p>
        </w:tc>
        <w:tc>
          <w:tcPr>
            <w:tcW w:w="6667" w:type="dxa"/>
            <w:tcBorders>
              <w:top w:val="nil"/>
              <w:left w:val="single" w:color="auto" w:sz="4" w:space="0"/>
              <w:bottom w:val="single" w:color="auto" w:sz="4" w:space="0"/>
              <w:right w:val="single" w:color="auto" w:sz="4" w:space="0"/>
            </w:tcBorders>
            <w:vAlign w:val="center"/>
          </w:tcPr>
          <w:p>
            <w:pPr>
              <w:spacing w:line="360" w:lineRule="auto"/>
              <w:jc w:val="left"/>
              <w:rPr>
                <w:rFonts w:ascii="宋体" w:hAnsi="宋体"/>
                <w:color w:val="auto"/>
                <w:sz w:val="24"/>
                <w:szCs w:val="28"/>
                <w:highlight w:val="none"/>
              </w:rPr>
            </w:pPr>
          </w:p>
        </w:tc>
      </w:tr>
    </w:tbl>
    <w:p>
      <w:pPr>
        <w:spacing w:before="100" w:beforeAutospacing="1" w:after="100" w:afterAutospacing="1" w:line="360" w:lineRule="auto"/>
        <w:rPr>
          <w:rFonts w:ascii="宋体" w:hAnsi="宋体"/>
          <w:b/>
          <w:color w:val="auto"/>
          <w:sz w:val="24"/>
          <w:highlight w:val="none"/>
        </w:rPr>
      </w:pPr>
      <w:r>
        <w:rPr>
          <w:rFonts w:hint="eastAsia" w:ascii="宋体" w:hAnsi="宋体"/>
          <w:b/>
          <w:color w:val="auto"/>
          <w:sz w:val="24"/>
          <w:highlight w:val="none"/>
        </w:rPr>
        <w:t xml:space="preserve">投标人(公章)：                                           </w:t>
      </w:r>
    </w:p>
    <w:p>
      <w:pPr>
        <w:spacing w:line="360" w:lineRule="auto"/>
        <w:rPr>
          <w:rFonts w:ascii="宋体" w:hAnsi="宋体"/>
          <w:b/>
          <w:color w:val="auto"/>
          <w:sz w:val="24"/>
          <w:highlight w:val="none"/>
        </w:rPr>
      </w:pPr>
      <w:r>
        <w:rPr>
          <w:rFonts w:hint="eastAsia" w:ascii="宋体" w:hAnsi="宋体"/>
          <w:b/>
          <w:color w:val="auto"/>
          <w:sz w:val="24"/>
          <w:highlight w:val="none"/>
        </w:rPr>
        <w:t>备注：表中最终投标报价即为优惠后报价，并作为评审及定标依据。任何有选择或有条件的最终投标报价，超过项目概算或者表中某一标段填写多个报价，均为无效报价。</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4"/>
        <w:rPr>
          <w:rFonts w:hAnsi="宋体"/>
          <w:color w:val="auto"/>
          <w:sz w:val="28"/>
          <w:highlight w:val="none"/>
        </w:rPr>
      </w:pPr>
      <w:bookmarkStart w:id="113" w:name="_Toc528276345"/>
      <w:bookmarkStart w:id="114" w:name="_Toc536542358"/>
      <w:bookmarkStart w:id="115" w:name="_Toc220232409"/>
      <w:bookmarkStart w:id="116" w:name="_Toc27108"/>
      <w:bookmarkStart w:id="117" w:name="_Toc2925"/>
      <w:bookmarkStart w:id="118" w:name="_Toc29288"/>
      <w:bookmarkStart w:id="119" w:name="_Toc20723"/>
      <w:bookmarkStart w:id="120" w:name="_Toc36563030"/>
      <w:bookmarkStart w:id="121" w:name="_Toc471736413"/>
      <w:r>
        <w:rPr>
          <w:rFonts w:hint="eastAsia" w:hAnsi="宋体"/>
          <w:color w:val="auto"/>
          <w:sz w:val="28"/>
          <w:highlight w:val="none"/>
        </w:rPr>
        <w:t>四．单项报价表</w:t>
      </w:r>
      <w:bookmarkEnd w:id="113"/>
      <w:bookmarkEnd w:id="114"/>
      <w:bookmarkEnd w:id="115"/>
      <w:bookmarkEnd w:id="116"/>
      <w:bookmarkEnd w:id="117"/>
      <w:bookmarkEnd w:id="118"/>
      <w:bookmarkEnd w:id="119"/>
      <w:bookmarkEnd w:id="120"/>
      <w:bookmarkEnd w:id="121"/>
    </w:p>
    <w:tbl>
      <w:tblPr>
        <w:tblStyle w:val="51"/>
        <w:tblW w:w="9395" w:type="dxa"/>
        <w:tblInd w:w="98" w:type="dxa"/>
        <w:tblLayout w:type="fixed"/>
        <w:tblCellMar>
          <w:top w:w="0" w:type="dxa"/>
          <w:left w:w="108" w:type="dxa"/>
          <w:bottom w:w="0" w:type="dxa"/>
          <w:right w:w="108" w:type="dxa"/>
        </w:tblCellMar>
      </w:tblPr>
      <w:tblGrid>
        <w:gridCol w:w="817"/>
        <w:gridCol w:w="833"/>
        <w:gridCol w:w="2189"/>
        <w:gridCol w:w="867"/>
        <w:gridCol w:w="872"/>
        <w:gridCol w:w="872"/>
        <w:gridCol w:w="2945"/>
      </w:tblGrid>
      <w:tr>
        <w:tblPrEx>
          <w:tblCellMar>
            <w:top w:w="0" w:type="dxa"/>
            <w:left w:w="108" w:type="dxa"/>
            <w:bottom w:w="0" w:type="dxa"/>
            <w:right w:w="108" w:type="dxa"/>
          </w:tblCellMar>
        </w:tblPrEx>
        <w:trPr>
          <w:trHeight w:val="450"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序号</w:t>
            </w:r>
          </w:p>
        </w:tc>
        <w:tc>
          <w:tcPr>
            <w:tcW w:w="30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服务项目</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单价</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数量</w:t>
            </w: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合计</w:t>
            </w: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备注</w:t>
            </w:r>
          </w:p>
        </w:tc>
      </w:tr>
      <w:tr>
        <w:tblPrEx>
          <w:tblCellMar>
            <w:top w:w="0" w:type="dxa"/>
            <w:left w:w="108" w:type="dxa"/>
            <w:bottom w:w="0" w:type="dxa"/>
            <w:right w:w="108" w:type="dxa"/>
          </w:tblCellMar>
        </w:tblPrEx>
        <w:trPr>
          <w:trHeight w:val="49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w:t>
            </w:r>
          </w:p>
        </w:tc>
        <w:tc>
          <w:tcPr>
            <w:tcW w:w="30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发布招聘公告</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94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按批次报价，具体详见招聘主要步骤</w:t>
            </w:r>
          </w:p>
        </w:tc>
      </w:tr>
      <w:tr>
        <w:tblPrEx>
          <w:tblCellMar>
            <w:top w:w="0" w:type="dxa"/>
            <w:left w:w="108" w:type="dxa"/>
            <w:bottom w:w="0" w:type="dxa"/>
            <w:right w:w="108" w:type="dxa"/>
          </w:tblCellMar>
        </w:tblPrEx>
        <w:trPr>
          <w:trHeight w:val="49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2</w:t>
            </w:r>
          </w:p>
        </w:tc>
        <w:tc>
          <w:tcPr>
            <w:tcW w:w="30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简历筛选（含推荐）</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具体详见招聘主要步骤</w:t>
            </w:r>
          </w:p>
        </w:tc>
      </w:tr>
      <w:tr>
        <w:tblPrEx>
          <w:tblCellMar>
            <w:top w:w="0" w:type="dxa"/>
            <w:left w:w="108" w:type="dxa"/>
            <w:bottom w:w="0" w:type="dxa"/>
            <w:right w:w="108" w:type="dxa"/>
          </w:tblCellMar>
        </w:tblPrEx>
        <w:trPr>
          <w:trHeight w:val="49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3</w:t>
            </w:r>
          </w:p>
        </w:tc>
        <w:tc>
          <w:tcPr>
            <w:tcW w:w="30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资格审查</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highlight w:val="none"/>
              </w:rPr>
            </w:pPr>
          </w:p>
        </w:tc>
      </w:tr>
      <w:tr>
        <w:tblPrEx>
          <w:tblCellMar>
            <w:top w:w="0" w:type="dxa"/>
            <w:left w:w="108" w:type="dxa"/>
            <w:bottom w:w="0" w:type="dxa"/>
            <w:right w:w="108" w:type="dxa"/>
          </w:tblCellMar>
        </w:tblPrEx>
        <w:trPr>
          <w:trHeight w:val="49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4</w:t>
            </w:r>
          </w:p>
        </w:tc>
        <w:tc>
          <w:tcPr>
            <w:tcW w:w="30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笔试命题、组卷</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共</w:t>
            </w:r>
            <w:r>
              <w:rPr>
                <w:rFonts w:ascii="宋体" w:hAnsi="宋体" w:cs="宋体"/>
                <w:color w:val="auto"/>
                <w:kern w:val="0"/>
                <w:sz w:val="22"/>
                <w:highlight w:val="none"/>
                <w:lang w:bidi="ar"/>
              </w:rPr>
              <w:t>10</w:t>
            </w:r>
            <w:r>
              <w:rPr>
                <w:rFonts w:hint="eastAsia" w:ascii="宋体" w:hAnsi="宋体" w:cs="宋体"/>
                <w:color w:val="auto"/>
                <w:kern w:val="0"/>
                <w:sz w:val="22"/>
                <w:highlight w:val="none"/>
                <w:lang w:bidi="ar"/>
              </w:rPr>
              <w:t>套试卷，具体详见招聘主要步骤</w:t>
            </w:r>
          </w:p>
        </w:tc>
      </w:tr>
      <w:tr>
        <w:tblPrEx>
          <w:tblCellMar>
            <w:top w:w="0" w:type="dxa"/>
            <w:left w:w="108" w:type="dxa"/>
            <w:bottom w:w="0" w:type="dxa"/>
            <w:right w:w="108" w:type="dxa"/>
          </w:tblCellMar>
        </w:tblPrEx>
        <w:trPr>
          <w:trHeight w:val="501"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5</w:t>
            </w:r>
          </w:p>
        </w:tc>
        <w:tc>
          <w:tcPr>
            <w:tcW w:w="30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笔试考场安排</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各岗位参加笔试人数至少达到10:1的开考比例，以实际通过资格审查人数为准，暂按</w:t>
            </w:r>
            <w:r>
              <w:rPr>
                <w:rFonts w:ascii="宋体" w:hAnsi="宋体" w:cs="宋体"/>
                <w:color w:val="auto"/>
                <w:kern w:val="0"/>
                <w:sz w:val="22"/>
                <w:highlight w:val="none"/>
                <w:lang w:bidi="ar"/>
              </w:rPr>
              <w:t>1400</w:t>
            </w:r>
            <w:r>
              <w:rPr>
                <w:rFonts w:hint="eastAsia" w:ascii="宋体" w:hAnsi="宋体" w:cs="宋体"/>
                <w:color w:val="auto"/>
                <w:kern w:val="0"/>
                <w:sz w:val="22"/>
                <w:highlight w:val="none"/>
                <w:lang w:bidi="ar"/>
              </w:rPr>
              <w:t>人次报价，具体详见招聘主要步骤</w:t>
            </w:r>
          </w:p>
        </w:tc>
      </w:tr>
      <w:tr>
        <w:tblPrEx>
          <w:tblCellMar>
            <w:top w:w="0" w:type="dxa"/>
            <w:left w:w="108" w:type="dxa"/>
            <w:bottom w:w="0" w:type="dxa"/>
            <w:right w:w="108" w:type="dxa"/>
          </w:tblCellMar>
        </w:tblPrEx>
        <w:trPr>
          <w:trHeight w:val="49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6</w:t>
            </w:r>
          </w:p>
        </w:tc>
        <w:tc>
          <w:tcPr>
            <w:tcW w:w="30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试卷印制、答题纸、手机袋等</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highlight w:val="none"/>
              </w:rPr>
            </w:pPr>
          </w:p>
        </w:tc>
      </w:tr>
      <w:tr>
        <w:tblPrEx>
          <w:tblCellMar>
            <w:top w:w="0" w:type="dxa"/>
            <w:left w:w="108" w:type="dxa"/>
            <w:bottom w:w="0" w:type="dxa"/>
            <w:right w:w="108" w:type="dxa"/>
          </w:tblCellMar>
        </w:tblPrEx>
        <w:trPr>
          <w:trHeight w:val="49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7</w:t>
            </w:r>
          </w:p>
        </w:tc>
        <w:tc>
          <w:tcPr>
            <w:tcW w:w="30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监考</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highlight w:val="none"/>
              </w:rPr>
            </w:pPr>
          </w:p>
        </w:tc>
      </w:tr>
      <w:tr>
        <w:tblPrEx>
          <w:tblCellMar>
            <w:top w:w="0" w:type="dxa"/>
            <w:left w:w="108" w:type="dxa"/>
            <w:bottom w:w="0" w:type="dxa"/>
            <w:right w:w="108" w:type="dxa"/>
          </w:tblCellMar>
        </w:tblPrEx>
        <w:trPr>
          <w:trHeight w:val="49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8</w:t>
            </w:r>
          </w:p>
        </w:tc>
        <w:tc>
          <w:tcPr>
            <w:tcW w:w="30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阅卷统分</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highlight w:val="none"/>
              </w:rPr>
            </w:pPr>
          </w:p>
        </w:tc>
      </w:tr>
      <w:tr>
        <w:tblPrEx>
          <w:tblCellMar>
            <w:top w:w="0" w:type="dxa"/>
            <w:left w:w="108" w:type="dxa"/>
            <w:bottom w:w="0" w:type="dxa"/>
            <w:right w:w="108" w:type="dxa"/>
          </w:tblCellMar>
        </w:tblPrEx>
        <w:trPr>
          <w:trHeight w:val="67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9</w:t>
            </w:r>
          </w:p>
        </w:tc>
        <w:tc>
          <w:tcPr>
            <w:tcW w:w="30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心理测评</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对通过笔试人员进行测评，暂按1</w:t>
            </w:r>
            <w:r>
              <w:rPr>
                <w:rFonts w:ascii="宋体" w:hAnsi="宋体" w:cs="宋体"/>
                <w:color w:val="auto"/>
                <w:kern w:val="0"/>
                <w:sz w:val="22"/>
                <w:highlight w:val="none"/>
                <w:lang w:bidi="ar"/>
              </w:rPr>
              <w:t>6</w:t>
            </w:r>
            <w:r>
              <w:rPr>
                <w:rFonts w:hint="eastAsia" w:ascii="宋体" w:hAnsi="宋体" w:cs="宋体"/>
                <w:color w:val="auto"/>
                <w:kern w:val="0"/>
                <w:sz w:val="22"/>
                <w:highlight w:val="none"/>
                <w:lang w:bidi="ar"/>
              </w:rPr>
              <w:t>0人次报价</w:t>
            </w:r>
          </w:p>
        </w:tc>
      </w:tr>
      <w:tr>
        <w:tblPrEx>
          <w:tblCellMar>
            <w:top w:w="0" w:type="dxa"/>
            <w:left w:w="108" w:type="dxa"/>
            <w:bottom w:w="0" w:type="dxa"/>
            <w:right w:w="108" w:type="dxa"/>
          </w:tblCellMar>
        </w:tblPrEx>
        <w:trPr>
          <w:trHeight w:val="49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10</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一面</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题本</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945"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 w:val="22"/>
                <w:highlight w:val="none"/>
              </w:rPr>
            </w:pPr>
            <w:r>
              <w:rPr>
                <w:rFonts w:hint="eastAsia" w:ascii="宋体" w:hAnsi="宋体" w:cs="宋体"/>
                <w:color w:val="auto"/>
                <w:sz w:val="22"/>
                <w:highlight w:val="none"/>
              </w:rPr>
              <w:t>采用无领导小组讨论+半结构化面试形式，具体详见招聘主要步骤</w:t>
            </w:r>
          </w:p>
        </w:tc>
      </w:tr>
      <w:tr>
        <w:tblPrEx>
          <w:tblCellMar>
            <w:top w:w="0" w:type="dxa"/>
            <w:left w:w="108" w:type="dxa"/>
            <w:bottom w:w="0" w:type="dxa"/>
            <w:right w:w="108" w:type="dxa"/>
          </w:tblCellMar>
        </w:tblPrEx>
        <w:trPr>
          <w:trHeight w:val="49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11</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场地</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945"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auto"/>
                <w:sz w:val="22"/>
                <w:highlight w:val="none"/>
              </w:rPr>
            </w:pPr>
          </w:p>
        </w:tc>
      </w:tr>
      <w:tr>
        <w:tblPrEx>
          <w:tblCellMar>
            <w:top w:w="0" w:type="dxa"/>
            <w:left w:w="108" w:type="dxa"/>
            <w:bottom w:w="0" w:type="dxa"/>
            <w:right w:w="108" w:type="dxa"/>
          </w:tblCellMar>
        </w:tblPrEx>
        <w:trPr>
          <w:trHeight w:val="49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12</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组织服务</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945"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auto"/>
                <w:sz w:val="22"/>
                <w:highlight w:val="none"/>
              </w:rPr>
            </w:pPr>
          </w:p>
        </w:tc>
      </w:tr>
      <w:tr>
        <w:tblPrEx>
          <w:tblCellMar>
            <w:top w:w="0" w:type="dxa"/>
            <w:left w:w="108" w:type="dxa"/>
            <w:bottom w:w="0" w:type="dxa"/>
            <w:right w:w="108" w:type="dxa"/>
          </w:tblCellMar>
        </w:tblPrEx>
        <w:trPr>
          <w:trHeight w:val="49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13</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考官</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9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highlight w:val="none"/>
              </w:rPr>
            </w:pPr>
          </w:p>
        </w:tc>
      </w:tr>
      <w:tr>
        <w:tblPrEx>
          <w:tblCellMar>
            <w:top w:w="0" w:type="dxa"/>
            <w:left w:w="108" w:type="dxa"/>
            <w:bottom w:w="0" w:type="dxa"/>
            <w:right w:w="108" w:type="dxa"/>
          </w:tblCellMar>
        </w:tblPrEx>
        <w:trPr>
          <w:trHeight w:val="49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14</w:t>
            </w:r>
          </w:p>
        </w:tc>
        <w:tc>
          <w:tcPr>
            <w:tcW w:w="8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二面</w:t>
            </w: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题本</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94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color w:val="auto"/>
                <w:sz w:val="22"/>
                <w:highlight w:val="none"/>
              </w:rPr>
            </w:pPr>
            <w:r>
              <w:rPr>
                <w:rFonts w:hint="eastAsia" w:ascii="宋体" w:hAnsi="宋体" w:cs="宋体"/>
                <w:color w:val="auto"/>
                <w:sz w:val="22"/>
                <w:highlight w:val="none"/>
              </w:rPr>
              <w:t>采用半结构化形式，具体详见招聘主要步骤</w:t>
            </w:r>
          </w:p>
        </w:tc>
      </w:tr>
      <w:tr>
        <w:tblPrEx>
          <w:tblCellMar>
            <w:top w:w="0" w:type="dxa"/>
            <w:left w:w="108" w:type="dxa"/>
            <w:bottom w:w="0" w:type="dxa"/>
            <w:right w:w="108" w:type="dxa"/>
          </w:tblCellMar>
        </w:tblPrEx>
        <w:trPr>
          <w:trHeight w:val="49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15</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组织服务</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945" w:type="dxa"/>
            <w:vMerge w:val="continue"/>
            <w:tcBorders>
              <w:left w:val="single" w:color="000000" w:sz="4" w:space="0"/>
              <w:right w:val="single" w:color="000000" w:sz="4" w:space="0"/>
            </w:tcBorders>
            <w:shd w:val="clear" w:color="auto" w:fill="auto"/>
            <w:vAlign w:val="center"/>
          </w:tcPr>
          <w:p>
            <w:pPr>
              <w:jc w:val="center"/>
              <w:rPr>
                <w:rFonts w:ascii="宋体" w:hAnsi="宋体" w:cs="宋体"/>
                <w:color w:val="auto"/>
                <w:sz w:val="22"/>
                <w:highlight w:val="none"/>
              </w:rPr>
            </w:pPr>
          </w:p>
        </w:tc>
      </w:tr>
      <w:tr>
        <w:tblPrEx>
          <w:tblCellMar>
            <w:top w:w="0" w:type="dxa"/>
            <w:left w:w="108" w:type="dxa"/>
            <w:bottom w:w="0" w:type="dxa"/>
            <w:right w:w="108" w:type="dxa"/>
          </w:tblCellMar>
        </w:tblPrEx>
        <w:trPr>
          <w:trHeight w:val="49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16</w:t>
            </w:r>
          </w:p>
        </w:tc>
        <w:tc>
          <w:tcPr>
            <w:tcW w:w="8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考官</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9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highlight w:val="none"/>
              </w:rPr>
            </w:pPr>
          </w:p>
        </w:tc>
      </w:tr>
      <w:tr>
        <w:tblPrEx>
          <w:tblCellMar>
            <w:top w:w="0" w:type="dxa"/>
            <w:left w:w="108" w:type="dxa"/>
            <w:bottom w:w="0" w:type="dxa"/>
            <w:right w:w="108" w:type="dxa"/>
          </w:tblCellMar>
        </w:tblPrEx>
        <w:trPr>
          <w:trHeight w:val="49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17</w:t>
            </w:r>
          </w:p>
        </w:tc>
        <w:tc>
          <w:tcPr>
            <w:tcW w:w="30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背景调查</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945" w:type="dxa"/>
            <w:vMerge w:val="restart"/>
            <w:tcBorders>
              <w:top w:val="single" w:color="000000" w:sz="4" w:space="0"/>
              <w:left w:val="single" w:color="000000" w:sz="4" w:space="0"/>
              <w:right w:val="single" w:color="000000" w:sz="4" w:space="0"/>
            </w:tcBorders>
            <w:shd w:val="clear" w:color="auto" w:fill="auto"/>
            <w:vAlign w:val="center"/>
          </w:tcPr>
          <w:p>
            <w:pPr>
              <w:jc w:val="center"/>
              <w:rPr>
                <w:rFonts w:ascii="宋体" w:hAnsi="宋体" w:cs="宋体"/>
                <w:color w:val="auto"/>
                <w:sz w:val="22"/>
                <w:highlight w:val="none"/>
              </w:rPr>
            </w:pPr>
            <w:r>
              <w:rPr>
                <w:rFonts w:hint="eastAsia" w:ascii="宋体" w:hAnsi="宋体" w:cs="宋体"/>
                <w:color w:val="auto"/>
                <w:sz w:val="22"/>
                <w:highlight w:val="none"/>
              </w:rPr>
              <w:t>具体详见招聘主要步骤</w:t>
            </w:r>
          </w:p>
        </w:tc>
      </w:tr>
      <w:tr>
        <w:tblPrEx>
          <w:tblCellMar>
            <w:top w:w="0" w:type="dxa"/>
            <w:left w:w="108" w:type="dxa"/>
            <w:bottom w:w="0" w:type="dxa"/>
            <w:right w:w="108" w:type="dxa"/>
          </w:tblCellMar>
        </w:tblPrEx>
        <w:trPr>
          <w:trHeight w:val="495" w:hRule="atLeast"/>
        </w:trPr>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18</w:t>
            </w:r>
          </w:p>
        </w:tc>
        <w:tc>
          <w:tcPr>
            <w:tcW w:w="30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短信通知</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945"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highlight w:val="none"/>
              </w:rPr>
            </w:pPr>
          </w:p>
        </w:tc>
      </w:tr>
      <w:tr>
        <w:tblPrEx>
          <w:tblCellMar>
            <w:top w:w="0" w:type="dxa"/>
            <w:left w:w="108" w:type="dxa"/>
            <w:bottom w:w="0" w:type="dxa"/>
            <w:right w:w="108" w:type="dxa"/>
          </w:tblCellMar>
        </w:tblPrEx>
        <w:trPr>
          <w:trHeight w:val="495" w:hRule="atLeast"/>
        </w:trPr>
        <w:tc>
          <w:tcPr>
            <w:tcW w:w="383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 w:val="22"/>
                <w:highlight w:val="none"/>
              </w:rPr>
            </w:pPr>
            <w:r>
              <w:rPr>
                <w:rFonts w:hint="eastAsia" w:ascii="宋体" w:hAnsi="宋体" w:cs="宋体"/>
                <w:color w:val="auto"/>
                <w:kern w:val="0"/>
                <w:sz w:val="22"/>
                <w:highlight w:val="none"/>
                <w:lang w:bidi="ar"/>
              </w:rPr>
              <w:t>总计</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8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 w:val="22"/>
                <w:highlight w:val="none"/>
              </w:rPr>
            </w:pPr>
          </w:p>
        </w:tc>
        <w:tc>
          <w:tcPr>
            <w:tcW w:w="2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 w:val="22"/>
                <w:highlight w:val="none"/>
              </w:rPr>
            </w:pPr>
          </w:p>
        </w:tc>
      </w:tr>
    </w:tbl>
    <w:p>
      <w:pPr>
        <w:spacing w:line="360" w:lineRule="auto"/>
        <w:rPr>
          <w:rFonts w:ascii="宋体" w:hAnsi="宋体"/>
          <w:bCs/>
          <w:color w:val="auto"/>
          <w:sz w:val="24"/>
          <w:szCs w:val="28"/>
          <w:highlight w:val="none"/>
        </w:rPr>
      </w:pPr>
      <w:r>
        <w:rPr>
          <w:rFonts w:hint="eastAsia" w:ascii="宋体" w:hAnsi="宋体"/>
          <w:b/>
          <w:color w:val="auto"/>
          <w:sz w:val="24"/>
          <w:szCs w:val="20"/>
          <w:highlight w:val="none"/>
        </w:rPr>
        <w:t>投标人公章：</w:t>
      </w:r>
    </w:p>
    <w:p>
      <w:pPr>
        <w:adjustRightInd w:val="0"/>
        <w:snapToGrid w:val="0"/>
        <w:spacing w:line="360" w:lineRule="auto"/>
        <w:rPr>
          <w:rFonts w:ascii="宋体" w:hAnsi="宋体"/>
          <w:b/>
          <w:bCs/>
          <w:color w:val="auto"/>
          <w:sz w:val="24"/>
          <w:szCs w:val="28"/>
          <w:highlight w:val="none"/>
        </w:rPr>
      </w:pPr>
    </w:p>
    <w:p>
      <w:pPr>
        <w:spacing w:line="360" w:lineRule="auto"/>
        <w:rPr>
          <w:rFonts w:ascii="宋体" w:hAnsi="宋体" w:cs="宋体"/>
          <w:b/>
          <w:color w:val="auto"/>
          <w:sz w:val="24"/>
          <w:szCs w:val="24"/>
          <w:highlight w:val="none"/>
        </w:rPr>
      </w:pPr>
    </w:p>
    <w:p>
      <w:pPr>
        <w:spacing w:line="360" w:lineRule="auto"/>
        <w:rPr>
          <w:rFonts w:ascii="宋体" w:hAnsi="宋体" w:cs="宋体"/>
          <w:b/>
          <w:color w:val="auto"/>
          <w:sz w:val="24"/>
          <w:szCs w:val="24"/>
          <w:highlight w:val="none"/>
        </w:rPr>
      </w:pPr>
    </w:p>
    <w:p>
      <w:pPr>
        <w:spacing w:line="360" w:lineRule="auto"/>
        <w:rPr>
          <w:rFonts w:ascii="宋体" w:hAnsi="宋体" w:cs="宋体"/>
          <w:b/>
          <w:color w:val="auto"/>
          <w:sz w:val="24"/>
          <w:szCs w:val="24"/>
          <w:highlight w:val="none"/>
        </w:rPr>
      </w:pPr>
    </w:p>
    <w:p>
      <w:pPr>
        <w:spacing w:line="360" w:lineRule="auto"/>
        <w:rPr>
          <w:rFonts w:ascii="宋体" w:hAnsi="宋体" w:cs="宋体"/>
          <w:b/>
          <w:color w:val="auto"/>
          <w:sz w:val="24"/>
          <w:szCs w:val="24"/>
          <w:highlight w:val="none"/>
        </w:rPr>
      </w:pPr>
    </w:p>
    <w:p>
      <w:pPr>
        <w:spacing w:line="360" w:lineRule="auto"/>
        <w:rPr>
          <w:rFonts w:ascii="宋体" w:hAnsi="宋体" w:cs="宋体"/>
          <w:b/>
          <w:color w:val="auto"/>
          <w:sz w:val="24"/>
          <w:szCs w:val="24"/>
          <w:highlight w:val="none"/>
        </w:rPr>
      </w:pPr>
    </w:p>
    <w:p>
      <w:pPr>
        <w:rPr>
          <w:color w:val="auto"/>
          <w:highlight w:val="none"/>
        </w:rPr>
      </w:pPr>
    </w:p>
    <w:p>
      <w:pPr>
        <w:pStyle w:val="4"/>
        <w:rPr>
          <w:rFonts w:hAnsi="宋体"/>
          <w:color w:val="auto"/>
          <w:sz w:val="28"/>
          <w:highlight w:val="none"/>
        </w:rPr>
      </w:pPr>
      <w:bookmarkStart w:id="122" w:name="_Hlt509739007"/>
      <w:bookmarkEnd w:id="122"/>
      <w:bookmarkStart w:id="123" w:name="_Toc27748"/>
      <w:bookmarkStart w:id="124" w:name="_Toc471736411"/>
      <w:bookmarkStart w:id="125" w:name="_Toc461103234"/>
      <w:bookmarkStart w:id="126" w:name="_Toc197934563"/>
      <w:r>
        <w:rPr>
          <w:rFonts w:hint="eastAsia" w:hAnsi="宋体"/>
          <w:color w:val="auto"/>
          <w:sz w:val="28"/>
          <w:highlight w:val="none"/>
        </w:rPr>
        <w:t>五．投标人信用承诺</w:t>
      </w:r>
      <w:bookmarkEnd w:id="123"/>
      <w:bookmarkEnd w:id="124"/>
      <w:bookmarkEnd w:id="125"/>
    </w:p>
    <w:p>
      <w:pPr>
        <w:spacing w:line="360" w:lineRule="auto"/>
        <w:ind w:firstLine="630"/>
        <w:rPr>
          <w:rFonts w:ascii="宋体" w:hAnsi="宋体"/>
          <w:color w:val="auto"/>
          <w:sz w:val="24"/>
          <w:highlight w:val="none"/>
        </w:rPr>
      </w:pPr>
      <w:r>
        <w:rPr>
          <w:rFonts w:hint="eastAsia" w:ascii="宋体" w:hAnsi="宋体"/>
          <w:color w:val="auto"/>
          <w:sz w:val="24"/>
          <w:highlight w:val="none"/>
        </w:rPr>
        <w:t>我公司申明，我公司无以下不良信用记录情形：</w:t>
      </w:r>
    </w:p>
    <w:p>
      <w:pPr>
        <w:spacing w:line="360" w:lineRule="auto"/>
        <w:ind w:firstLine="630"/>
        <w:rPr>
          <w:rFonts w:ascii="宋体" w:hAnsi="宋体"/>
          <w:color w:val="auto"/>
          <w:sz w:val="24"/>
          <w:highlight w:val="none"/>
        </w:rPr>
      </w:pPr>
      <w:r>
        <w:rPr>
          <w:rFonts w:hint="eastAsia" w:ascii="宋体" w:hAnsi="宋体"/>
          <w:color w:val="auto"/>
          <w:sz w:val="24"/>
          <w:highlight w:val="none"/>
        </w:rPr>
        <w:t>1.公司被人民法院列入失信被执行人；</w:t>
      </w:r>
    </w:p>
    <w:p>
      <w:pPr>
        <w:spacing w:line="360" w:lineRule="auto"/>
        <w:ind w:firstLine="630"/>
        <w:rPr>
          <w:rFonts w:ascii="宋体" w:hAnsi="宋体"/>
          <w:color w:val="auto"/>
          <w:sz w:val="24"/>
          <w:highlight w:val="none"/>
        </w:rPr>
      </w:pPr>
      <w:r>
        <w:rPr>
          <w:rFonts w:hint="eastAsia" w:ascii="宋体" w:hAnsi="宋体"/>
          <w:color w:val="auto"/>
          <w:sz w:val="24"/>
          <w:highlight w:val="none"/>
        </w:rPr>
        <w:t>2.公司、公司法定代表人被人民检察院列入行贿犯罪档案；</w:t>
      </w:r>
    </w:p>
    <w:p>
      <w:pPr>
        <w:spacing w:line="360" w:lineRule="auto"/>
        <w:ind w:firstLine="630"/>
        <w:rPr>
          <w:rFonts w:ascii="宋体" w:hAnsi="宋体"/>
          <w:color w:val="auto"/>
          <w:sz w:val="24"/>
          <w:highlight w:val="none"/>
        </w:rPr>
      </w:pPr>
      <w:r>
        <w:rPr>
          <w:rFonts w:hint="eastAsia" w:ascii="宋体" w:hAnsi="宋体"/>
          <w:color w:val="auto"/>
          <w:sz w:val="24"/>
          <w:highlight w:val="none"/>
        </w:rPr>
        <w:t>3.公司被工商行政管理部门列入企业经营异常名录；</w:t>
      </w:r>
    </w:p>
    <w:p>
      <w:pPr>
        <w:spacing w:line="360" w:lineRule="auto"/>
        <w:ind w:firstLine="630"/>
        <w:rPr>
          <w:rFonts w:ascii="宋体" w:hAnsi="宋体"/>
          <w:color w:val="auto"/>
          <w:sz w:val="24"/>
          <w:highlight w:val="none"/>
        </w:rPr>
      </w:pPr>
      <w:r>
        <w:rPr>
          <w:rFonts w:hint="eastAsia" w:ascii="宋体" w:hAnsi="宋体"/>
          <w:color w:val="auto"/>
          <w:sz w:val="24"/>
          <w:highlight w:val="none"/>
        </w:rPr>
        <w:t>4.公司被税务部门列入重大税收违法案件当事人名单的；</w:t>
      </w:r>
    </w:p>
    <w:p>
      <w:pPr>
        <w:spacing w:line="360" w:lineRule="auto"/>
        <w:ind w:firstLine="630"/>
        <w:rPr>
          <w:rFonts w:ascii="宋体" w:hAnsi="宋体"/>
          <w:color w:val="auto"/>
          <w:sz w:val="24"/>
          <w:highlight w:val="none"/>
        </w:rPr>
      </w:pPr>
      <w:r>
        <w:rPr>
          <w:rFonts w:hint="eastAsia" w:ascii="宋体" w:hAnsi="宋体"/>
          <w:color w:val="auto"/>
          <w:sz w:val="24"/>
          <w:highlight w:val="none"/>
        </w:rPr>
        <w:t>5.</w:t>
      </w:r>
      <w:r>
        <w:rPr>
          <w:rFonts w:hint="eastAsia" w:ascii="宋体" w:hAnsi="宋体"/>
          <w:color w:val="auto"/>
          <w:sz w:val="24"/>
          <w:szCs w:val="24"/>
          <w:highlight w:val="none"/>
        </w:rPr>
        <w:t xml:space="preserve"> 参加本次投标活动前三年内，在服务活动中没有重大违法及安全事故记录</w:t>
      </w:r>
      <w:r>
        <w:rPr>
          <w:rFonts w:hint="eastAsia" w:ascii="宋体" w:hAnsi="宋体"/>
          <w:color w:val="auto"/>
          <w:sz w:val="24"/>
          <w:highlight w:val="none"/>
        </w:rPr>
        <w:t>。</w:t>
      </w:r>
    </w:p>
    <w:p>
      <w:pPr>
        <w:spacing w:line="360" w:lineRule="auto"/>
        <w:ind w:firstLine="630"/>
        <w:rPr>
          <w:rFonts w:ascii="宋体" w:hAnsi="宋体"/>
          <w:color w:val="auto"/>
          <w:sz w:val="24"/>
          <w:highlight w:val="none"/>
        </w:rPr>
      </w:pPr>
      <w:r>
        <w:rPr>
          <w:rFonts w:hint="eastAsia" w:ascii="宋体" w:hAnsi="宋体"/>
          <w:color w:val="auto"/>
          <w:sz w:val="24"/>
          <w:highlight w:val="none"/>
        </w:rPr>
        <w:t xml:space="preserve">我公司已就上述不良信用行为按照招标文件规定进行了查询。我公司承诺：合同签订前，若我公司具有不良信用记录情形，贵方可取消我公司中标资格或者不授予合同，所有责任由我公司自行承担。同时，我公司愿意无条件接受监管部门的调查处理。 </w:t>
      </w:r>
    </w:p>
    <w:p>
      <w:pPr>
        <w:spacing w:line="360" w:lineRule="auto"/>
        <w:ind w:firstLine="630"/>
        <w:rPr>
          <w:rFonts w:ascii="宋体" w:hAnsi="宋体"/>
          <w:b/>
          <w:color w:val="auto"/>
          <w:sz w:val="24"/>
          <w:highlight w:val="none"/>
        </w:rPr>
      </w:pPr>
    </w:p>
    <w:p>
      <w:pPr>
        <w:spacing w:line="360" w:lineRule="auto"/>
        <w:ind w:firstLine="630"/>
        <w:rPr>
          <w:rFonts w:ascii="宋体" w:hAnsi="宋体"/>
          <w:b/>
          <w:color w:val="auto"/>
          <w:sz w:val="24"/>
          <w:highlight w:val="none"/>
        </w:rPr>
      </w:pPr>
      <w:r>
        <w:rPr>
          <w:rFonts w:hint="eastAsia" w:ascii="宋体" w:hAnsi="宋体"/>
          <w:b/>
          <w:color w:val="auto"/>
          <w:sz w:val="24"/>
          <w:highlight w:val="none"/>
        </w:rPr>
        <w:t>投标人（公章）：</w:t>
      </w:r>
    </w:p>
    <w:p>
      <w:pPr>
        <w:spacing w:line="360" w:lineRule="auto"/>
        <w:ind w:firstLine="630"/>
        <w:rPr>
          <w:rFonts w:ascii="宋体" w:hAnsi="宋体"/>
          <w:b/>
          <w:color w:val="auto"/>
          <w:sz w:val="24"/>
          <w:highlight w:val="none"/>
        </w:rPr>
      </w:pPr>
    </w:p>
    <w:p>
      <w:pPr>
        <w:spacing w:line="360" w:lineRule="auto"/>
        <w:ind w:firstLine="630"/>
        <w:rPr>
          <w:rFonts w:ascii="宋体" w:hAnsi="宋体"/>
          <w:b/>
          <w:color w:val="auto"/>
          <w:sz w:val="24"/>
          <w:highlight w:val="none"/>
        </w:rPr>
      </w:pPr>
    </w:p>
    <w:p>
      <w:pPr>
        <w:spacing w:line="360" w:lineRule="auto"/>
        <w:ind w:firstLine="630"/>
        <w:rPr>
          <w:rFonts w:ascii="宋体" w:hAnsi="宋体"/>
          <w:b/>
          <w:color w:val="auto"/>
          <w:sz w:val="24"/>
          <w:highlight w:val="none"/>
        </w:rPr>
      </w:pPr>
    </w:p>
    <w:p>
      <w:pPr>
        <w:spacing w:line="360" w:lineRule="auto"/>
        <w:ind w:firstLine="630"/>
        <w:rPr>
          <w:rFonts w:ascii="宋体" w:hAnsi="宋体"/>
          <w:b/>
          <w:color w:val="auto"/>
          <w:sz w:val="24"/>
          <w:highlight w:val="none"/>
        </w:rPr>
      </w:pPr>
    </w:p>
    <w:p>
      <w:pPr>
        <w:spacing w:line="360" w:lineRule="auto"/>
        <w:ind w:firstLine="630"/>
        <w:rPr>
          <w:rFonts w:ascii="宋体" w:hAnsi="宋体"/>
          <w:b/>
          <w:color w:val="auto"/>
          <w:sz w:val="24"/>
          <w:highlight w:val="none"/>
        </w:rPr>
      </w:pPr>
    </w:p>
    <w:p>
      <w:pPr>
        <w:spacing w:line="360" w:lineRule="auto"/>
        <w:ind w:firstLine="630"/>
        <w:rPr>
          <w:rFonts w:ascii="宋体" w:hAnsi="宋体"/>
          <w:b/>
          <w:color w:val="auto"/>
          <w:sz w:val="24"/>
          <w:highlight w:val="none"/>
        </w:rPr>
      </w:pPr>
    </w:p>
    <w:p>
      <w:pPr>
        <w:spacing w:line="360" w:lineRule="auto"/>
        <w:ind w:firstLine="630"/>
        <w:rPr>
          <w:rFonts w:ascii="宋体" w:hAnsi="宋体"/>
          <w:b/>
          <w:color w:val="auto"/>
          <w:sz w:val="24"/>
          <w:highlight w:val="none"/>
        </w:rPr>
      </w:pPr>
    </w:p>
    <w:p>
      <w:pPr>
        <w:spacing w:line="360" w:lineRule="auto"/>
        <w:ind w:firstLine="630"/>
        <w:rPr>
          <w:rFonts w:ascii="宋体" w:hAnsi="宋体"/>
          <w:b/>
          <w:color w:val="auto"/>
          <w:sz w:val="24"/>
          <w:highlight w:val="none"/>
        </w:rPr>
      </w:pPr>
    </w:p>
    <w:p>
      <w:pPr>
        <w:spacing w:line="360" w:lineRule="auto"/>
        <w:ind w:firstLine="630"/>
        <w:rPr>
          <w:rFonts w:ascii="宋体" w:hAnsi="宋体"/>
          <w:b/>
          <w:color w:val="auto"/>
          <w:sz w:val="24"/>
          <w:highlight w:val="none"/>
        </w:rPr>
      </w:pPr>
    </w:p>
    <w:p>
      <w:pPr>
        <w:spacing w:line="360" w:lineRule="auto"/>
        <w:ind w:firstLine="630"/>
        <w:rPr>
          <w:rFonts w:ascii="宋体" w:hAnsi="宋体"/>
          <w:b/>
          <w:color w:val="auto"/>
          <w:sz w:val="24"/>
          <w:highlight w:val="none"/>
        </w:rPr>
      </w:pPr>
    </w:p>
    <w:p>
      <w:pPr>
        <w:spacing w:line="360" w:lineRule="auto"/>
        <w:ind w:firstLine="630"/>
        <w:rPr>
          <w:rFonts w:ascii="宋体" w:hAnsi="宋体"/>
          <w:b/>
          <w:color w:val="auto"/>
          <w:sz w:val="24"/>
          <w:highlight w:val="none"/>
        </w:rPr>
      </w:pPr>
    </w:p>
    <w:p>
      <w:pPr>
        <w:spacing w:line="360" w:lineRule="auto"/>
        <w:ind w:firstLine="630"/>
        <w:rPr>
          <w:rFonts w:ascii="宋体" w:hAnsi="宋体"/>
          <w:b/>
          <w:color w:val="auto"/>
          <w:sz w:val="24"/>
          <w:highlight w:val="none"/>
        </w:rPr>
      </w:pPr>
    </w:p>
    <w:p>
      <w:pPr>
        <w:spacing w:line="360" w:lineRule="auto"/>
        <w:ind w:firstLine="630"/>
        <w:rPr>
          <w:rFonts w:ascii="宋体" w:hAnsi="宋体"/>
          <w:b/>
          <w:color w:val="auto"/>
          <w:sz w:val="24"/>
          <w:highlight w:val="none"/>
        </w:rPr>
      </w:pPr>
    </w:p>
    <w:p>
      <w:pPr>
        <w:spacing w:line="360" w:lineRule="auto"/>
        <w:ind w:firstLine="630"/>
        <w:rPr>
          <w:rFonts w:ascii="宋体" w:hAnsi="宋体"/>
          <w:b/>
          <w:color w:val="auto"/>
          <w:sz w:val="24"/>
          <w:highlight w:val="none"/>
        </w:rPr>
      </w:pPr>
    </w:p>
    <w:bookmarkEnd w:id="126"/>
    <w:p>
      <w:pPr>
        <w:pStyle w:val="4"/>
        <w:rPr>
          <w:rFonts w:hAnsi="宋体"/>
          <w:color w:val="auto"/>
          <w:sz w:val="28"/>
          <w:highlight w:val="none"/>
        </w:rPr>
      </w:pPr>
      <w:bookmarkStart w:id="127" w:name="_Hlt509738950"/>
      <w:bookmarkEnd w:id="127"/>
      <w:bookmarkStart w:id="128" w:name="_Toc496587831"/>
      <w:bookmarkStart w:id="129" w:name="_Toc25914"/>
      <w:r>
        <w:rPr>
          <w:rFonts w:hint="eastAsia" w:hAnsi="宋体"/>
          <w:color w:val="auto"/>
          <w:sz w:val="28"/>
          <w:highlight w:val="none"/>
        </w:rPr>
        <w:t>六.</w:t>
      </w:r>
      <w:bookmarkEnd w:id="128"/>
      <w:r>
        <w:rPr>
          <w:rFonts w:hint="eastAsia" w:hAnsi="宋体"/>
          <w:color w:val="auto"/>
          <w:sz w:val="28"/>
          <w:highlight w:val="none"/>
        </w:rPr>
        <w:t xml:space="preserve"> 投标业绩</w:t>
      </w:r>
      <w:bookmarkEnd w:id="129"/>
    </w:p>
    <w:p>
      <w:pPr>
        <w:jc w:val="center"/>
        <w:rPr>
          <w:b/>
          <w:color w:val="auto"/>
          <w:sz w:val="28"/>
          <w:szCs w:val="28"/>
          <w:highlight w:val="none"/>
        </w:rPr>
      </w:pPr>
      <w:r>
        <w:rPr>
          <w:rFonts w:hint="eastAsia"/>
          <w:b/>
          <w:color w:val="auto"/>
          <w:sz w:val="28"/>
          <w:szCs w:val="28"/>
          <w:highlight w:val="none"/>
        </w:rPr>
        <w:t>（一）业绩表</w:t>
      </w:r>
    </w:p>
    <w:p>
      <w:pPr>
        <w:jc w:val="center"/>
        <w:rPr>
          <w:color w:val="auto"/>
          <w:sz w:val="24"/>
          <w:szCs w:val="24"/>
          <w:highlight w:val="none"/>
        </w:rPr>
      </w:pPr>
      <w:r>
        <w:rPr>
          <w:rFonts w:hint="eastAsia"/>
          <w:color w:val="auto"/>
          <w:sz w:val="24"/>
          <w:szCs w:val="24"/>
          <w:highlight w:val="none"/>
        </w:rPr>
        <w:t>（格式仅供参考）</w:t>
      </w:r>
    </w:p>
    <w:tbl>
      <w:tblPr>
        <w:tblStyle w:val="51"/>
        <w:tblW w:w="0" w:type="auto"/>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559"/>
        <w:gridCol w:w="170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项目名称</w:t>
            </w:r>
          </w:p>
        </w:tc>
        <w:tc>
          <w:tcPr>
            <w:tcW w:w="2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auto"/>
                <w:sz w:val="24"/>
                <w:szCs w:val="24"/>
                <w:highlight w:val="none"/>
              </w:rPr>
            </w:pPr>
            <w:r>
              <w:rPr>
                <w:rFonts w:hint="eastAsia" w:ascii="宋体" w:hAnsi="宋体"/>
                <w:color w:val="auto"/>
                <w:sz w:val="24"/>
                <w:szCs w:val="24"/>
                <w:highlight w:val="none"/>
              </w:rPr>
              <w:t>服务内容</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合同总金额</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业主单位</w:t>
            </w:r>
          </w:p>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及联系电话</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20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初审业绩（资格门槛业绩）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szCs w:val="24"/>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评审业绩（打分业绩）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1</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szCs w:val="24"/>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highlight w:val="none"/>
              </w:rPr>
            </w:pPr>
            <w:r>
              <w:rPr>
                <w:rFonts w:hint="eastAsia" w:ascii="宋体" w:hAnsi="宋体"/>
                <w:color w:val="auto"/>
                <w:sz w:val="24"/>
                <w:szCs w:val="24"/>
                <w:highlight w:val="none"/>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szCs w:val="24"/>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szCs w:val="24"/>
                <w:highlight w:val="none"/>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szCs w:val="24"/>
                <w:highlight w:val="none"/>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sz w:val="24"/>
                <w:szCs w:val="24"/>
                <w:highlight w:val="none"/>
              </w:rPr>
            </w:pPr>
          </w:p>
        </w:tc>
      </w:tr>
    </w:tbl>
    <w:p>
      <w:pPr>
        <w:spacing w:before="48" w:beforeLines="20" w:after="48" w:afterLines="20" w:line="360" w:lineRule="auto"/>
        <w:rPr>
          <w:rFonts w:ascii="宋体" w:hAnsi="宋体"/>
          <w:color w:val="auto"/>
          <w:sz w:val="28"/>
          <w:highlight w:val="none"/>
        </w:rPr>
      </w:pPr>
    </w:p>
    <w:p>
      <w:pPr>
        <w:spacing w:before="48" w:beforeLines="20" w:after="48" w:afterLines="20" w:line="360" w:lineRule="auto"/>
        <w:jc w:val="center"/>
        <w:rPr>
          <w:rFonts w:ascii="宋体" w:hAnsi="宋体"/>
          <w:b/>
          <w:color w:val="auto"/>
          <w:sz w:val="28"/>
          <w:highlight w:val="none"/>
        </w:rPr>
      </w:pPr>
      <w:r>
        <w:rPr>
          <w:rFonts w:hint="eastAsia" w:ascii="宋体" w:hAnsi="宋体"/>
          <w:b/>
          <w:color w:val="auto"/>
          <w:sz w:val="28"/>
          <w:highlight w:val="none"/>
        </w:rPr>
        <w:t>（二）业绩证明材料</w:t>
      </w:r>
    </w:p>
    <w:p>
      <w:pPr>
        <w:spacing w:before="48" w:beforeLines="20" w:after="48" w:afterLines="20" w:line="360" w:lineRule="auto"/>
        <w:jc w:val="center"/>
        <w:rPr>
          <w:rFonts w:ascii="宋体" w:hAnsi="宋体"/>
          <w:color w:val="auto"/>
          <w:sz w:val="24"/>
          <w:szCs w:val="24"/>
          <w:highlight w:val="none"/>
        </w:rPr>
      </w:pPr>
      <w:r>
        <w:rPr>
          <w:rFonts w:hint="eastAsia" w:ascii="宋体" w:hAnsi="宋体"/>
          <w:color w:val="auto"/>
          <w:sz w:val="24"/>
          <w:szCs w:val="24"/>
          <w:highlight w:val="none"/>
        </w:rPr>
        <w:t>（建议与上述“（一）业绩表”填写的业绩一一对应提供）</w:t>
      </w:r>
    </w:p>
    <w:p>
      <w:pPr>
        <w:spacing w:before="48" w:beforeLines="20" w:after="48" w:afterLines="20" w:line="360" w:lineRule="auto"/>
        <w:jc w:val="center"/>
        <w:rPr>
          <w:rFonts w:ascii="宋体" w:hAnsi="宋体"/>
          <w:color w:val="auto"/>
          <w:sz w:val="24"/>
          <w:szCs w:val="24"/>
          <w:highlight w:val="none"/>
        </w:rPr>
      </w:pPr>
    </w:p>
    <w:p>
      <w:pPr>
        <w:spacing w:before="48" w:beforeLines="20" w:after="48" w:afterLines="20" w:line="360" w:lineRule="auto"/>
        <w:jc w:val="center"/>
        <w:rPr>
          <w:rFonts w:ascii="宋体" w:hAnsi="宋体"/>
          <w:color w:val="auto"/>
          <w:sz w:val="24"/>
          <w:szCs w:val="24"/>
          <w:highlight w:val="none"/>
        </w:rPr>
      </w:pPr>
    </w:p>
    <w:p>
      <w:pPr>
        <w:spacing w:before="48" w:beforeLines="20" w:after="48" w:afterLines="20" w:line="360" w:lineRule="auto"/>
        <w:jc w:val="center"/>
        <w:rPr>
          <w:rFonts w:ascii="宋体" w:hAnsi="宋体"/>
          <w:color w:val="auto"/>
          <w:sz w:val="24"/>
          <w:szCs w:val="24"/>
          <w:highlight w:val="none"/>
        </w:rPr>
      </w:pPr>
    </w:p>
    <w:p>
      <w:pPr>
        <w:spacing w:before="48" w:beforeLines="20" w:after="48" w:afterLines="20" w:line="360" w:lineRule="auto"/>
        <w:jc w:val="center"/>
        <w:rPr>
          <w:rFonts w:ascii="宋体" w:hAnsi="宋体"/>
          <w:color w:val="auto"/>
          <w:sz w:val="24"/>
          <w:szCs w:val="24"/>
          <w:highlight w:val="none"/>
        </w:rPr>
      </w:pPr>
    </w:p>
    <w:p>
      <w:pPr>
        <w:spacing w:before="48" w:beforeLines="20" w:after="48" w:afterLines="20" w:line="360" w:lineRule="auto"/>
        <w:jc w:val="center"/>
        <w:rPr>
          <w:rFonts w:ascii="宋体" w:hAnsi="宋体"/>
          <w:color w:val="auto"/>
          <w:sz w:val="24"/>
          <w:szCs w:val="24"/>
          <w:highlight w:val="none"/>
        </w:rPr>
      </w:pPr>
    </w:p>
    <w:p>
      <w:pPr>
        <w:spacing w:before="48" w:beforeLines="20" w:after="48" w:afterLines="20" w:line="360" w:lineRule="auto"/>
        <w:jc w:val="center"/>
        <w:rPr>
          <w:rFonts w:ascii="宋体" w:hAnsi="宋体"/>
          <w:color w:val="auto"/>
          <w:sz w:val="24"/>
          <w:szCs w:val="24"/>
          <w:highlight w:val="none"/>
        </w:rPr>
      </w:pPr>
    </w:p>
    <w:p>
      <w:pPr>
        <w:spacing w:before="48" w:beforeLines="20" w:after="48" w:afterLines="20" w:line="360" w:lineRule="auto"/>
        <w:jc w:val="center"/>
        <w:rPr>
          <w:rFonts w:ascii="宋体" w:hAnsi="宋体"/>
          <w:color w:val="auto"/>
          <w:sz w:val="24"/>
          <w:szCs w:val="24"/>
          <w:highlight w:val="none"/>
        </w:rPr>
      </w:pPr>
    </w:p>
    <w:p>
      <w:pPr>
        <w:spacing w:before="48" w:beforeLines="20" w:after="48" w:afterLines="20" w:line="360" w:lineRule="auto"/>
        <w:jc w:val="center"/>
        <w:rPr>
          <w:rFonts w:ascii="宋体" w:hAnsi="宋体"/>
          <w:color w:val="auto"/>
          <w:sz w:val="24"/>
          <w:szCs w:val="24"/>
          <w:highlight w:val="none"/>
        </w:rPr>
      </w:pPr>
    </w:p>
    <w:p>
      <w:pPr>
        <w:spacing w:before="48" w:beforeLines="20" w:after="48" w:afterLines="20" w:line="360" w:lineRule="auto"/>
        <w:jc w:val="center"/>
        <w:rPr>
          <w:rFonts w:ascii="宋体" w:hAnsi="宋体"/>
          <w:color w:val="auto"/>
          <w:sz w:val="24"/>
          <w:szCs w:val="24"/>
          <w:highlight w:val="none"/>
        </w:rPr>
      </w:pPr>
    </w:p>
    <w:p>
      <w:pPr>
        <w:spacing w:before="48" w:beforeLines="20" w:after="48" w:afterLines="20" w:line="360" w:lineRule="auto"/>
        <w:jc w:val="center"/>
        <w:rPr>
          <w:rFonts w:ascii="宋体" w:hAnsi="宋体"/>
          <w:color w:val="auto"/>
          <w:sz w:val="24"/>
          <w:szCs w:val="24"/>
          <w:highlight w:val="none"/>
        </w:rPr>
      </w:pPr>
    </w:p>
    <w:p>
      <w:pPr>
        <w:spacing w:before="48" w:beforeLines="20" w:after="48" w:afterLines="20" w:line="360" w:lineRule="auto"/>
        <w:jc w:val="center"/>
        <w:rPr>
          <w:rFonts w:ascii="宋体" w:hAnsi="宋体"/>
          <w:color w:val="auto"/>
          <w:sz w:val="24"/>
          <w:szCs w:val="24"/>
          <w:highlight w:val="none"/>
        </w:rPr>
      </w:pPr>
    </w:p>
    <w:p>
      <w:pPr>
        <w:pStyle w:val="4"/>
        <w:rPr>
          <w:rFonts w:hAnsi="宋体"/>
          <w:color w:val="auto"/>
          <w:sz w:val="28"/>
          <w:szCs w:val="36"/>
          <w:highlight w:val="none"/>
        </w:rPr>
      </w:pPr>
      <w:bookmarkStart w:id="130" w:name="_Toc496587832"/>
      <w:bookmarkStart w:id="131" w:name="_Toc13365"/>
      <w:bookmarkStart w:id="132" w:name="_Toc471675527"/>
      <w:r>
        <w:rPr>
          <w:rFonts w:hint="eastAsia" w:hAnsi="宋体"/>
          <w:color w:val="auto"/>
          <w:sz w:val="28"/>
          <w:highlight w:val="none"/>
        </w:rPr>
        <w:t>七．拟投入本项目的人员情况</w:t>
      </w:r>
      <w:bookmarkEnd w:id="130"/>
      <w:bookmarkEnd w:id="131"/>
      <w:bookmarkEnd w:id="132"/>
    </w:p>
    <w:p>
      <w:pPr>
        <w:tabs>
          <w:tab w:val="left" w:pos="4620"/>
        </w:tabs>
        <w:spacing w:line="360" w:lineRule="auto"/>
        <w:ind w:firstLine="480" w:firstLineChars="200"/>
        <w:rPr>
          <w:rFonts w:ascii="宋体" w:hAnsi="宋体"/>
          <w:color w:val="auto"/>
          <w:sz w:val="24"/>
          <w:highlight w:val="none"/>
        </w:rPr>
      </w:pPr>
      <w:r>
        <w:rPr>
          <w:rFonts w:hint="eastAsia" w:ascii="宋体" w:hAnsi="宋体"/>
          <w:bCs/>
          <w:color w:val="auto"/>
          <w:sz w:val="24"/>
          <w:szCs w:val="24"/>
          <w:highlight w:val="none"/>
        </w:rPr>
        <w:t>投标人可自行制作格式</w:t>
      </w:r>
      <w:r>
        <w:rPr>
          <w:rFonts w:hint="eastAsia" w:ascii="宋体" w:hAnsi="宋体"/>
          <w:color w:val="auto"/>
          <w:sz w:val="24"/>
          <w:highlight w:val="none"/>
        </w:rPr>
        <w:t>，应能体现出所有招标文件要求的内容，并附相关证明材料（扫描件）。</w:t>
      </w:r>
    </w:p>
    <w:p>
      <w:pPr>
        <w:pStyle w:val="4"/>
        <w:rPr>
          <w:rFonts w:hAnsi="宋体"/>
          <w:color w:val="auto"/>
          <w:sz w:val="28"/>
          <w:szCs w:val="36"/>
          <w:highlight w:val="none"/>
        </w:rPr>
      </w:pPr>
      <w:bookmarkStart w:id="133" w:name="_Toc471675528"/>
      <w:bookmarkStart w:id="134" w:name="_Toc496587833"/>
      <w:bookmarkStart w:id="135" w:name="_Toc13500"/>
      <w:r>
        <w:rPr>
          <w:rFonts w:hint="eastAsia" w:hAnsi="宋体"/>
          <w:color w:val="auto"/>
          <w:sz w:val="28"/>
          <w:highlight w:val="none"/>
        </w:rPr>
        <w:t>八．服务方案</w:t>
      </w:r>
      <w:bookmarkEnd w:id="133"/>
      <w:bookmarkEnd w:id="134"/>
      <w:bookmarkEnd w:id="135"/>
    </w:p>
    <w:p>
      <w:pPr>
        <w:spacing w:before="48" w:beforeLines="20" w:after="48" w:afterLines="20" w:line="360" w:lineRule="auto"/>
        <w:jc w:val="center"/>
        <w:rPr>
          <w:rFonts w:ascii="宋体" w:hAnsi="宋体"/>
          <w:color w:val="auto"/>
          <w:sz w:val="28"/>
          <w:highlight w:val="none"/>
        </w:rPr>
      </w:pPr>
      <w:r>
        <w:rPr>
          <w:rFonts w:hint="eastAsia" w:ascii="宋体" w:hAnsi="宋体"/>
          <w:bCs/>
          <w:color w:val="auto"/>
          <w:sz w:val="24"/>
          <w:szCs w:val="24"/>
          <w:highlight w:val="none"/>
        </w:rPr>
        <w:t>（投标人可自行制作格式）</w:t>
      </w:r>
    </w:p>
    <w:p>
      <w:pPr>
        <w:pStyle w:val="4"/>
        <w:rPr>
          <w:rFonts w:hAnsi="宋体"/>
          <w:color w:val="auto"/>
          <w:sz w:val="28"/>
          <w:szCs w:val="36"/>
          <w:highlight w:val="none"/>
        </w:rPr>
      </w:pPr>
      <w:bookmarkStart w:id="136" w:name="_Toc23794"/>
      <w:bookmarkStart w:id="137" w:name="_Toc496587834"/>
      <w:r>
        <w:rPr>
          <w:rFonts w:hint="eastAsia" w:hAnsi="宋体"/>
          <w:color w:val="auto"/>
          <w:sz w:val="28"/>
          <w:highlight w:val="none"/>
        </w:rPr>
        <w:t>九．有关证明文件</w:t>
      </w:r>
      <w:bookmarkEnd w:id="136"/>
      <w:bookmarkEnd w:id="137"/>
    </w:p>
    <w:p>
      <w:pPr>
        <w:tabs>
          <w:tab w:val="left" w:pos="462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提供符合投标邀请（招标公告）、招标需求及评标办法规定的相关证明文件（制作成扫描件）。</w:t>
      </w:r>
    </w:p>
    <w:p>
      <w:pPr>
        <w:pStyle w:val="25"/>
        <w:snapToGrid w:val="0"/>
        <w:spacing w:before="120" w:after="120" w:line="360" w:lineRule="auto"/>
        <w:ind w:firstLine="480"/>
        <w:jc w:val="left"/>
        <w:rPr>
          <w:rFonts w:hAnsi="宋体"/>
          <w:color w:val="auto"/>
          <w:sz w:val="24"/>
          <w:highlight w:val="none"/>
        </w:rPr>
      </w:pPr>
      <w:r>
        <w:rPr>
          <w:rFonts w:hint="eastAsia" w:hAnsi="宋体"/>
          <w:color w:val="auto"/>
          <w:sz w:val="24"/>
          <w:highlight w:val="none"/>
        </w:rPr>
        <w:t>特别提示：</w:t>
      </w:r>
    </w:p>
    <w:p>
      <w:pPr>
        <w:pStyle w:val="25"/>
        <w:snapToGrid w:val="0"/>
        <w:spacing w:line="360" w:lineRule="auto"/>
        <w:ind w:firstLine="482"/>
        <w:jc w:val="left"/>
        <w:rPr>
          <w:rFonts w:hAnsi="宋体"/>
          <w:color w:val="auto"/>
          <w:sz w:val="24"/>
          <w:highlight w:val="none"/>
        </w:rPr>
      </w:pPr>
      <w:r>
        <w:rPr>
          <w:rFonts w:hint="eastAsia" w:hAnsi="宋体"/>
          <w:color w:val="auto"/>
          <w:sz w:val="24"/>
          <w:highlight w:val="none"/>
        </w:rPr>
        <w:t>投标人在投标文件制作时，在此栏内上传下列材料（包括但不限于）：</w:t>
      </w:r>
    </w:p>
    <w:p>
      <w:pPr>
        <w:tabs>
          <w:tab w:val="left" w:pos="4620"/>
        </w:tabs>
        <w:spacing w:line="360" w:lineRule="auto"/>
        <w:ind w:firstLine="482" w:firstLineChars="200"/>
        <w:rPr>
          <w:rFonts w:ascii="宋体" w:hAnsi="宋体"/>
          <w:color w:val="auto"/>
          <w:sz w:val="24"/>
          <w:highlight w:val="none"/>
        </w:rPr>
      </w:pPr>
      <w:r>
        <w:rPr>
          <w:rFonts w:hint="eastAsia" w:ascii="宋体" w:hAnsi="宋体"/>
          <w:b/>
          <w:color w:val="auto"/>
          <w:sz w:val="24"/>
          <w:highlight w:val="none"/>
        </w:rPr>
        <w:t>招标文件要求的其他证明资料</w:t>
      </w:r>
      <w:r>
        <w:rPr>
          <w:rFonts w:hint="eastAsia" w:ascii="宋体" w:hAnsi="宋体" w:cs="Cambria"/>
          <w:b/>
          <w:color w:val="auto"/>
          <w:sz w:val="24"/>
          <w:highlight w:val="none"/>
        </w:rPr>
        <w:t>（根据项目要求编辑）</w:t>
      </w:r>
      <w:r>
        <w:rPr>
          <w:rFonts w:hint="eastAsia" w:ascii="宋体" w:hAnsi="宋体"/>
          <w:b/>
          <w:color w:val="auto"/>
          <w:sz w:val="24"/>
          <w:szCs w:val="24"/>
          <w:highlight w:val="none"/>
        </w:rPr>
        <w:t>，如营业执照、税务登记证、业绩、相关证书、证明资料等，</w:t>
      </w:r>
      <w:r>
        <w:rPr>
          <w:rFonts w:hint="eastAsia" w:ascii="宋体" w:hAnsi="宋体"/>
          <w:color w:val="auto"/>
          <w:sz w:val="24"/>
          <w:highlight w:val="none"/>
        </w:rPr>
        <w:t>应将上述证明材料制作成扫描件。</w:t>
      </w:r>
    </w:p>
    <w:p>
      <w:pPr>
        <w:tabs>
          <w:tab w:val="left" w:pos="4620"/>
        </w:tabs>
        <w:spacing w:line="360" w:lineRule="auto"/>
        <w:ind w:firstLine="480" w:firstLineChars="200"/>
        <w:rPr>
          <w:rFonts w:ascii="宋体" w:hAnsi="宋体"/>
          <w:color w:val="auto"/>
          <w:sz w:val="24"/>
          <w:highlight w:val="none"/>
        </w:rPr>
      </w:pPr>
    </w:p>
    <w:p>
      <w:pPr>
        <w:tabs>
          <w:tab w:val="left" w:pos="4620"/>
        </w:tabs>
        <w:spacing w:line="360" w:lineRule="auto"/>
        <w:ind w:firstLine="480" w:firstLineChars="200"/>
        <w:rPr>
          <w:rFonts w:ascii="宋体" w:hAnsi="宋体"/>
          <w:color w:val="auto"/>
          <w:sz w:val="24"/>
          <w:highlight w:val="none"/>
        </w:rPr>
      </w:pPr>
    </w:p>
    <w:p>
      <w:pPr>
        <w:tabs>
          <w:tab w:val="left" w:pos="4620"/>
        </w:tabs>
        <w:spacing w:line="360" w:lineRule="auto"/>
        <w:ind w:firstLine="480" w:firstLineChars="200"/>
        <w:rPr>
          <w:rFonts w:ascii="宋体" w:hAnsi="宋体"/>
          <w:color w:val="auto"/>
          <w:sz w:val="24"/>
          <w:highlight w:val="none"/>
        </w:rPr>
      </w:pPr>
    </w:p>
    <w:p>
      <w:pPr>
        <w:tabs>
          <w:tab w:val="left" w:pos="4620"/>
        </w:tabs>
        <w:spacing w:line="360" w:lineRule="auto"/>
        <w:ind w:firstLine="480" w:firstLineChars="200"/>
        <w:rPr>
          <w:rFonts w:ascii="宋体" w:hAnsi="宋体"/>
          <w:color w:val="auto"/>
          <w:sz w:val="24"/>
          <w:highlight w:val="none"/>
        </w:rPr>
      </w:pPr>
    </w:p>
    <w:p>
      <w:pPr>
        <w:tabs>
          <w:tab w:val="left" w:pos="4620"/>
        </w:tabs>
        <w:spacing w:line="360" w:lineRule="auto"/>
        <w:ind w:firstLine="480" w:firstLineChars="200"/>
        <w:rPr>
          <w:rFonts w:ascii="宋体" w:hAnsi="宋体"/>
          <w:color w:val="auto"/>
          <w:sz w:val="24"/>
          <w:highlight w:val="none"/>
        </w:rPr>
      </w:pPr>
    </w:p>
    <w:p>
      <w:pPr>
        <w:tabs>
          <w:tab w:val="left" w:pos="4620"/>
        </w:tabs>
        <w:spacing w:line="360" w:lineRule="auto"/>
        <w:ind w:firstLine="480" w:firstLineChars="200"/>
        <w:rPr>
          <w:rFonts w:ascii="宋体" w:hAnsi="宋体"/>
          <w:color w:val="auto"/>
          <w:sz w:val="24"/>
          <w:highlight w:val="none"/>
        </w:rPr>
      </w:pPr>
    </w:p>
    <w:p>
      <w:pPr>
        <w:tabs>
          <w:tab w:val="left" w:pos="4620"/>
        </w:tabs>
        <w:spacing w:line="360" w:lineRule="auto"/>
        <w:ind w:firstLine="480" w:firstLineChars="200"/>
        <w:rPr>
          <w:rFonts w:ascii="宋体" w:hAnsi="宋体"/>
          <w:color w:val="auto"/>
          <w:sz w:val="24"/>
          <w:highlight w:val="none"/>
        </w:rPr>
      </w:pPr>
    </w:p>
    <w:p>
      <w:pPr>
        <w:tabs>
          <w:tab w:val="left" w:pos="4620"/>
        </w:tabs>
        <w:spacing w:line="360" w:lineRule="auto"/>
        <w:ind w:firstLine="480" w:firstLineChars="200"/>
        <w:rPr>
          <w:rFonts w:ascii="宋体" w:hAnsi="宋体"/>
          <w:color w:val="auto"/>
          <w:sz w:val="24"/>
          <w:highlight w:val="none"/>
        </w:rPr>
      </w:pPr>
    </w:p>
    <w:p>
      <w:pPr>
        <w:tabs>
          <w:tab w:val="left" w:pos="4620"/>
        </w:tabs>
        <w:spacing w:line="360" w:lineRule="auto"/>
        <w:ind w:firstLine="480" w:firstLineChars="200"/>
        <w:rPr>
          <w:rFonts w:ascii="宋体" w:hAnsi="宋体"/>
          <w:color w:val="auto"/>
          <w:sz w:val="24"/>
          <w:highlight w:val="none"/>
        </w:rPr>
      </w:pPr>
    </w:p>
    <w:p>
      <w:pPr>
        <w:tabs>
          <w:tab w:val="left" w:pos="4620"/>
        </w:tabs>
        <w:spacing w:line="360" w:lineRule="auto"/>
        <w:ind w:firstLine="480" w:firstLineChars="200"/>
        <w:rPr>
          <w:rFonts w:ascii="宋体" w:hAnsi="宋体"/>
          <w:color w:val="auto"/>
          <w:sz w:val="24"/>
          <w:highlight w:val="none"/>
        </w:rPr>
      </w:pPr>
    </w:p>
    <w:p>
      <w:pPr>
        <w:tabs>
          <w:tab w:val="left" w:pos="4620"/>
        </w:tabs>
        <w:spacing w:line="360" w:lineRule="auto"/>
        <w:ind w:firstLine="480" w:firstLineChars="200"/>
        <w:rPr>
          <w:rFonts w:ascii="宋体" w:hAnsi="宋体"/>
          <w:color w:val="auto"/>
          <w:sz w:val="24"/>
          <w:highlight w:val="none"/>
        </w:rPr>
      </w:pPr>
    </w:p>
    <w:p>
      <w:pPr>
        <w:tabs>
          <w:tab w:val="left" w:pos="4620"/>
        </w:tabs>
        <w:spacing w:line="360" w:lineRule="auto"/>
        <w:ind w:firstLine="480" w:firstLineChars="200"/>
        <w:rPr>
          <w:rFonts w:ascii="宋体" w:hAnsi="宋体"/>
          <w:color w:val="auto"/>
          <w:sz w:val="24"/>
          <w:highlight w:val="none"/>
        </w:rPr>
      </w:pPr>
    </w:p>
    <w:p>
      <w:pPr>
        <w:pStyle w:val="4"/>
        <w:rPr>
          <w:rFonts w:hAnsi="宋体"/>
          <w:color w:val="auto"/>
          <w:sz w:val="28"/>
          <w:highlight w:val="none"/>
        </w:rPr>
      </w:pPr>
      <w:bookmarkStart w:id="138" w:name="_Toc20575"/>
      <w:bookmarkStart w:id="139" w:name="_Toc516969104"/>
      <w:bookmarkStart w:id="140" w:name="_Toc471736417"/>
      <w:bookmarkStart w:id="141" w:name="_Toc508363608"/>
      <w:bookmarkStart w:id="142" w:name="_Hlt510342906"/>
      <w:bookmarkStart w:id="143" w:name="_Toc220232401"/>
      <w:r>
        <w:rPr>
          <w:rFonts w:hint="eastAsia" w:hAnsi="宋体"/>
          <w:color w:val="auto"/>
          <w:sz w:val="28"/>
          <w:highlight w:val="none"/>
        </w:rPr>
        <w:t>十．投标授权书</w:t>
      </w:r>
      <w:bookmarkEnd w:id="138"/>
    </w:p>
    <w:p>
      <w:pPr>
        <w:pStyle w:val="25"/>
        <w:snapToGrid w:val="0"/>
        <w:spacing w:line="360" w:lineRule="auto"/>
        <w:ind w:firstLine="480" w:firstLineChars="200"/>
        <w:jc w:val="left"/>
        <w:rPr>
          <w:rFonts w:hAnsi="宋体"/>
          <w:color w:val="auto"/>
          <w:sz w:val="24"/>
          <w:szCs w:val="28"/>
          <w:highlight w:val="none"/>
        </w:rPr>
      </w:pPr>
      <w:r>
        <w:rPr>
          <w:rFonts w:hint="eastAsia" w:hAnsi="宋体"/>
          <w:color w:val="auto"/>
          <w:sz w:val="24"/>
          <w:szCs w:val="28"/>
          <w:highlight w:val="none"/>
        </w:rPr>
        <w:t>本授权书声明：公司授权（投标人授权代表姓名、职务，手机号码）代表本公司参加合肥文旅博览集团有限公司</w:t>
      </w:r>
      <w:r>
        <w:rPr>
          <w:rFonts w:hint="eastAsia" w:hAnsi="宋体"/>
          <w:bCs/>
          <w:color w:val="auto"/>
          <w:sz w:val="24"/>
          <w:szCs w:val="28"/>
          <w:highlight w:val="none"/>
        </w:rPr>
        <w:t>招标活动（项目编号：</w:t>
      </w:r>
      <w:r>
        <w:rPr>
          <w:rFonts w:ascii="宋体" w:hAnsi="宋体" w:eastAsia="宋体" w:cs="宋体"/>
          <w:sz w:val="24"/>
          <w:szCs w:val="24"/>
        </w:rPr>
        <w:t>2023WLBLZB00077号</w:t>
      </w:r>
      <w:r>
        <w:rPr>
          <w:rFonts w:hint="eastAsia" w:hAnsi="宋体"/>
          <w:bCs/>
          <w:color w:val="auto"/>
          <w:sz w:val="24"/>
          <w:szCs w:val="28"/>
          <w:highlight w:val="none"/>
        </w:rPr>
        <w:t>）</w:t>
      </w:r>
      <w:r>
        <w:rPr>
          <w:rFonts w:hint="eastAsia" w:hAnsi="宋体"/>
          <w:color w:val="auto"/>
          <w:sz w:val="24"/>
          <w:szCs w:val="28"/>
          <w:highlight w:val="none"/>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25"/>
        <w:snapToGrid w:val="0"/>
        <w:spacing w:line="360" w:lineRule="auto"/>
        <w:ind w:firstLine="480" w:firstLineChars="200"/>
        <w:jc w:val="left"/>
        <w:rPr>
          <w:rFonts w:hAnsi="宋体"/>
          <w:color w:val="auto"/>
          <w:sz w:val="24"/>
          <w:szCs w:val="28"/>
          <w:highlight w:val="none"/>
        </w:rPr>
      </w:pPr>
      <w:r>
        <w:rPr>
          <w:rFonts w:hint="eastAsia" w:hAnsi="宋体"/>
          <w:color w:val="auto"/>
          <w:sz w:val="24"/>
          <w:szCs w:val="28"/>
          <w:highlight w:val="none"/>
        </w:rPr>
        <w:t>本授权书自出具之日起生效。</w:t>
      </w:r>
    </w:p>
    <w:p>
      <w:pPr>
        <w:spacing w:line="360" w:lineRule="auto"/>
        <w:rPr>
          <w:rFonts w:ascii="宋体" w:hAnsi="宋体"/>
          <w:color w:val="auto"/>
          <w:sz w:val="24"/>
          <w:szCs w:val="28"/>
          <w:highlight w:val="none"/>
        </w:rPr>
      </w:pPr>
    </w:p>
    <w:p>
      <w:pPr>
        <w:spacing w:line="360" w:lineRule="auto"/>
        <w:rPr>
          <w:rFonts w:ascii="宋体" w:hAnsi="宋体"/>
          <w:color w:val="auto"/>
          <w:sz w:val="24"/>
          <w:szCs w:val="28"/>
          <w:highlight w:val="none"/>
        </w:rPr>
      </w:pPr>
      <w:r>
        <w:rPr>
          <w:color w:val="auto"/>
          <w:highlight w:val="none"/>
        </w:rPr>
        <mc:AlternateContent>
          <mc:Choice Requires="wpg">
            <w:drawing>
              <wp:anchor distT="0" distB="0" distL="114300" distR="114300" simplePos="0" relativeHeight="251659264" behindDoc="0" locked="0" layoutInCell="1" allowOverlap="1">
                <wp:simplePos x="0" y="0"/>
                <wp:positionH relativeFrom="column">
                  <wp:posOffset>1160780</wp:posOffset>
                </wp:positionH>
                <wp:positionV relativeFrom="paragraph">
                  <wp:posOffset>255270</wp:posOffset>
                </wp:positionV>
                <wp:extent cx="3860165" cy="727710"/>
                <wp:effectExtent l="4445" t="4445" r="21590" b="10795"/>
                <wp:wrapNone/>
                <wp:docPr id="2" name="组合 3"/>
                <wp:cNvGraphicFramePr/>
                <a:graphic xmlns:a="http://schemas.openxmlformats.org/drawingml/2006/main">
                  <a:graphicData uri="http://schemas.microsoft.com/office/word/2010/wordprocessingGroup">
                    <wpg:wgp>
                      <wpg:cNvGrpSpPr/>
                      <wpg:grpSpPr>
                        <a:xfrm>
                          <a:off x="0" y="0"/>
                          <a:ext cx="3860165" cy="727710"/>
                          <a:chOff x="3270" y="5789"/>
                          <a:chExt cx="6079" cy="1525"/>
                        </a:xfrm>
                        <a:effectLst/>
                      </wpg:grpSpPr>
                      <wps:wsp>
                        <wps:cNvPr id="3" name="自选图形 67"/>
                        <wps:cNvSpPr>
                          <a:spLocks noChangeArrowheads="1"/>
                        </wps:cNvSpPr>
                        <wps:spPr bwMode="auto">
                          <a:xfrm>
                            <a:off x="3270" y="5789"/>
                            <a:ext cx="2794" cy="1525"/>
                          </a:xfrm>
                          <a:prstGeom prst="roundRect">
                            <a:avLst>
                              <a:gd name="adj" fmla="val 16667"/>
                            </a:avLst>
                          </a:prstGeom>
                          <a:solidFill>
                            <a:srgbClr val="FFFFFF"/>
                          </a:solidFill>
                          <a:ln w="9525">
                            <a:solidFill>
                              <a:srgbClr val="000000"/>
                            </a:solidFill>
                            <a:round/>
                          </a:ln>
                          <a:effectLst/>
                        </wps:spPr>
                        <wps:txbx>
                          <w:txbxContent>
                            <w:p/>
                          </w:txbxContent>
                        </wps:txbx>
                        <wps:bodyPr rot="0" vert="horz" wrap="square" lIns="91440" tIns="45720" rIns="91440" bIns="45720" anchor="t" anchorCtr="0" upright="1">
                          <a:noAutofit/>
                        </wps:bodyPr>
                      </wps:wsp>
                      <wps:wsp>
                        <wps:cNvPr id="4" name="自选图形 68"/>
                        <wps:cNvSpPr>
                          <a:spLocks noChangeArrowheads="1"/>
                        </wps:cNvSpPr>
                        <wps:spPr bwMode="auto">
                          <a:xfrm>
                            <a:off x="6555" y="5789"/>
                            <a:ext cx="2794" cy="1525"/>
                          </a:xfrm>
                          <a:prstGeom prst="roundRect">
                            <a:avLst>
                              <a:gd name="adj" fmla="val 16667"/>
                            </a:avLst>
                          </a:prstGeom>
                          <a:solidFill>
                            <a:srgbClr val="FFFFFF"/>
                          </a:solidFill>
                          <a:ln w="9525">
                            <a:solidFill>
                              <a:srgbClr val="000000"/>
                            </a:solidFill>
                            <a:round/>
                          </a:ln>
                          <a:effectLst/>
                        </wps:spPr>
                        <wps:txbx>
                          <w:txbxContent>
                            <w:p>
                              <w:pPr>
                                <w:jc w:val="center"/>
                                <w:rPr>
                                  <w:color w:val="FF0000"/>
                                  <w:szCs w:val="21"/>
                                </w:rPr>
                              </w:pPr>
                            </w:p>
                          </w:txbxContent>
                        </wps:txbx>
                        <wps:bodyPr rot="0" vert="horz" wrap="square" lIns="91440" tIns="45720" rIns="91440" bIns="45720" anchor="t" anchorCtr="0" upright="1">
                          <a:noAutofit/>
                        </wps:bodyPr>
                      </wps:wsp>
                    </wpg:wgp>
                  </a:graphicData>
                </a:graphic>
              </wp:anchor>
            </w:drawing>
          </mc:Choice>
          <mc:Fallback>
            <w:pict>
              <v:group id="组合 3" o:spid="_x0000_s1026" o:spt="203" style="position:absolute;left:0pt;margin-left:91.4pt;margin-top:20.1pt;height:57.3pt;width:303.95pt;z-index:251659264;mso-width-relative:page;mso-height-relative:page;" coordorigin="3270,5789" coordsize="6079,1525" o:gfxdata="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H5BtsPZAAAACgEAAA8AAAAAAAAAAQAg&#10;AAAAIgAAAGRycy9kb3ducmV2LnhtbFBLAQIUABQAAAAIAIdO4kCJ3PCc8QIAAMgIAAAOAAAAAAAA&#10;AAEAIAAAACgBAABkcnMvZTJvRG9jLnhtbFBLBQYAAAAABgAGAFkBAACLBgAAAAA=&#10;">
                <o:lock v:ext="edit" aspectratio="f"/>
                <v:roundrect id="自选图形 67" o:spid="_x0000_s1026" o:spt="2" style="position:absolute;left:3270;top:5789;height:1525;width:2794;" fillcolor="#FFFFFF" filled="t" stroked="t" coordsize="21600,21600" arcsize="0.166666666666667" o:gfxdata="UEsDBAoAAAAAAIdO4kAAAAAAAAAAAAAAAAAEAAAAZHJzL1BLAwQUAAAACACHTuJAkentSrwAAADa&#10;AAAADwAAAGRycy9kb3ducmV2LnhtbEWPwW7CMBBE70j8g7VIvYFNU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p7Uq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txbxContent>
                  </v:textbox>
                </v:roundrect>
                <v:roundrect id="自选图形 68" o:spid="_x0000_s1026" o:spt="2" style="position:absolute;left:6555;top:5789;height:1525;width:2794;" fillcolor="#FFFFFF" filled="t" stroked="t" coordsize="21600,21600" arcsize="0.166666666666667"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jc w:val="center"/>
                          <w:rPr>
                            <w:color w:val="FF0000"/>
                            <w:szCs w:val="21"/>
                          </w:rPr>
                        </w:pPr>
                      </w:p>
                    </w:txbxContent>
                  </v:textbox>
                </v:roundrect>
              </v:group>
            </w:pict>
          </mc:Fallback>
        </mc:AlternateContent>
      </w:r>
    </w:p>
    <w:p>
      <w:pPr>
        <w:spacing w:line="360" w:lineRule="auto"/>
        <w:ind w:firstLine="645"/>
        <w:rPr>
          <w:rFonts w:ascii="宋体" w:hAnsi="宋体"/>
          <w:color w:val="auto"/>
          <w:sz w:val="24"/>
          <w:szCs w:val="28"/>
          <w:highlight w:val="none"/>
        </w:rPr>
      </w:pPr>
      <w:r>
        <w:rPr>
          <w:rFonts w:hint="eastAsia" w:ascii="宋体" w:hAnsi="宋体"/>
          <w:color w:val="auto"/>
          <w:sz w:val="24"/>
          <w:szCs w:val="28"/>
          <w:highlight w:val="none"/>
        </w:rPr>
        <w:t>特此声明。</w:t>
      </w:r>
    </w:p>
    <w:p>
      <w:pPr>
        <w:spacing w:line="360" w:lineRule="auto"/>
        <w:rPr>
          <w:rFonts w:ascii="宋体" w:hAnsi="宋体"/>
          <w:color w:val="auto"/>
          <w:sz w:val="24"/>
          <w:szCs w:val="28"/>
          <w:highlight w:val="none"/>
        </w:rPr>
      </w:pPr>
    </w:p>
    <w:p>
      <w:pPr>
        <w:spacing w:line="360" w:lineRule="auto"/>
        <w:rPr>
          <w:rFonts w:ascii="宋体" w:hAnsi="宋体"/>
          <w:color w:val="auto"/>
          <w:sz w:val="24"/>
          <w:szCs w:val="28"/>
          <w:highlight w:val="none"/>
        </w:rPr>
      </w:pPr>
    </w:p>
    <w:p>
      <w:pPr>
        <w:spacing w:line="360" w:lineRule="auto"/>
        <w:rPr>
          <w:rFonts w:ascii="宋体" w:hAnsi="宋体"/>
          <w:color w:val="auto"/>
          <w:sz w:val="24"/>
          <w:szCs w:val="28"/>
          <w:highlight w:val="none"/>
        </w:rPr>
      </w:pPr>
    </w:p>
    <w:p>
      <w:pPr>
        <w:spacing w:line="360" w:lineRule="auto"/>
        <w:rPr>
          <w:rFonts w:ascii="宋体" w:hAnsi="宋体"/>
          <w:color w:val="auto"/>
          <w:sz w:val="24"/>
          <w:szCs w:val="28"/>
          <w:highlight w:val="none"/>
        </w:rPr>
      </w:pPr>
    </w:p>
    <w:p>
      <w:pPr>
        <w:spacing w:line="360" w:lineRule="auto"/>
        <w:rPr>
          <w:rFonts w:ascii="宋体" w:hAnsi="宋体"/>
          <w:color w:val="auto"/>
          <w:sz w:val="24"/>
          <w:szCs w:val="28"/>
          <w:highlight w:val="none"/>
        </w:rPr>
      </w:pPr>
    </w:p>
    <w:p>
      <w:pPr>
        <w:spacing w:line="360" w:lineRule="auto"/>
        <w:rPr>
          <w:rFonts w:ascii="宋体" w:hAnsi="宋体"/>
          <w:color w:val="auto"/>
          <w:sz w:val="24"/>
          <w:szCs w:val="28"/>
          <w:highlight w:val="none"/>
        </w:rPr>
      </w:pPr>
    </w:p>
    <w:p>
      <w:pPr>
        <w:spacing w:line="360" w:lineRule="auto"/>
        <w:rPr>
          <w:rFonts w:ascii="宋体" w:hAnsi="宋体"/>
          <w:b/>
          <w:bCs/>
          <w:color w:val="auto"/>
          <w:sz w:val="24"/>
          <w:szCs w:val="28"/>
          <w:highlight w:val="none"/>
        </w:rPr>
      </w:pPr>
      <w:r>
        <w:rPr>
          <w:rFonts w:hint="eastAsia" w:ascii="宋体" w:hAnsi="宋体"/>
          <w:b/>
          <w:bCs/>
          <w:color w:val="auto"/>
          <w:sz w:val="24"/>
          <w:szCs w:val="28"/>
          <w:highlight w:val="none"/>
        </w:rPr>
        <w:t>投标人(公章)：</w:t>
      </w:r>
    </w:p>
    <w:p>
      <w:pPr>
        <w:spacing w:line="360" w:lineRule="auto"/>
        <w:rPr>
          <w:rFonts w:ascii="宋体" w:hAnsi="宋体"/>
          <w:color w:val="auto"/>
          <w:sz w:val="24"/>
          <w:szCs w:val="28"/>
          <w:highlight w:val="none"/>
        </w:rPr>
      </w:pPr>
      <w:r>
        <w:rPr>
          <w:rFonts w:hint="eastAsia" w:ascii="宋体" w:hAnsi="宋体"/>
          <w:color w:val="auto"/>
          <w:sz w:val="24"/>
          <w:szCs w:val="28"/>
          <w:highlight w:val="none"/>
        </w:rPr>
        <w:t xml:space="preserve">日        期： </w:t>
      </w:r>
    </w:p>
    <w:p>
      <w:pPr>
        <w:rPr>
          <w:rFonts w:ascii="宋体" w:hAnsi="宋体"/>
          <w:color w:val="auto"/>
          <w:sz w:val="28"/>
          <w:szCs w:val="28"/>
          <w:highlight w:val="none"/>
        </w:rPr>
      </w:pPr>
    </w:p>
    <w:p>
      <w:pPr>
        <w:pStyle w:val="25"/>
        <w:snapToGrid w:val="0"/>
        <w:spacing w:line="360" w:lineRule="auto"/>
        <w:jc w:val="left"/>
        <w:rPr>
          <w:rFonts w:hAnsi="宋体"/>
          <w:color w:val="auto"/>
          <w:sz w:val="24"/>
          <w:szCs w:val="28"/>
          <w:highlight w:val="none"/>
        </w:rPr>
      </w:pPr>
      <w:r>
        <w:rPr>
          <w:rFonts w:hint="eastAsia" w:hAnsi="宋体"/>
          <w:color w:val="auto"/>
          <w:sz w:val="24"/>
          <w:szCs w:val="28"/>
          <w:highlight w:val="none"/>
        </w:rPr>
        <w:t>注：</w:t>
      </w:r>
    </w:p>
    <w:p>
      <w:pPr>
        <w:pStyle w:val="25"/>
        <w:snapToGrid w:val="0"/>
        <w:spacing w:line="360" w:lineRule="auto"/>
        <w:jc w:val="left"/>
        <w:rPr>
          <w:rFonts w:hAnsi="宋体"/>
          <w:color w:val="auto"/>
          <w:sz w:val="24"/>
          <w:szCs w:val="28"/>
          <w:highlight w:val="none"/>
        </w:rPr>
      </w:pPr>
      <w:bookmarkStart w:id="144" w:name="_Toc220232403"/>
      <w:bookmarkStart w:id="145" w:name="_Toc471736421"/>
      <w:r>
        <w:rPr>
          <w:rFonts w:hint="eastAsia" w:hAnsi="宋体"/>
          <w:color w:val="auto"/>
          <w:sz w:val="24"/>
          <w:szCs w:val="28"/>
          <w:highlight w:val="none"/>
        </w:rPr>
        <w:t>1.本项目只允许有唯一的投标人授权代表（须与投标函中授权代表为同一人，否则投标无效），投标文件中提供授权代表身份证</w:t>
      </w:r>
      <w:r>
        <w:rPr>
          <w:rFonts w:hint="eastAsia" w:hAnsi="宋体"/>
          <w:color w:val="auto"/>
          <w:sz w:val="24"/>
          <w:highlight w:val="none"/>
        </w:rPr>
        <w:t>扫描件</w:t>
      </w:r>
      <w:r>
        <w:rPr>
          <w:rFonts w:hint="eastAsia" w:hAnsi="宋体"/>
          <w:color w:val="auto"/>
          <w:sz w:val="24"/>
          <w:szCs w:val="28"/>
          <w:highlight w:val="none"/>
        </w:rPr>
        <w:t>。</w:t>
      </w:r>
    </w:p>
    <w:p>
      <w:pPr>
        <w:pStyle w:val="25"/>
        <w:snapToGrid w:val="0"/>
        <w:spacing w:line="360" w:lineRule="auto"/>
        <w:jc w:val="left"/>
        <w:rPr>
          <w:rFonts w:hAnsi="宋体"/>
          <w:color w:val="auto"/>
          <w:sz w:val="24"/>
          <w:szCs w:val="24"/>
          <w:highlight w:val="none"/>
        </w:rPr>
      </w:pPr>
      <w:r>
        <w:rPr>
          <w:rFonts w:hint="eastAsia" w:hAnsi="宋体"/>
          <w:color w:val="auto"/>
          <w:sz w:val="24"/>
          <w:szCs w:val="28"/>
          <w:highlight w:val="none"/>
        </w:rPr>
        <w:t>2.法定代表人参加投标的无需此件，</w:t>
      </w:r>
      <w:r>
        <w:rPr>
          <w:rFonts w:hint="eastAsia" w:hAnsi="宋体"/>
          <w:color w:val="auto"/>
          <w:sz w:val="24"/>
          <w:highlight w:val="none"/>
        </w:rPr>
        <w:t>但投标文件中须提供身份证扫描件。</w:t>
      </w:r>
    </w:p>
    <w:bookmarkEnd w:id="144"/>
    <w:bookmarkEnd w:id="145"/>
    <w:p>
      <w:pPr>
        <w:pStyle w:val="4"/>
        <w:rPr>
          <w:rFonts w:hAnsi="宋体"/>
          <w:color w:val="auto"/>
          <w:sz w:val="28"/>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bookmarkEnd w:id="139"/>
    <w:bookmarkEnd w:id="140"/>
    <w:bookmarkEnd w:id="141"/>
    <w:bookmarkEnd w:id="142"/>
    <w:bookmarkEnd w:id="143"/>
    <w:p>
      <w:pPr>
        <w:widowControl/>
        <w:jc w:val="left"/>
        <w:rPr>
          <w:rFonts w:ascii="宋体" w:hAnsi="宋体"/>
          <w:b/>
          <w:bCs/>
          <w:color w:val="auto"/>
          <w:sz w:val="30"/>
          <w:highlight w:val="none"/>
        </w:rPr>
        <w:sectPr>
          <w:headerReference r:id="rId3" w:type="default"/>
          <w:footerReference r:id="rId4" w:type="default"/>
          <w:pgSz w:w="11907" w:h="16840"/>
          <w:pgMar w:top="1440" w:right="1247" w:bottom="1440" w:left="1247" w:header="851" w:footer="992" w:gutter="0"/>
          <w:cols w:space="720" w:num="1"/>
        </w:sectPr>
      </w:pPr>
    </w:p>
    <w:p>
      <w:pPr>
        <w:pStyle w:val="4"/>
        <w:rPr>
          <w:rFonts w:hAnsi="宋体"/>
          <w:color w:val="auto"/>
          <w:sz w:val="28"/>
          <w:highlight w:val="none"/>
        </w:rPr>
      </w:pPr>
      <w:bookmarkStart w:id="146" w:name="_Toc471736427"/>
      <w:bookmarkStart w:id="147" w:name="_Toc420342108"/>
      <w:bookmarkStart w:id="148" w:name="_Toc390243258"/>
      <w:bookmarkStart w:id="149" w:name="_Toc459990157"/>
      <w:bookmarkStart w:id="150" w:name="_Toc391040781"/>
      <w:bookmarkStart w:id="151" w:name="_Toc517681252"/>
      <w:bookmarkStart w:id="152" w:name="_Toc13728"/>
      <w:r>
        <w:rPr>
          <w:rFonts w:hint="eastAsia" w:hAnsi="宋体"/>
          <w:color w:val="auto"/>
          <w:sz w:val="28"/>
          <w:highlight w:val="none"/>
        </w:rPr>
        <w:t>十一．</w:t>
      </w:r>
      <w:bookmarkEnd w:id="146"/>
      <w:bookmarkEnd w:id="147"/>
      <w:bookmarkEnd w:id="148"/>
      <w:bookmarkEnd w:id="149"/>
      <w:bookmarkEnd w:id="150"/>
      <w:bookmarkStart w:id="153" w:name="_Toc471736430"/>
      <w:bookmarkStart w:id="154" w:name="_Toc471733801"/>
      <w:bookmarkStart w:id="155" w:name="_Toc389124158"/>
      <w:r>
        <w:rPr>
          <w:rFonts w:hint="eastAsia" w:hAnsi="宋体"/>
          <w:color w:val="auto"/>
          <w:sz w:val="28"/>
          <w:highlight w:val="none"/>
        </w:rPr>
        <w:t>投标人认为需提供的其他资料</w:t>
      </w:r>
      <w:bookmarkEnd w:id="151"/>
      <w:bookmarkEnd w:id="152"/>
      <w:bookmarkEnd w:id="153"/>
      <w:bookmarkEnd w:id="154"/>
      <w:bookmarkEnd w:id="155"/>
    </w:p>
    <w:p>
      <w:pPr>
        <w:spacing w:line="500" w:lineRule="exact"/>
        <w:rPr>
          <w:rFonts w:ascii="宋体" w:hAnsi="宋体"/>
          <w:b/>
          <w:bCs/>
          <w:color w:val="auto"/>
          <w:sz w:val="24"/>
          <w:szCs w:val="24"/>
          <w:highlight w:val="none"/>
        </w:rPr>
      </w:pPr>
      <w:r>
        <w:rPr>
          <w:rFonts w:hint="eastAsia" w:ascii="宋体" w:hAnsi="宋体"/>
          <w:b/>
          <w:bCs/>
          <w:color w:val="auto"/>
          <w:sz w:val="24"/>
          <w:szCs w:val="24"/>
          <w:highlight w:val="none"/>
        </w:rPr>
        <w:t xml:space="preserve">        （</w:t>
      </w:r>
      <w:r>
        <w:rPr>
          <w:rFonts w:hint="eastAsia" w:ascii="宋体" w:hAnsi="宋体"/>
          <w:bCs/>
          <w:color w:val="auto"/>
          <w:sz w:val="24"/>
          <w:szCs w:val="24"/>
          <w:highlight w:val="none"/>
        </w:rPr>
        <w:t>投标人可自行制作格式</w:t>
      </w:r>
      <w:r>
        <w:rPr>
          <w:rFonts w:hint="eastAsia" w:ascii="宋体" w:hAnsi="宋体"/>
          <w:b/>
          <w:bCs/>
          <w:color w:val="auto"/>
          <w:sz w:val="24"/>
          <w:szCs w:val="24"/>
          <w:highlight w:val="none"/>
        </w:rPr>
        <w:t>）</w:t>
      </w:r>
    </w:p>
    <w:p>
      <w:pPr>
        <w:spacing w:line="500" w:lineRule="exact"/>
        <w:rPr>
          <w:rFonts w:ascii="宋体" w:hAnsi="宋体"/>
          <w:b/>
          <w:bCs/>
          <w:color w:val="auto"/>
          <w:sz w:val="24"/>
          <w:szCs w:val="24"/>
          <w:highlight w:val="none"/>
        </w:rPr>
      </w:pPr>
    </w:p>
    <w:p>
      <w:pPr>
        <w:spacing w:line="500" w:lineRule="exact"/>
        <w:rPr>
          <w:rFonts w:ascii="宋体" w:hAnsi="宋体"/>
          <w:b/>
          <w:bCs/>
          <w:color w:val="auto"/>
          <w:sz w:val="24"/>
          <w:szCs w:val="24"/>
          <w:highlight w:val="none"/>
        </w:rPr>
      </w:pPr>
    </w:p>
    <w:p>
      <w:pPr>
        <w:spacing w:line="500" w:lineRule="exact"/>
        <w:rPr>
          <w:rFonts w:ascii="宋体" w:hAnsi="宋体"/>
          <w:b/>
          <w:bCs/>
          <w:color w:val="auto"/>
          <w:sz w:val="24"/>
          <w:szCs w:val="24"/>
          <w:highlight w:val="none"/>
        </w:rPr>
      </w:pPr>
    </w:p>
    <w:p>
      <w:pPr>
        <w:keepNext/>
        <w:keepLines/>
        <w:spacing w:before="260" w:after="260" w:line="415" w:lineRule="auto"/>
        <w:jc w:val="center"/>
        <w:outlineLvl w:val="2"/>
        <w:rPr>
          <w:rFonts w:ascii="宋体" w:hAnsi="宋体"/>
          <w:b/>
          <w:bCs/>
          <w:color w:val="auto"/>
          <w:sz w:val="28"/>
          <w:szCs w:val="32"/>
          <w:highlight w:val="none"/>
        </w:rPr>
      </w:pPr>
      <w:bookmarkStart w:id="156" w:name="_Toc300210382"/>
      <w:bookmarkStart w:id="157" w:name="_Toc18658870"/>
      <w:bookmarkStart w:id="158" w:name="_Toc19773347"/>
      <w:bookmarkStart w:id="159" w:name="_Toc22888343"/>
      <w:bookmarkStart w:id="160" w:name="_Toc17307116"/>
      <w:r>
        <w:rPr>
          <w:rFonts w:hint="eastAsia" w:ascii="宋体" w:hAnsi="宋体"/>
          <w:b/>
          <w:bCs/>
          <w:color w:val="auto"/>
          <w:sz w:val="28"/>
          <w:szCs w:val="32"/>
          <w:highlight w:val="none"/>
        </w:rPr>
        <w:t>十二．投标保证金退还声明</w:t>
      </w:r>
      <w:bookmarkEnd w:id="156"/>
      <w:bookmarkEnd w:id="157"/>
      <w:bookmarkEnd w:id="158"/>
      <w:bookmarkEnd w:id="159"/>
      <w:bookmarkEnd w:id="160"/>
    </w:p>
    <w:p>
      <w:pPr>
        <w:spacing w:line="480" w:lineRule="auto"/>
        <w:ind w:firstLine="628" w:firstLineChars="262"/>
        <w:rPr>
          <w:rFonts w:hAnsi="Arial"/>
          <w:color w:val="auto"/>
          <w:sz w:val="24"/>
          <w:szCs w:val="24"/>
          <w:highlight w:val="none"/>
          <w:u w:val="single"/>
        </w:rPr>
      </w:pPr>
      <w:r>
        <w:rPr>
          <w:rFonts w:hint="eastAsia" w:ascii="宋体" w:hAnsi="宋体"/>
          <w:color w:val="auto"/>
          <w:sz w:val="24"/>
          <w:szCs w:val="24"/>
          <w:highlight w:val="none"/>
        </w:rPr>
        <w:t>项目名称：</w:t>
      </w:r>
    </w:p>
    <w:p>
      <w:pPr>
        <w:spacing w:line="480" w:lineRule="auto"/>
        <w:ind w:firstLine="628" w:firstLineChars="262"/>
        <w:rPr>
          <w:rFonts w:hAnsi="Arial"/>
          <w:color w:val="auto"/>
          <w:sz w:val="24"/>
          <w:szCs w:val="24"/>
          <w:highlight w:val="none"/>
          <w:u w:val="single"/>
        </w:rPr>
      </w:pPr>
      <w:r>
        <w:rPr>
          <w:rFonts w:hint="eastAsia" w:ascii="宋体" w:hAnsi="宋体"/>
          <w:color w:val="auto"/>
          <w:sz w:val="24"/>
          <w:szCs w:val="24"/>
          <w:highlight w:val="none"/>
        </w:rPr>
        <w:t>项目编号：</w:t>
      </w:r>
    </w:p>
    <w:p>
      <w:pPr>
        <w:spacing w:line="480" w:lineRule="auto"/>
        <w:ind w:firstLine="628" w:firstLineChars="262"/>
        <w:rPr>
          <w:rFonts w:ascii="宋体" w:hAnsi="宋体"/>
          <w:color w:val="auto"/>
          <w:sz w:val="24"/>
          <w:szCs w:val="24"/>
          <w:highlight w:val="none"/>
        </w:rPr>
      </w:pPr>
      <w:r>
        <w:rPr>
          <w:rFonts w:hint="eastAsia" w:hAnsi="Arial"/>
          <w:color w:val="auto"/>
          <w:sz w:val="24"/>
          <w:szCs w:val="24"/>
          <w:highlight w:val="none"/>
        </w:rPr>
        <w:t>投标保证金金额：</w:t>
      </w:r>
    </w:p>
    <w:p>
      <w:pPr>
        <w:spacing w:line="48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我单位投标保证金到期后请汇至如下账号：</w:t>
      </w:r>
    </w:p>
    <w:p>
      <w:pPr>
        <w:spacing w:line="360" w:lineRule="auto"/>
        <w:ind w:firstLine="629"/>
        <w:rPr>
          <w:rFonts w:hAnsi="Arial"/>
          <w:color w:val="auto"/>
          <w:sz w:val="24"/>
          <w:szCs w:val="24"/>
          <w:highlight w:val="none"/>
          <w:u w:val="single"/>
        </w:rPr>
      </w:pPr>
      <w:r>
        <w:rPr>
          <w:rFonts w:hint="eastAsia" w:hAnsi="Arial"/>
          <w:color w:val="auto"/>
          <w:sz w:val="24"/>
          <w:szCs w:val="24"/>
          <w:highlight w:val="none"/>
        </w:rPr>
        <w:t>收款单位：</w:t>
      </w:r>
    </w:p>
    <w:p>
      <w:pPr>
        <w:spacing w:line="360" w:lineRule="auto"/>
        <w:ind w:firstLine="629"/>
        <w:rPr>
          <w:rFonts w:hAnsi="Arial"/>
          <w:color w:val="auto"/>
          <w:sz w:val="24"/>
          <w:szCs w:val="24"/>
          <w:highlight w:val="none"/>
          <w:u w:val="single"/>
        </w:rPr>
      </w:pPr>
      <w:r>
        <w:rPr>
          <w:rFonts w:hint="eastAsia" w:hAnsi="Arial"/>
          <w:color w:val="auto"/>
          <w:sz w:val="24"/>
          <w:szCs w:val="24"/>
          <w:highlight w:val="none"/>
        </w:rPr>
        <w:t>开户行：</w:t>
      </w:r>
    </w:p>
    <w:p>
      <w:pPr>
        <w:spacing w:line="360" w:lineRule="auto"/>
        <w:ind w:firstLine="629"/>
        <w:rPr>
          <w:rFonts w:hAnsi="Arial"/>
          <w:color w:val="auto"/>
          <w:sz w:val="24"/>
          <w:szCs w:val="24"/>
          <w:highlight w:val="none"/>
          <w:u w:val="single"/>
        </w:rPr>
      </w:pPr>
      <w:r>
        <w:rPr>
          <w:rFonts w:hint="eastAsia" w:hAnsi="Arial"/>
          <w:color w:val="auto"/>
          <w:sz w:val="24"/>
          <w:szCs w:val="24"/>
          <w:highlight w:val="none"/>
        </w:rPr>
        <w:t>银行账号：</w:t>
      </w:r>
    </w:p>
    <w:p>
      <w:pPr>
        <w:spacing w:line="360" w:lineRule="auto"/>
        <w:ind w:firstLine="629"/>
        <w:rPr>
          <w:rFonts w:hAnsi="Arial"/>
          <w:color w:val="auto"/>
          <w:sz w:val="24"/>
          <w:szCs w:val="24"/>
          <w:highlight w:val="none"/>
          <w:u w:val="single"/>
        </w:rPr>
      </w:pPr>
      <w:r>
        <w:rPr>
          <w:rFonts w:hint="eastAsia" w:hAnsi="Arial"/>
          <w:color w:val="auto"/>
          <w:sz w:val="24"/>
          <w:szCs w:val="24"/>
          <w:highlight w:val="none"/>
        </w:rPr>
        <w:t>电话：</w:t>
      </w:r>
    </w:p>
    <w:p>
      <w:pPr>
        <w:spacing w:line="360" w:lineRule="auto"/>
        <w:ind w:firstLine="629"/>
        <w:rPr>
          <w:rFonts w:ascii="宋体" w:hAnsi="宋体"/>
          <w:color w:val="auto"/>
          <w:sz w:val="24"/>
          <w:szCs w:val="24"/>
          <w:highlight w:val="none"/>
          <w:u w:val="single"/>
        </w:rPr>
      </w:pPr>
      <w:r>
        <w:rPr>
          <w:rFonts w:hint="eastAsia" w:hAnsi="Arial"/>
          <w:color w:val="auto"/>
          <w:sz w:val="24"/>
          <w:szCs w:val="24"/>
          <w:highlight w:val="none"/>
        </w:rPr>
        <w:t>地址：</w:t>
      </w:r>
    </w:p>
    <w:p>
      <w:pPr>
        <w:spacing w:line="360" w:lineRule="auto"/>
        <w:ind w:firstLine="629"/>
        <w:rPr>
          <w:rFonts w:hAnsi="Arial"/>
          <w:color w:val="auto"/>
          <w:sz w:val="24"/>
          <w:szCs w:val="24"/>
          <w:highlight w:val="none"/>
        </w:rPr>
      </w:pPr>
    </w:p>
    <w:p>
      <w:pPr>
        <w:spacing w:line="360" w:lineRule="auto"/>
        <w:ind w:firstLine="629"/>
        <w:rPr>
          <w:rFonts w:hAnsi="Arial"/>
          <w:color w:val="auto"/>
          <w:sz w:val="24"/>
          <w:szCs w:val="24"/>
          <w:highlight w:val="none"/>
        </w:rPr>
      </w:pPr>
    </w:p>
    <w:p>
      <w:pPr>
        <w:spacing w:line="360" w:lineRule="auto"/>
        <w:ind w:firstLine="629"/>
        <w:rPr>
          <w:rFonts w:ascii="宋体" w:hAnsi="宋体"/>
          <w:color w:val="auto"/>
          <w:sz w:val="24"/>
          <w:szCs w:val="24"/>
          <w:highlight w:val="none"/>
          <w:u w:val="single"/>
        </w:rPr>
      </w:pPr>
    </w:p>
    <w:p>
      <w:pPr>
        <w:rPr>
          <w:color w:val="auto"/>
          <w:sz w:val="24"/>
          <w:szCs w:val="24"/>
          <w:highlight w:val="none"/>
        </w:rPr>
      </w:pPr>
      <w:r>
        <w:rPr>
          <w:rFonts w:hint="eastAsia"/>
          <w:color w:val="auto"/>
          <w:sz w:val="24"/>
          <w:szCs w:val="24"/>
          <w:highlight w:val="none"/>
        </w:rPr>
        <w:t>附：投标保证金转账凭证扫描件</w:t>
      </w:r>
    </w:p>
    <w:p>
      <w:pPr>
        <w:rPr>
          <w:color w:val="auto"/>
          <w:sz w:val="24"/>
          <w:szCs w:val="24"/>
          <w:highlight w:val="none"/>
        </w:rPr>
      </w:pPr>
    </w:p>
    <w:p>
      <w:pPr>
        <w:rPr>
          <w:color w:val="auto"/>
          <w:sz w:val="24"/>
          <w:szCs w:val="24"/>
          <w:highlight w:val="none"/>
        </w:rPr>
      </w:pPr>
    </w:p>
    <w:p>
      <w:pPr>
        <w:spacing w:line="360" w:lineRule="auto"/>
        <w:ind w:firstLine="4800" w:firstLineChars="2000"/>
        <w:rPr>
          <w:color w:val="auto"/>
          <w:sz w:val="24"/>
          <w:szCs w:val="24"/>
          <w:highlight w:val="none"/>
        </w:rPr>
      </w:pPr>
      <w:r>
        <w:rPr>
          <w:rFonts w:hint="eastAsia"/>
          <w:color w:val="auto"/>
          <w:sz w:val="24"/>
          <w:szCs w:val="24"/>
          <w:highlight w:val="none"/>
        </w:rPr>
        <w:t>投标人（公章）：</w:t>
      </w:r>
    </w:p>
    <w:p>
      <w:pPr>
        <w:spacing w:line="360" w:lineRule="auto"/>
        <w:rPr>
          <w:color w:val="auto"/>
          <w:sz w:val="24"/>
          <w:szCs w:val="24"/>
          <w:highlight w:val="none"/>
        </w:rPr>
      </w:pPr>
      <w:r>
        <w:rPr>
          <w:rFonts w:hint="eastAsia"/>
          <w:color w:val="auto"/>
          <w:sz w:val="24"/>
          <w:szCs w:val="24"/>
          <w:highlight w:val="none"/>
        </w:rPr>
        <w:t>企业法人（签字）：</w:t>
      </w:r>
    </w:p>
    <w:p>
      <w:pPr>
        <w:spacing w:line="360" w:lineRule="auto"/>
        <w:rPr>
          <w:color w:val="auto"/>
          <w:sz w:val="24"/>
          <w:szCs w:val="24"/>
          <w:highlight w:val="none"/>
        </w:rPr>
      </w:pPr>
      <w:r>
        <w:rPr>
          <w:rFonts w:hint="eastAsia"/>
          <w:color w:val="auto"/>
          <w:sz w:val="24"/>
          <w:szCs w:val="24"/>
          <w:highlight w:val="none"/>
        </w:rPr>
        <w:t>授权代表（签字）：</w:t>
      </w:r>
    </w:p>
    <w:p>
      <w:pPr>
        <w:spacing w:line="360" w:lineRule="auto"/>
        <w:rPr>
          <w:color w:val="auto"/>
          <w:sz w:val="24"/>
          <w:szCs w:val="24"/>
          <w:highlight w:val="none"/>
        </w:rPr>
      </w:pPr>
      <w:r>
        <w:rPr>
          <w:rFonts w:hint="eastAsia"/>
          <w:color w:val="auto"/>
          <w:sz w:val="24"/>
          <w:szCs w:val="24"/>
          <w:highlight w:val="none"/>
        </w:rPr>
        <w:t>年月日</w:t>
      </w: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幼圆">
    <w:altName w:val="宋体"/>
    <w:panose1 w:val="0201050906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微软简标宋">
    <w:altName w:val="黑体"/>
    <w:panose1 w:val="00000000000000000000"/>
    <w:charset w:val="86"/>
    <w:family w:val="auto"/>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DotumChe">
    <w:altName w:val="Malgun Gothic"/>
    <w:panose1 w:val="00000000000000000000"/>
    <w:charset w:val="81"/>
    <w:family w:val="moder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0000010" w:usb3="00000000" w:csb0="0002009F" w:csb1="00000000"/>
  </w:font>
  <w:font w:name="Segoe UI Symbol">
    <w:panose1 w:val="020B0502040204020203"/>
    <w:charset w:val="00"/>
    <w:family w:val="swiss"/>
    <w:pitch w:val="default"/>
    <w:sig w:usb0="800001E3" w:usb1="1200FFEF" w:usb2="00040000" w:usb3="04000000" w:csb0="00000001" w:csb1="40000000"/>
  </w:font>
  <w:font w:name="宋体-18030">
    <w:altName w:val="宋体"/>
    <w:panose1 w:val="00000000000000000000"/>
    <w:charset w:val="86"/>
    <w:family w:val="modern"/>
    <w:pitch w:val="default"/>
    <w:sig w:usb0="00000000" w:usb1="00000000" w:usb2="000A005E"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6FF" w:usb1="420024FF" w:usb2="02000000" w:usb3="00000000" w:csb0="2000019F" w:csb1="00000000"/>
  </w:font>
  <w:font w:name="Yu Gothic UI">
    <w:panose1 w:val="020B0500000000000000"/>
    <w:charset w:val="80"/>
    <w:family w:val="auto"/>
    <w:pitch w:val="default"/>
    <w:sig w:usb0="E00002FF" w:usb1="2AC7FDFF" w:usb2="00000016" w:usb3="00000000" w:csb0="2002009F" w:csb1="0000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3221188"/>
    </w:sdtPr>
    <w:sdtContent>
      <w:sdt>
        <w:sdtPr>
          <w:id w:val="-1705238520"/>
        </w:sdtPr>
        <w:sdtContent>
          <w:p>
            <w:pPr>
              <w:pStyle w:val="31"/>
              <w:ind w:left="2520" w:leftChars="1200" w:firstLine="1890" w:firstLineChars="1050"/>
            </w:pPr>
            <w:r>
              <w:rPr>
                <w:b/>
                <w:bCs/>
                <w:sz w:val="24"/>
                <w:szCs w:val="24"/>
              </w:rPr>
              <w:fldChar w:fldCharType="begin"/>
            </w:r>
            <w:r>
              <w:rPr>
                <w:b/>
                <w:bCs/>
              </w:rPr>
              <w:instrText xml:space="preserve">PAGE</w:instrText>
            </w:r>
            <w:r>
              <w:rPr>
                <w:b/>
                <w:bCs/>
                <w:sz w:val="24"/>
                <w:szCs w:val="24"/>
              </w:rPr>
              <w:fldChar w:fldCharType="separate"/>
            </w:r>
            <w:r>
              <w:rPr>
                <w:b/>
                <w:bCs/>
              </w:rPr>
              <w:t>15</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39</w:t>
            </w:r>
            <w:r>
              <w:rPr>
                <w:b/>
                <w:bCs/>
                <w:sz w:val="24"/>
                <w:szCs w:val="24"/>
              </w:rPr>
              <w:fldChar w:fldCharType="end"/>
            </w:r>
          </w:p>
        </w:sdtContent>
      </w:sdt>
    </w:sdtContent>
  </w:sdt>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rFonts w:hint="eastAsia"/>
      </w:rPr>
      <w:t>合肥文旅博览集团有限公司招标文件-服务类（适用于综合评分法）                       2023版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86"/>
      <w:lvlText w:val="%1."/>
      <w:lvlJc w:val="left"/>
      <w:pPr>
        <w:tabs>
          <w:tab w:val="left" w:pos="709"/>
        </w:tabs>
        <w:ind w:left="709" w:hanging="709"/>
      </w:pPr>
    </w:lvl>
    <w:lvl w:ilvl="1" w:tentative="0">
      <w:start w:val="1"/>
      <w:numFmt w:val="decimal"/>
      <w:lvlText w:val="%1.%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2E4F3A11"/>
    <w:multiLevelType w:val="multilevel"/>
    <w:tmpl w:val="2E4F3A11"/>
    <w:lvl w:ilvl="0" w:tentative="0">
      <w:start w:val="1"/>
      <w:numFmt w:val="decimal"/>
      <w:pStyle w:val="99"/>
      <w:lvlText w:val="%1"/>
      <w:lvlJc w:val="left"/>
      <w:pPr>
        <w:tabs>
          <w:tab w:val="left" w:pos="425"/>
        </w:tabs>
        <w:ind w:left="425" w:hanging="425"/>
      </w:pPr>
      <w:rPr>
        <w:rFonts w:hint="default" w:ascii="Arial" w:hAnsi="Arial" w:eastAsia="黑体" w:cs="Times New Roman"/>
        <w:b w:val="0"/>
        <w:i w:val="0"/>
        <w:sz w:val="28"/>
        <w:szCs w:val="28"/>
      </w:rPr>
    </w:lvl>
    <w:lvl w:ilvl="1" w:tentative="0">
      <w:start w:val="1"/>
      <w:numFmt w:val="decimal"/>
      <w:pStyle w:val="100"/>
      <w:lvlText w:val="%1.%2"/>
      <w:lvlJc w:val="left"/>
      <w:pPr>
        <w:tabs>
          <w:tab w:val="left" w:pos="992"/>
        </w:tabs>
        <w:ind w:left="992" w:hanging="567"/>
      </w:pPr>
      <w:rPr>
        <w:rFonts w:hint="default" w:ascii="Arial" w:hAnsi="Arial" w:eastAsia="黑体" w:cs="Times New Roman"/>
        <w:b w:val="0"/>
        <w:i w:val="0"/>
        <w:sz w:val="24"/>
        <w:szCs w:val="24"/>
      </w:rPr>
    </w:lvl>
    <w:lvl w:ilvl="2" w:tentative="0">
      <w:start w:val="1"/>
      <w:numFmt w:val="decimal"/>
      <w:pStyle w:val="101"/>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48716ABE"/>
    <w:multiLevelType w:val="multilevel"/>
    <w:tmpl w:val="48716ABE"/>
    <w:lvl w:ilvl="0" w:tentative="0">
      <w:start w:val="1"/>
      <w:numFmt w:val="decimal"/>
      <w:lvlText w:val="%1"/>
      <w:lvlJc w:val="left"/>
      <w:pPr>
        <w:tabs>
          <w:tab w:val="left" w:pos="2502"/>
        </w:tabs>
        <w:ind w:left="2502" w:hanging="432"/>
      </w:pPr>
    </w:lvl>
    <w:lvl w:ilvl="1" w:tentative="0">
      <w:start w:val="1"/>
      <w:numFmt w:val="decimal"/>
      <w:lvlText w:val="%1.%2"/>
      <w:lvlJc w:val="left"/>
      <w:pPr>
        <w:tabs>
          <w:tab w:val="left" w:pos="2646"/>
        </w:tabs>
        <w:ind w:left="2646" w:hanging="576"/>
      </w:pPr>
    </w:lvl>
    <w:lvl w:ilvl="2" w:tentative="0">
      <w:start w:val="1"/>
      <w:numFmt w:val="decimal"/>
      <w:lvlText w:val="%1.%2.%3"/>
      <w:lvlJc w:val="left"/>
      <w:pPr>
        <w:tabs>
          <w:tab w:val="left" w:pos="2790"/>
        </w:tabs>
        <w:ind w:left="2790" w:hanging="720"/>
      </w:pPr>
    </w:lvl>
    <w:lvl w:ilvl="3" w:tentative="0">
      <w:start w:val="1"/>
      <w:numFmt w:val="decimal"/>
      <w:pStyle w:val="88"/>
      <w:lvlText w:val="%1.%2.%3.%4"/>
      <w:lvlJc w:val="left"/>
      <w:pPr>
        <w:tabs>
          <w:tab w:val="left" w:pos="2934"/>
        </w:tabs>
        <w:ind w:left="2934" w:hanging="864"/>
      </w:pPr>
    </w:lvl>
    <w:lvl w:ilvl="4" w:tentative="0">
      <w:start w:val="1"/>
      <w:numFmt w:val="decimal"/>
      <w:lvlText w:val="%1.%2.%3.%4.%5"/>
      <w:lvlJc w:val="left"/>
      <w:pPr>
        <w:tabs>
          <w:tab w:val="left" w:pos="3078"/>
        </w:tabs>
        <w:ind w:left="3078" w:hanging="1008"/>
      </w:pPr>
    </w:lvl>
    <w:lvl w:ilvl="5" w:tentative="0">
      <w:start w:val="1"/>
      <w:numFmt w:val="decimal"/>
      <w:lvlText w:val="%1.%2.%3.%4.%5.%6"/>
      <w:lvlJc w:val="left"/>
      <w:pPr>
        <w:tabs>
          <w:tab w:val="left" w:pos="3222"/>
        </w:tabs>
        <w:ind w:left="3222" w:hanging="1152"/>
      </w:pPr>
    </w:lvl>
    <w:lvl w:ilvl="6" w:tentative="0">
      <w:start w:val="1"/>
      <w:numFmt w:val="decimal"/>
      <w:lvlText w:val="%1.%2.%3.%4.%5.%6.%7"/>
      <w:lvlJc w:val="left"/>
      <w:pPr>
        <w:tabs>
          <w:tab w:val="left" w:pos="3366"/>
        </w:tabs>
        <w:ind w:left="3366" w:hanging="1296"/>
      </w:pPr>
    </w:lvl>
    <w:lvl w:ilvl="7" w:tentative="0">
      <w:start w:val="1"/>
      <w:numFmt w:val="decimal"/>
      <w:lvlText w:val="%1.%2.%3.%4.%5.%6.%7.%8"/>
      <w:lvlJc w:val="left"/>
      <w:pPr>
        <w:tabs>
          <w:tab w:val="left" w:pos="3510"/>
        </w:tabs>
        <w:ind w:left="3510" w:hanging="1440"/>
      </w:pPr>
    </w:lvl>
    <w:lvl w:ilvl="8" w:tentative="0">
      <w:start w:val="1"/>
      <w:numFmt w:val="decimal"/>
      <w:lvlText w:val="%1.%2.%3.%4.%5.%6.%7.%8.%9"/>
      <w:lvlJc w:val="left"/>
      <w:pPr>
        <w:tabs>
          <w:tab w:val="left" w:pos="3654"/>
        </w:tabs>
        <w:ind w:left="365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MTg0ZmY0Y2U0M2NmOTc5MjU5ZDAzZmNkZmI1MTIifQ=="/>
  </w:docVars>
  <w:rsids>
    <w:rsidRoot w:val="008A221B"/>
    <w:rsid w:val="000057BF"/>
    <w:rsid w:val="00051635"/>
    <w:rsid w:val="000673C5"/>
    <w:rsid w:val="00083B45"/>
    <w:rsid w:val="00086D11"/>
    <w:rsid w:val="00090897"/>
    <w:rsid w:val="000A7BC4"/>
    <w:rsid w:val="000B0376"/>
    <w:rsid w:val="000B54C9"/>
    <w:rsid w:val="000D4208"/>
    <w:rsid w:val="000E016D"/>
    <w:rsid w:val="00141878"/>
    <w:rsid w:val="00152110"/>
    <w:rsid w:val="00174627"/>
    <w:rsid w:val="00176FF1"/>
    <w:rsid w:val="00180911"/>
    <w:rsid w:val="00186586"/>
    <w:rsid w:val="00192EF4"/>
    <w:rsid w:val="001B249F"/>
    <w:rsid w:val="001F17AE"/>
    <w:rsid w:val="001F3FFB"/>
    <w:rsid w:val="0023575B"/>
    <w:rsid w:val="00255AA1"/>
    <w:rsid w:val="00260674"/>
    <w:rsid w:val="00262743"/>
    <w:rsid w:val="003107BD"/>
    <w:rsid w:val="003350B8"/>
    <w:rsid w:val="00336169"/>
    <w:rsid w:val="00336636"/>
    <w:rsid w:val="00336C2D"/>
    <w:rsid w:val="00352593"/>
    <w:rsid w:val="00352C3C"/>
    <w:rsid w:val="00371100"/>
    <w:rsid w:val="003A28A2"/>
    <w:rsid w:val="003A7096"/>
    <w:rsid w:val="003B7208"/>
    <w:rsid w:val="003E4AD0"/>
    <w:rsid w:val="00416406"/>
    <w:rsid w:val="00420B5F"/>
    <w:rsid w:val="00421D5F"/>
    <w:rsid w:val="0044263E"/>
    <w:rsid w:val="00460BD0"/>
    <w:rsid w:val="0046133E"/>
    <w:rsid w:val="0046408A"/>
    <w:rsid w:val="004670F6"/>
    <w:rsid w:val="00467709"/>
    <w:rsid w:val="00475121"/>
    <w:rsid w:val="00475C2A"/>
    <w:rsid w:val="00482A3B"/>
    <w:rsid w:val="004A1BBD"/>
    <w:rsid w:val="004C46DC"/>
    <w:rsid w:val="004C4FD8"/>
    <w:rsid w:val="004C6D9E"/>
    <w:rsid w:val="004E58D9"/>
    <w:rsid w:val="004F0C17"/>
    <w:rsid w:val="0050128E"/>
    <w:rsid w:val="005027D4"/>
    <w:rsid w:val="0050399F"/>
    <w:rsid w:val="005040CF"/>
    <w:rsid w:val="00512E66"/>
    <w:rsid w:val="00513942"/>
    <w:rsid w:val="00526B74"/>
    <w:rsid w:val="00526BFB"/>
    <w:rsid w:val="005367E7"/>
    <w:rsid w:val="00561F07"/>
    <w:rsid w:val="00570621"/>
    <w:rsid w:val="00574DAC"/>
    <w:rsid w:val="00580DF0"/>
    <w:rsid w:val="00581319"/>
    <w:rsid w:val="00581DEF"/>
    <w:rsid w:val="00582501"/>
    <w:rsid w:val="00590930"/>
    <w:rsid w:val="00593C97"/>
    <w:rsid w:val="00594DFE"/>
    <w:rsid w:val="00596BCB"/>
    <w:rsid w:val="005B0BAA"/>
    <w:rsid w:val="005B1724"/>
    <w:rsid w:val="005C1AB7"/>
    <w:rsid w:val="005D18A2"/>
    <w:rsid w:val="005E1272"/>
    <w:rsid w:val="005E2CE1"/>
    <w:rsid w:val="005F3B8F"/>
    <w:rsid w:val="00604EE7"/>
    <w:rsid w:val="00630680"/>
    <w:rsid w:val="0063504F"/>
    <w:rsid w:val="0065117D"/>
    <w:rsid w:val="0065288C"/>
    <w:rsid w:val="00667B80"/>
    <w:rsid w:val="00672D24"/>
    <w:rsid w:val="00685FE8"/>
    <w:rsid w:val="00686627"/>
    <w:rsid w:val="006A109B"/>
    <w:rsid w:val="006A6290"/>
    <w:rsid w:val="006B4A22"/>
    <w:rsid w:val="006C12DA"/>
    <w:rsid w:val="006D30B2"/>
    <w:rsid w:val="006F321B"/>
    <w:rsid w:val="00713165"/>
    <w:rsid w:val="00716B7A"/>
    <w:rsid w:val="00731D8E"/>
    <w:rsid w:val="00734295"/>
    <w:rsid w:val="00743360"/>
    <w:rsid w:val="00743460"/>
    <w:rsid w:val="00764223"/>
    <w:rsid w:val="00771740"/>
    <w:rsid w:val="007844FE"/>
    <w:rsid w:val="007935E1"/>
    <w:rsid w:val="007B0AD5"/>
    <w:rsid w:val="007B1C1E"/>
    <w:rsid w:val="007C6DDD"/>
    <w:rsid w:val="007D0E54"/>
    <w:rsid w:val="00804F38"/>
    <w:rsid w:val="00810791"/>
    <w:rsid w:val="008204EF"/>
    <w:rsid w:val="00871732"/>
    <w:rsid w:val="00871847"/>
    <w:rsid w:val="00874429"/>
    <w:rsid w:val="00894A45"/>
    <w:rsid w:val="008951C9"/>
    <w:rsid w:val="008A181E"/>
    <w:rsid w:val="008A221B"/>
    <w:rsid w:val="008E53FF"/>
    <w:rsid w:val="00907795"/>
    <w:rsid w:val="00926978"/>
    <w:rsid w:val="00932B0E"/>
    <w:rsid w:val="00954F3C"/>
    <w:rsid w:val="00962FA7"/>
    <w:rsid w:val="00992FB4"/>
    <w:rsid w:val="009B4DD7"/>
    <w:rsid w:val="009C7237"/>
    <w:rsid w:val="009D1530"/>
    <w:rsid w:val="009E5BFA"/>
    <w:rsid w:val="009E6AB7"/>
    <w:rsid w:val="00A01E33"/>
    <w:rsid w:val="00A10237"/>
    <w:rsid w:val="00A21085"/>
    <w:rsid w:val="00A2138F"/>
    <w:rsid w:val="00A25497"/>
    <w:rsid w:val="00A52DB7"/>
    <w:rsid w:val="00AA243F"/>
    <w:rsid w:val="00AA4246"/>
    <w:rsid w:val="00AB0415"/>
    <w:rsid w:val="00AD7A03"/>
    <w:rsid w:val="00AD7B98"/>
    <w:rsid w:val="00B34810"/>
    <w:rsid w:val="00B46386"/>
    <w:rsid w:val="00B766EC"/>
    <w:rsid w:val="00B80988"/>
    <w:rsid w:val="00B83673"/>
    <w:rsid w:val="00B8456E"/>
    <w:rsid w:val="00BA4666"/>
    <w:rsid w:val="00BB513F"/>
    <w:rsid w:val="00BB5709"/>
    <w:rsid w:val="00BB7378"/>
    <w:rsid w:val="00BE72D3"/>
    <w:rsid w:val="00BF4A13"/>
    <w:rsid w:val="00C01590"/>
    <w:rsid w:val="00C058E0"/>
    <w:rsid w:val="00C07947"/>
    <w:rsid w:val="00C33C6E"/>
    <w:rsid w:val="00C42B3B"/>
    <w:rsid w:val="00C61528"/>
    <w:rsid w:val="00C64562"/>
    <w:rsid w:val="00C670E0"/>
    <w:rsid w:val="00C748DF"/>
    <w:rsid w:val="00C8654D"/>
    <w:rsid w:val="00CA6247"/>
    <w:rsid w:val="00CA68C4"/>
    <w:rsid w:val="00CC12AD"/>
    <w:rsid w:val="00CF3922"/>
    <w:rsid w:val="00D05551"/>
    <w:rsid w:val="00D13E0B"/>
    <w:rsid w:val="00D208A3"/>
    <w:rsid w:val="00D3155B"/>
    <w:rsid w:val="00D375F6"/>
    <w:rsid w:val="00D40886"/>
    <w:rsid w:val="00D43943"/>
    <w:rsid w:val="00D51330"/>
    <w:rsid w:val="00D856ED"/>
    <w:rsid w:val="00D93812"/>
    <w:rsid w:val="00D962F9"/>
    <w:rsid w:val="00DA2C67"/>
    <w:rsid w:val="00DB286E"/>
    <w:rsid w:val="00DC1CCE"/>
    <w:rsid w:val="00DC6ED0"/>
    <w:rsid w:val="00DF1D5D"/>
    <w:rsid w:val="00DF2D16"/>
    <w:rsid w:val="00DF3CF5"/>
    <w:rsid w:val="00E40E8A"/>
    <w:rsid w:val="00E46030"/>
    <w:rsid w:val="00E53423"/>
    <w:rsid w:val="00E5628E"/>
    <w:rsid w:val="00E67C3D"/>
    <w:rsid w:val="00E720C6"/>
    <w:rsid w:val="00E770AB"/>
    <w:rsid w:val="00E92912"/>
    <w:rsid w:val="00EB0C0F"/>
    <w:rsid w:val="00EF464B"/>
    <w:rsid w:val="00EF6607"/>
    <w:rsid w:val="00F02DF2"/>
    <w:rsid w:val="00F31DB8"/>
    <w:rsid w:val="00F52D2E"/>
    <w:rsid w:val="00F55430"/>
    <w:rsid w:val="00F6432D"/>
    <w:rsid w:val="00F72F2C"/>
    <w:rsid w:val="00F82C91"/>
    <w:rsid w:val="00FA120A"/>
    <w:rsid w:val="00FB0042"/>
    <w:rsid w:val="00FD02D4"/>
    <w:rsid w:val="00FD1758"/>
    <w:rsid w:val="00FF0C4A"/>
    <w:rsid w:val="00FF3D49"/>
    <w:rsid w:val="029A7015"/>
    <w:rsid w:val="04456266"/>
    <w:rsid w:val="050E77A0"/>
    <w:rsid w:val="069F2D1D"/>
    <w:rsid w:val="06A94433"/>
    <w:rsid w:val="0A1D4C4A"/>
    <w:rsid w:val="0CF51657"/>
    <w:rsid w:val="0DEE7B0C"/>
    <w:rsid w:val="0F622820"/>
    <w:rsid w:val="109D17AA"/>
    <w:rsid w:val="10A14638"/>
    <w:rsid w:val="115A31D4"/>
    <w:rsid w:val="123E3D5D"/>
    <w:rsid w:val="124D02B1"/>
    <w:rsid w:val="169A6641"/>
    <w:rsid w:val="16B514D4"/>
    <w:rsid w:val="19253C05"/>
    <w:rsid w:val="19FA064C"/>
    <w:rsid w:val="1BAF2588"/>
    <w:rsid w:val="1EA05C0F"/>
    <w:rsid w:val="1EB84E05"/>
    <w:rsid w:val="22824F5E"/>
    <w:rsid w:val="26100E76"/>
    <w:rsid w:val="26772B46"/>
    <w:rsid w:val="27280C17"/>
    <w:rsid w:val="2B1649FE"/>
    <w:rsid w:val="2CA15945"/>
    <w:rsid w:val="31AA1332"/>
    <w:rsid w:val="35681F6A"/>
    <w:rsid w:val="35A95B27"/>
    <w:rsid w:val="38857540"/>
    <w:rsid w:val="39E42D8F"/>
    <w:rsid w:val="39EE5B8C"/>
    <w:rsid w:val="39FD1AAB"/>
    <w:rsid w:val="3B070E17"/>
    <w:rsid w:val="3E586270"/>
    <w:rsid w:val="43F51BB8"/>
    <w:rsid w:val="45213CF3"/>
    <w:rsid w:val="496B34A9"/>
    <w:rsid w:val="4A6C4E0D"/>
    <w:rsid w:val="4EBD26D7"/>
    <w:rsid w:val="4EDF1E92"/>
    <w:rsid w:val="509E5922"/>
    <w:rsid w:val="54BC5F16"/>
    <w:rsid w:val="562C044C"/>
    <w:rsid w:val="5A21612A"/>
    <w:rsid w:val="5AA56412"/>
    <w:rsid w:val="5B7F3708"/>
    <w:rsid w:val="5C251C70"/>
    <w:rsid w:val="5C64226D"/>
    <w:rsid w:val="5C7F3D8B"/>
    <w:rsid w:val="5E8050CA"/>
    <w:rsid w:val="5F436414"/>
    <w:rsid w:val="603C29D1"/>
    <w:rsid w:val="60CA3A65"/>
    <w:rsid w:val="619F03FC"/>
    <w:rsid w:val="640C02E7"/>
    <w:rsid w:val="65744734"/>
    <w:rsid w:val="65FE2536"/>
    <w:rsid w:val="66D546A6"/>
    <w:rsid w:val="67811F57"/>
    <w:rsid w:val="68D206C9"/>
    <w:rsid w:val="6A94006A"/>
    <w:rsid w:val="6D8A5754"/>
    <w:rsid w:val="717706D6"/>
    <w:rsid w:val="7198486E"/>
    <w:rsid w:val="75503FEC"/>
    <w:rsid w:val="77B646CA"/>
    <w:rsid w:val="79636B4B"/>
    <w:rsid w:val="7AE46D4D"/>
    <w:rsid w:val="7BC731BE"/>
    <w:rsid w:val="7EA061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name="heading 2"/>
    <w:lsdException w:qFormat="1" w:uiPriority="0" w:semiHidden="0" w:name="heading 3"/>
    <w:lsdException w:qFormat="1" w:uiPriority="0" w:name="heading 4"/>
    <w:lsdException w:qFormat="1" w:uiPriority="0" w:name="heading 5"/>
    <w:lsdException w:qFormat="1" w:uiPriority="0" w:name="heading 6"/>
    <w:lsdException w:qFormat="1" w:uiPriority="99" w:name="heading 7"/>
    <w:lsdException w:qFormat="1" w:uiPriority="9" w:name="heading 8"/>
    <w:lsdException w:qFormat="1" w:uiPriority="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iPriority="39" w:name="toc 1"/>
    <w:lsdException w:qFormat="1" w:uiPriority="39" w:semiHidden="0" w:name="toc 2"/>
    <w:lsdException w:qFormat="1" w:uiPriority="39" w:semiHidden="0" w:name="toc 3"/>
    <w:lsdException w:qFormat="1" w:uiPriority="99" w:name="toc 4"/>
    <w:lsdException w:qFormat="1" w:uiPriority="99" w:name="toc 5"/>
    <w:lsdException w:qFormat="1" w:uiPriority="99" w:name="toc 6"/>
    <w:lsdException w:qFormat="1" w:uiPriority="99" w:name="toc 7"/>
    <w:lsdException w:qFormat="1" w:uiPriority="99" w:name="toc 8"/>
    <w:lsdException w:qFormat="1" w:uiPriority="9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qFormat="1" w:uiPriority="99" w:name="index heading"/>
    <w:lsdException w:qFormat="1" w:uiPriority="35" w:name="caption"/>
    <w:lsdException w:uiPriority="99" w:name="table of figures"/>
    <w:lsdException w:uiPriority="99" w:name="envelope address"/>
    <w:lsdException w:qFormat="1"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iPriority="99" w:name="table of authorities"/>
    <w:lsdException w:uiPriority="99" w:name="macro"/>
    <w:lsdException w:qFormat="1"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semiHidden="0" w:name="Body Text First Indent 2"/>
    <w:lsdException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13"/>
    <w:qFormat/>
    <w:uiPriority w:val="99"/>
    <w:pPr>
      <w:keepNext/>
      <w:keepLines/>
      <w:spacing w:before="340" w:after="330" w:line="576" w:lineRule="auto"/>
      <w:outlineLvl w:val="0"/>
    </w:pPr>
    <w:rPr>
      <w:b/>
      <w:bCs/>
      <w:kern w:val="44"/>
      <w:sz w:val="30"/>
      <w:szCs w:val="44"/>
    </w:rPr>
  </w:style>
  <w:style w:type="paragraph" w:styleId="3">
    <w:name w:val="heading 2"/>
    <w:basedOn w:val="1"/>
    <w:next w:val="1"/>
    <w:link w:val="114"/>
    <w:semiHidden/>
    <w:unhideWhenUsed/>
    <w:qFormat/>
    <w:uiPriority w:val="99"/>
    <w:pPr>
      <w:keepNext/>
      <w:keepLines/>
      <w:spacing w:before="260" w:after="260" w:line="415" w:lineRule="auto"/>
      <w:ind w:firstLine="628"/>
      <w:jc w:val="center"/>
      <w:outlineLvl w:val="1"/>
    </w:pPr>
    <w:rPr>
      <w:rFonts w:ascii="Arial" w:hAnsi="Arial" w:eastAsia="黑体"/>
      <w:b/>
      <w:bCs/>
      <w:sz w:val="32"/>
      <w:szCs w:val="32"/>
    </w:rPr>
  </w:style>
  <w:style w:type="paragraph" w:styleId="4">
    <w:name w:val="heading 3"/>
    <w:basedOn w:val="1"/>
    <w:next w:val="1"/>
    <w:link w:val="115"/>
    <w:unhideWhenUsed/>
    <w:qFormat/>
    <w:uiPriority w:val="0"/>
    <w:pPr>
      <w:keepNext/>
      <w:keepLines/>
      <w:spacing w:before="260" w:after="260" w:line="415" w:lineRule="auto"/>
      <w:jc w:val="center"/>
      <w:outlineLvl w:val="2"/>
    </w:pPr>
    <w:rPr>
      <w:rFonts w:ascii="宋体" w:cs="宋体"/>
      <w:b/>
      <w:bCs/>
      <w:sz w:val="32"/>
      <w:szCs w:val="32"/>
    </w:rPr>
  </w:style>
  <w:style w:type="paragraph" w:styleId="5">
    <w:name w:val="heading 4"/>
    <w:basedOn w:val="1"/>
    <w:next w:val="1"/>
    <w:link w:val="116"/>
    <w:semiHidden/>
    <w:unhideWhenUsed/>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117"/>
    <w:semiHidden/>
    <w:unhideWhenUsed/>
    <w:qFormat/>
    <w:uiPriority w:val="0"/>
    <w:pPr>
      <w:keepNext/>
      <w:outlineLvl w:val="4"/>
    </w:pPr>
    <w:rPr>
      <w:rFonts w:ascii="宋体" w:hAnsi="Arial" w:cs="宋体"/>
      <w:bCs/>
      <w:sz w:val="28"/>
      <w:szCs w:val="20"/>
    </w:rPr>
  </w:style>
  <w:style w:type="paragraph" w:styleId="7">
    <w:name w:val="heading 6"/>
    <w:basedOn w:val="1"/>
    <w:next w:val="1"/>
    <w:link w:val="118"/>
    <w:semiHidden/>
    <w:unhideWhenUsed/>
    <w:qFormat/>
    <w:uiPriority w:val="0"/>
    <w:pPr>
      <w:keepNext/>
      <w:autoSpaceDE w:val="0"/>
      <w:autoSpaceDN w:val="0"/>
      <w:adjustRightInd w:val="0"/>
      <w:spacing w:beforeLines="50" w:afterLines="50" w:line="300" w:lineRule="exact"/>
      <w:jc w:val="center"/>
      <w:outlineLvl w:val="5"/>
    </w:pPr>
    <w:rPr>
      <w:rFonts w:ascii="宋体" w:hAnsi="宋体" w:cs="宋体"/>
      <w:kern w:val="0"/>
      <w:sz w:val="28"/>
      <w:szCs w:val="20"/>
    </w:rPr>
  </w:style>
  <w:style w:type="paragraph" w:styleId="8">
    <w:name w:val="heading 7"/>
    <w:basedOn w:val="1"/>
    <w:next w:val="1"/>
    <w:link w:val="119"/>
    <w:semiHidden/>
    <w:unhideWhenUsed/>
    <w:qFormat/>
    <w:uiPriority w:val="99"/>
    <w:pPr>
      <w:keepNext/>
      <w:keepLines/>
      <w:spacing w:before="240" w:after="64" w:line="319" w:lineRule="auto"/>
      <w:ind w:right="-24" w:rightChars="-10" w:firstLine="464" w:firstLineChars="225"/>
      <w:jc w:val="left"/>
      <w:outlineLvl w:val="6"/>
    </w:pPr>
    <w:rPr>
      <w:rFonts w:ascii="Arial" w:hAnsi="Arial" w:eastAsia="仿宋_GB2312"/>
      <w:b/>
      <w:bCs/>
      <w:spacing w:val="-4"/>
      <w:sz w:val="24"/>
      <w:szCs w:val="24"/>
    </w:r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styleId="9">
    <w:name w:val="toc 7"/>
    <w:basedOn w:val="1"/>
    <w:next w:val="1"/>
    <w:semiHidden/>
    <w:unhideWhenUsed/>
    <w:qFormat/>
    <w:uiPriority w:val="99"/>
    <w:pPr>
      <w:ind w:left="1260"/>
      <w:jc w:val="left"/>
    </w:pPr>
    <w:rPr>
      <w:szCs w:val="21"/>
    </w:rPr>
  </w:style>
  <w:style w:type="paragraph" w:styleId="10">
    <w:name w:val="table of authorities"/>
    <w:basedOn w:val="1"/>
    <w:next w:val="1"/>
    <w:semiHidden/>
    <w:unhideWhenUsed/>
    <w:qFormat/>
    <w:uiPriority w:val="99"/>
    <w:pPr>
      <w:ind w:left="420" w:leftChars="200"/>
    </w:pPr>
    <w:rPr>
      <w:szCs w:val="20"/>
    </w:rPr>
  </w:style>
  <w:style w:type="paragraph" w:styleId="11">
    <w:name w:val="index 8"/>
    <w:basedOn w:val="1"/>
    <w:next w:val="1"/>
    <w:semiHidden/>
    <w:unhideWhenUsed/>
    <w:qFormat/>
    <w:uiPriority w:val="99"/>
    <w:pPr>
      <w:ind w:left="1400" w:leftChars="1400"/>
    </w:pPr>
    <w:rPr>
      <w:szCs w:val="20"/>
    </w:rPr>
  </w:style>
  <w:style w:type="paragraph" w:styleId="12">
    <w:name w:val="Normal Indent"/>
    <w:basedOn w:val="1"/>
    <w:next w:val="1"/>
    <w:semiHidden/>
    <w:unhideWhenUsed/>
    <w:qFormat/>
    <w:uiPriority w:val="99"/>
    <w:pPr>
      <w:ind w:firstLine="420" w:firstLineChars="200"/>
    </w:pPr>
    <w:rPr>
      <w:rFonts w:ascii="Calibri" w:hAnsi="Calibri"/>
      <w:szCs w:val="24"/>
    </w:rPr>
  </w:style>
  <w:style w:type="paragraph" w:styleId="13">
    <w:name w:val="index 5"/>
    <w:basedOn w:val="1"/>
    <w:next w:val="1"/>
    <w:semiHidden/>
    <w:unhideWhenUsed/>
    <w:qFormat/>
    <w:uiPriority w:val="99"/>
    <w:pPr>
      <w:ind w:left="800" w:leftChars="800"/>
    </w:pPr>
    <w:rPr>
      <w:szCs w:val="20"/>
    </w:rPr>
  </w:style>
  <w:style w:type="paragraph" w:styleId="14">
    <w:name w:val="Document Map"/>
    <w:basedOn w:val="1"/>
    <w:link w:val="120"/>
    <w:semiHidden/>
    <w:unhideWhenUsed/>
    <w:qFormat/>
    <w:uiPriority w:val="99"/>
    <w:pPr>
      <w:shd w:val="clear" w:color="auto" w:fill="000080"/>
    </w:pPr>
    <w:rPr>
      <w:szCs w:val="20"/>
    </w:rPr>
  </w:style>
  <w:style w:type="paragraph" w:styleId="15">
    <w:name w:val="toa heading"/>
    <w:basedOn w:val="1"/>
    <w:next w:val="1"/>
    <w:semiHidden/>
    <w:unhideWhenUsed/>
    <w:qFormat/>
    <w:uiPriority w:val="99"/>
    <w:pPr>
      <w:spacing w:before="120"/>
    </w:pPr>
    <w:rPr>
      <w:rFonts w:ascii="Arial" w:hAnsi="Arial"/>
      <w:b/>
      <w:bCs/>
      <w:szCs w:val="24"/>
    </w:rPr>
  </w:style>
  <w:style w:type="paragraph" w:styleId="16">
    <w:name w:val="annotation text"/>
    <w:basedOn w:val="1"/>
    <w:link w:val="121"/>
    <w:semiHidden/>
    <w:unhideWhenUsed/>
    <w:qFormat/>
    <w:uiPriority w:val="99"/>
    <w:pPr>
      <w:jc w:val="left"/>
    </w:pPr>
    <w:rPr>
      <w:szCs w:val="20"/>
    </w:rPr>
  </w:style>
  <w:style w:type="paragraph" w:styleId="17">
    <w:name w:val="index 6"/>
    <w:basedOn w:val="1"/>
    <w:next w:val="1"/>
    <w:semiHidden/>
    <w:unhideWhenUsed/>
    <w:qFormat/>
    <w:uiPriority w:val="99"/>
    <w:pPr>
      <w:ind w:left="1000" w:leftChars="1000"/>
    </w:pPr>
    <w:rPr>
      <w:szCs w:val="20"/>
    </w:rPr>
  </w:style>
  <w:style w:type="paragraph" w:styleId="18">
    <w:name w:val="Body Text 3"/>
    <w:basedOn w:val="1"/>
    <w:link w:val="122"/>
    <w:semiHidden/>
    <w:unhideWhenUsed/>
    <w:qFormat/>
    <w:uiPriority w:val="99"/>
    <w:rPr>
      <w:rFonts w:ascii="黑体" w:hAnsi="Arial" w:eastAsia="黑体"/>
      <w:b/>
      <w:sz w:val="28"/>
      <w:szCs w:val="20"/>
    </w:rPr>
  </w:style>
  <w:style w:type="paragraph" w:styleId="19">
    <w:name w:val="Body Text"/>
    <w:basedOn w:val="1"/>
    <w:link w:val="123"/>
    <w:unhideWhenUsed/>
    <w:qFormat/>
    <w:uiPriority w:val="0"/>
    <w:rPr>
      <w:rFonts w:ascii="宋体" w:hAnsi="Arial"/>
      <w:sz w:val="28"/>
      <w:szCs w:val="20"/>
    </w:rPr>
  </w:style>
  <w:style w:type="paragraph" w:styleId="20">
    <w:name w:val="Body Text Indent"/>
    <w:basedOn w:val="1"/>
    <w:link w:val="68"/>
    <w:semiHidden/>
    <w:unhideWhenUsed/>
    <w:qFormat/>
    <w:uiPriority w:val="99"/>
    <w:pPr>
      <w:spacing w:after="120"/>
      <w:ind w:left="420" w:leftChars="200"/>
    </w:pPr>
  </w:style>
  <w:style w:type="paragraph" w:styleId="21">
    <w:name w:val="Block Text"/>
    <w:basedOn w:val="1"/>
    <w:semiHidden/>
    <w:unhideWhenUsed/>
    <w:qFormat/>
    <w:uiPriority w:val="99"/>
    <w:pPr>
      <w:spacing w:after="156"/>
    </w:pPr>
    <w:rPr>
      <w:rFonts w:ascii="宋体"/>
    </w:rPr>
  </w:style>
  <w:style w:type="paragraph" w:styleId="22">
    <w:name w:val="index 4"/>
    <w:basedOn w:val="1"/>
    <w:next w:val="1"/>
    <w:semiHidden/>
    <w:unhideWhenUsed/>
    <w:qFormat/>
    <w:uiPriority w:val="99"/>
    <w:pPr>
      <w:ind w:left="600" w:leftChars="600"/>
    </w:pPr>
    <w:rPr>
      <w:szCs w:val="20"/>
    </w:rPr>
  </w:style>
  <w:style w:type="paragraph" w:styleId="23">
    <w:name w:val="toc 5"/>
    <w:basedOn w:val="1"/>
    <w:next w:val="1"/>
    <w:semiHidden/>
    <w:unhideWhenUsed/>
    <w:qFormat/>
    <w:uiPriority w:val="99"/>
    <w:pPr>
      <w:ind w:left="840"/>
      <w:jc w:val="left"/>
    </w:pPr>
    <w:rPr>
      <w:szCs w:val="21"/>
    </w:rPr>
  </w:style>
  <w:style w:type="paragraph" w:styleId="24">
    <w:name w:val="toc 3"/>
    <w:basedOn w:val="1"/>
    <w:next w:val="1"/>
    <w:unhideWhenUsed/>
    <w:qFormat/>
    <w:uiPriority w:val="39"/>
    <w:pPr>
      <w:tabs>
        <w:tab w:val="right" w:leader="dot" w:pos="9403"/>
      </w:tabs>
      <w:spacing w:line="380" w:lineRule="exact"/>
      <w:ind w:left="420"/>
      <w:jc w:val="left"/>
    </w:pPr>
    <w:rPr>
      <w:i/>
      <w:iCs/>
      <w:szCs w:val="24"/>
    </w:rPr>
  </w:style>
  <w:style w:type="paragraph" w:styleId="25">
    <w:name w:val="Plain Text"/>
    <w:basedOn w:val="1"/>
    <w:link w:val="124"/>
    <w:unhideWhenUsed/>
    <w:qFormat/>
    <w:uiPriority w:val="0"/>
    <w:rPr>
      <w:rFonts w:ascii="宋体" w:hAnsi="Courier New"/>
      <w:szCs w:val="20"/>
    </w:rPr>
  </w:style>
  <w:style w:type="paragraph" w:styleId="26">
    <w:name w:val="toc 8"/>
    <w:basedOn w:val="1"/>
    <w:next w:val="1"/>
    <w:semiHidden/>
    <w:unhideWhenUsed/>
    <w:qFormat/>
    <w:uiPriority w:val="99"/>
    <w:pPr>
      <w:ind w:left="1470"/>
      <w:jc w:val="left"/>
    </w:pPr>
    <w:rPr>
      <w:szCs w:val="21"/>
    </w:rPr>
  </w:style>
  <w:style w:type="paragraph" w:styleId="27">
    <w:name w:val="index 3"/>
    <w:basedOn w:val="1"/>
    <w:next w:val="1"/>
    <w:semiHidden/>
    <w:unhideWhenUsed/>
    <w:qFormat/>
    <w:uiPriority w:val="99"/>
    <w:pPr>
      <w:ind w:left="400" w:leftChars="400"/>
    </w:pPr>
    <w:rPr>
      <w:szCs w:val="20"/>
    </w:rPr>
  </w:style>
  <w:style w:type="paragraph" w:styleId="28">
    <w:name w:val="Date"/>
    <w:basedOn w:val="1"/>
    <w:next w:val="1"/>
    <w:link w:val="125"/>
    <w:semiHidden/>
    <w:unhideWhenUsed/>
    <w:qFormat/>
    <w:uiPriority w:val="99"/>
    <w:rPr>
      <w:b/>
      <w:sz w:val="28"/>
      <w:szCs w:val="20"/>
    </w:rPr>
  </w:style>
  <w:style w:type="paragraph" w:styleId="29">
    <w:name w:val="Body Text Indent 2"/>
    <w:basedOn w:val="1"/>
    <w:link w:val="126"/>
    <w:semiHidden/>
    <w:unhideWhenUsed/>
    <w:qFormat/>
    <w:uiPriority w:val="99"/>
    <w:pPr>
      <w:ind w:left="630" w:firstLine="645"/>
    </w:pPr>
    <w:rPr>
      <w:rFonts w:ascii="Arial" w:hAnsi="Arial" w:eastAsia="仿宋_GB2312"/>
      <w:sz w:val="32"/>
      <w:szCs w:val="20"/>
    </w:rPr>
  </w:style>
  <w:style w:type="paragraph" w:styleId="30">
    <w:name w:val="Balloon Text"/>
    <w:basedOn w:val="1"/>
    <w:link w:val="127"/>
    <w:semiHidden/>
    <w:unhideWhenUsed/>
    <w:qFormat/>
    <w:uiPriority w:val="99"/>
    <w:rPr>
      <w:sz w:val="18"/>
      <w:szCs w:val="18"/>
    </w:rPr>
  </w:style>
  <w:style w:type="paragraph" w:styleId="31">
    <w:name w:val="footer"/>
    <w:basedOn w:val="1"/>
    <w:link w:val="60"/>
    <w:unhideWhenUsed/>
    <w:qFormat/>
    <w:uiPriority w:val="99"/>
    <w:pPr>
      <w:tabs>
        <w:tab w:val="center" w:pos="4153"/>
        <w:tab w:val="right" w:pos="8306"/>
      </w:tabs>
      <w:snapToGrid w:val="0"/>
      <w:jc w:val="left"/>
    </w:pPr>
    <w:rPr>
      <w:sz w:val="18"/>
      <w:szCs w:val="18"/>
    </w:rPr>
  </w:style>
  <w:style w:type="paragraph" w:styleId="32">
    <w:name w:val="envelope return"/>
    <w:basedOn w:val="1"/>
    <w:semiHidden/>
    <w:unhideWhenUsed/>
    <w:qFormat/>
    <w:uiPriority w:val="99"/>
    <w:pPr>
      <w:snapToGrid w:val="0"/>
    </w:pPr>
    <w:rPr>
      <w:rFonts w:ascii="Arial" w:hAnsi="Arial"/>
    </w:rPr>
  </w:style>
  <w:style w:type="paragraph" w:styleId="33">
    <w:name w:val="header"/>
    <w:basedOn w:val="1"/>
    <w:link w:val="59"/>
    <w:unhideWhenUsed/>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semiHidden/>
    <w:unhideWhenUsed/>
    <w:qFormat/>
    <w:uiPriority w:val="39"/>
    <w:pPr>
      <w:spacing w:before="120" w:after="120"/>
      <w:jc w:val="left"/>
    </w:pPr>
    <w:rPr>
      <w:caps/>
      <w:szCs w:val="24"/>
    </w:rPr>
  </w:style>
  <w:style w:type="paragraph" w:styleId="35">
    <w:name w:val="toc 4"/>
    <w:basedOn w:val="1"/>
    <w:next w:val="1"/>
    <w:semiHidden/>
    <w:unhideWhenUsed/>
    <w:qFormat/>
    <w:uiPriority w:val="99"/>
    <w:pPr>
      <w:ind w:left="630"/>
      <w:jc w:val="left"/>
    </w:pPr>
    <w:rPr>
      <w:szCs w:val="21"/>
    </w:rPr>
  </w:style>
  <w:style w:type="paragraph" w:styleId="36">
    <w:name w:val="index heading"/>
    <w:basedOn w:val="1"/>
    <w:next w:val="37"/>
    <w:semiHidden/>
    <w:unhideWhenUsed/>
    <w:qFormat/>
    <w:uiPriority w:val="99"/>
    <w:rPr>
      <w:szCs w:val="20"/>
    </w:rPr>
  </w:style>
  <w:style w:type="paragraph" w:styleId="37">
    <w:name w:val="index 1"/>
    <w:basedOn w:val="1"/>
    <w:next w:val="1"/>
    <w:semiHidden/>
    <w:unhideWhenUsed/>
    <w:qFormat/>
    <w:uiPriority w:val="99"/>
  </w:style>
  <w:style w:type="paragraph" w:styleId="38">
    <w:name w:val="toc 6"/>
    <w:basedOn w:val="1"/>
    <w:next w:val="1"/>
    <w:semiHidden/>
    <w:unhideWhenUsed/>
    <w:qFormat/>
    <w:uiPriority w:val="99"/>
    <w:pPr>
      <w:ind w:left="1050"/>
      <w:jc w:val="left"/>
    </w:pPr>
    <w:rPr>
      <w:szCs w:val="21"/>
    </w:rPr>
  </w:style>
  <w:style w:type="paragraph" w:styleId="39">
    <w:name w:val="Body Text Indent 3"/>
    <w:basedOn w:val="1"/>
    <w:link w:val="130"/>
    <w:semiHidden/>
    <w:unhideWhenUsed/>
    <w:qFormat/>
    <w:uiPriority w:val="99"/>
    <w:pPr>
      <w:ind w:firstLine="645"/>
    </w:pPr>
    <w:rPr>
      <w:rFonts w:ascii="仿宋_GB2312" w:hAnsi="Arial" w:eastAsia="仿宋_GB2312"/>
      <w:color w:val="000000"/>
      <w:sz w:val="30"/>
      <w:szCs w:val="20"/>
    </w:rPr>
  </w:style>
  <w:style w:type="paragraph" w:styleId="40">
    <w:name w:val="index 7"/>
    <w:basedOn w:val="1"/>
    <w:next w:val="1"/>
    <w:semiHidden/>
    <w:unhideWhenUsed/>
    <w:qFormat/>
    <w:uiPriority w:val="99"/>
    <w:pPr>
      <w:ind w:left="1200" w:leftChars="1200"/>
    </w:pPr>
    <w:rPr>
      <w:szCs w:val="20"/>
    </w:rPr>
  </w:style>
  <w:style w:type="paragraph" w:styleId="41">
    <w:name w:val="index 9"/>
    <w:basedOn w:val="1"/>
    <w:next w:val="1"/>
    <w:semiHidden/>
    <w:unhideWhenUsed/>
    <w:qFormat/>
    <w:uiPriority w:val="99"/>
    <w:pPr>
      <w:ind w:left="1600" w:leftChars="1600"/>
    </w:pPr>
    <w:rPr>
      <w:szCs w:val="20"/>
    </w:rPr>
  </w:style>
  <w:style w:type="paragraph" w:styleId="42">
    <w:name w:val="toc 2"/>
    <w:basedOn w:val="1"/>
    <w:next w:val="1"/>
    <w:unhideWhenUsed/>
    <w:qFormat/>
    <w:uiPriority w:val="39"/>
    <w:pPr>
      <w:tabs>
        <w:tab w:val="right" w:leader="dot" w:pos="9403"/>
      </w:tabs>
      <w:ind w:left="210"/>
      <w:jc w:val="left"/>
    </w:pPr>
    <w:rPr>
      <w:smallCaps/>
      <w:sz w:val="28"/>
      <w:szCs w:val="24"/>
    </w:rPr>
  </w:style>
  <w:style w:type="paragraph" w:styleId="43">
    <w:name w:val="toc 9"/>
    <w:basedOn w:val="1"/>
    <w:next w:val="1"/>
    <w:semiHidden/>
    <w:unhideWhenUsed/>
    <w:qFormat/>
    <w:uiPriority w:val="99"/>
    <w:pPr>
      <w:ind w:left="1680"/>
      <w:jc w:val="left"/>
    </w:pPr>
    <w:rPr>
      <w:szCs w:val="21"/>
    </w:rPr>
  </w:style>
  <w:style w:type="paragraph" w:styleId="44">
    <w:name w:val="Body Text 2"/>
    <w:basedOn w:val="1"/>
    <w:link w:val="131"/>
    <w:semiHidden/>
    <w:unhideWhenUsed/>
    <w:qFormat/>
    <w:uiPriority w:val="99"/>
    <w:rPr>
      <w:rFonts w:ascii="仿宋_GB2312" w:eastAsia="仿宋_GB2312"/>
      <w:b/>
      <w:sz w:val="24"/>
      <w:szCs w:val="20"/>
    </w:rPr>
  </w:style>
  <w:style w:type="paragraph" w:styleId="45">
    <w:name w:val="HTML Preformatted"/>
    <w:basedOn w:val="1"/>
    <w:link w:val="132"/>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46">
    <w:name w:val="Normal (Web)"/>
    <w:basedOn w:val="1"/>
    <w:semiHidden/>
    <w:unhideWhenUsed/>
    <w:qFormat/>
    <w:uiPriority w:val="99"/>
    <w:pPr>
      <w:widowControl/>
      <w:spacing w:before="100" w:beforeAutospacing="1" w:after="100" w:afterAutospacing="1"/>
      <w:jc w:val="left"/>
    </w:pPr>
    <w:rPr>
      <w:rFonts w:ascii="宋体" w:hAnsi="宋体"/>
      <w:kern w:val="0"/>
      <w:sz w:val="24"/>
      <w:szCs w:val="24"/>
    </w:rPr>
  </w:style>
  <w:style w:type="paragraph" w:styleId="47">
    <w:name w:val="index 2"/>
    <w:basedOn w:val="1"/>
    <w:next w:val="1"/>
    <w:semiHidden/>
    <w:unhideWhenUsed/>
    <w:qFormat/>
    <w:uiPriority w:val="99"/>
    <w:pPr>
      <w:ind w:left="200" w:leftChars="200"/>
    </w:pPr>
    <w:rPr>
      <w:szCs w:val="20"/>
    </w:rPr>
  </w:style>
  <w:style w:type="paragraph" w:styleId="48">
    <w:name w:val="annotation subject"/>
    <w:basedOn w:val="16"/>
    <w:next w:val="16"/>
    <w:link w:val="133"/>
    <w:semiHidden/>
    <w:unhideWhenUsed/>
    <w:qFormat/>
    <w:uiPriority w:val="99"/>
    <w:rPr>
      <w:b/>
      <w:bCs/>
      <w:szCs w:val="22"/>
    </w:rPr>
  </w:style>
  <w:style w:type="paragraph" w:styleId="49">
    <w:name w:val="Body Text First Indent"/>
    <w:basedOn w:val="1"/>
    <w:link w:val="134"/>
    <w:semiHidden/>
    <w:unhideWhenUsed/>
    <w:qFormat/>
    <w:uiPriority w:val="99"/>
    <w:pPr>
      <w:autoSpaceDE w:val="0"/>
      <w:autoSpaceDN w:val="0"/>
      <w:adjustRightInd w:val="0"/>
      <w:spacing w:line="360" w:lineRule="auto"/>
      <w:ind w:right="-24" w:rightChars="-10" w:firstLine="425" w:firstLineChars="225"/>
    </w:pPr>
    <w:rPr>
      <w:rFonts w:ascii="Arial" w:hAnsi="Arial" w:eastAsia="仿宋_GB2312"/>
      <w:sz w:val="24"/>
      <w:szCs w:val="32"/>
    </w:rPr>
  </w:style>
  <w:style w:type="paragraph" w:styleId="50">
    <w:name w:val="Body Text First Indent 2"/>
    <w:basedOn w:val="20"/>
    <w:link w:val="69"/>
    <w:unhideWhenUsed/>
    <w:qFormat/>
    <w:uiPriority w:val="99"/>
    <w:pPr>
      <w:ind w:firstLine="420" w:firstLineChars="200"/>
    </w:pPr>
  </w:style>
  <w:style w:type="table" w:styleId="52">
    <w:name w:val="Table Grid"/>
    <w:basedOn w:val="5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FollowedHyperlink"/>
    <w:basedOn w:val="53"/>
    <w:semiHidden/>
    <w:unhideWhenUsed/>
    <w:qFormat/>
    <w:uiPriority w:val="99"/>
    <w:rPr>
      <w:color w:val="954F72" w:themeColor="followedHyperlink"/>
      <w:u w:val="single"/>
      <w14:textFill>
        <w14:solidFill>
          <w14:schemeClr w14:val="folHlink"/>
        </w14:solidFill>
      </w14:textFill>
    </w:rPr>
  </w:style>
  <w:style w:type="character" w:styleId="55">
    <w:name w:val="Emphasis"/>
    <w:qFormat/>
    <w:uiPriority w:val="0"/>
    <w:rPr>
      <w:color w:val="CC0033"/>
    </w:rPr>
  </w:style>
  <w:style w:type="character" w:styleId="56">
    <w:name w:val="Hyperlink"/>
    <w:unhideWhenUsed/>
    <w:qFormat/>
    <w:uiPriority w:val="99"/>
    <w:rPr>
      <w:color w:val="0000FF"/>
      <w:u w:val="single"/>
    </w:rPr>
  </w:style>
  <w:style w:type="character" w:styleId="57">
    <w:name w:val="annotation reference"/>
    <w:semiHidden/>
    <w:unhideWhenUsed/>
    <w:qFormat/>
    <w:uiPriority w:val="99"/>
    <w:rPr>
      <w:sz w:val="21"/>
      <w:szCs w:val="21"/>
    </w:rPr>
  </w:style>
  <w:style w:type="paragraph" w:customStyle="1" w:styleId="58">
    <w:name w:val="_Style 3"/>
    <w:basedOn w:val="1"/>
    <w:qFormat/>
    <w:uiPriority w:val="99"/>
    <w:pPr>
      <w:ind w:firstLine="420" w:firstLineChars="200"/>
    </w:pPr>
  </w:style>
  <w:style w:type="character" w:customStyle="1" w:styleId="59">
    <w:name w:val="页眉 字符"/>
    <w:basedOn w:val="53"/>
    <w:link w:val="33"/>
    <w:qFormat/>
    <w:uiPriority w:val="99"/>
    <w:rPr>
      <w:sz w:val="18"/>
      <w:szCs w:val="18"/>
    </w:rPr>
  </w:style>
  <w:style w:type="character" w:customStyle="1" w:styleId="60">
    <w:name w:val="页脚 字符"/>
    <w:basedOn w:val="53"/>
    <w:link w:val="31"/>
    <w:qFormat/>
    <w:uiPriority w:val="99"/>
    <w:rPr>
      <w:sz w:val="18"/>
      <w:szCs w:val="18"/>
    </w:rPr>
  </w:style>
  <w:style w:type="character" w:customStyle="1" w:styleId="61">
    <w:name w:val="标题 1 字符"/>
    <w:basedOn w:val="53"/>
    <w:qFormat/>
    <w:uiPriority w:val="9"/>
    <w:rPr>
      <w:rFonts w:ascii="Times New Roman" w:hAnsi="Times New Roman" w:eastAsia="宋体" w:cs="Times New Roman"/>
      <w:b/>
      <w:bCs/>
      <w:kern w:val="44"/>
      <w:sz w:val="44"/>
      <w:szCs w:val="44"/>
    </w:rPr>
  </w:style>
  <w:style w:type="character" w:customStyle="1" w:styleId="62">
    <w:name w:val="标题 2 字符"/>
    <w:basedOn w:val="53"/>
    <w:semiHidden/>
    <w:qFormat/>
    <w:uiPriority w:val="9"/>
    <w:rPr>
      <w:rFonts w:asciiTheme="majorHAnsi" w:hAnsiTheme="majorHAnsi" w:eastAsiaTheme="majorEastAsia" w:cstheme="majorBidi"/>
      <w:b/>
      <w:bCs/>
      <w:sz w:val="32"/>
      <w:szCs w:val="32"/>
    </w:rPr>
  </w:style>
  <w:style w:type="character" w:customStyle="1" w:styleId="63">
    <w:name w:val="标题 3 字符"/>
    <w:basedOn w:val="53"/>
    <w:semiHidden/>
    <w:qFormat/>
    <w:uiPriority w:val="9"/>
    <w:rPr>
      <w:rFonts w:ascii="Times New Roman" w:hAnsi="Times New Roman" w:eastAsia="宋体" w:cs="Times New Roman"/>
      <w:b/>
      <w:bCs/>
      <w:sz w:val="32"/>
      <w:szCs w:val="32"/>
    </w:rPr>
  </w:style>
  <w:style w:type="character" w:customStyle="1" w:styleId="64">
    <w:name w:val="标题 4 字符"/>
    <w:basedOn w:val="53"/>
    <w:semiHidden/>
    <w:qFormat/>
    <w:uiPriority w:val="9"/>
    <w:rPr>
      <w:rFonts w:asciiTheme="majorHAnsi" w:hAnsiTheme="majorHAnsi" w:eastAsiaTheme="majorEastAsia" w:cstheme="majorBidi"/>
      <w:b/>
      <w:bCs/>
      <w:sz w:val="28"/>
      <w:szCs w:val="28"/>
    </w:rPr>
  </w:style>
  <w:style w:type="character" w:customStyle="1" w:styleId="65">
    <w:name w:val="标题 5 字符"/>
    <w:basedOn w:val="53"/>
    <w:semiHidden/>
    <w:qFormat/>
    <w:uiPriority w:val="9"/>
    <w:rPr>
      <w:rFonts w:ascii="Times New Roman" w:hAnsi="Times New Roman" w:eastAsia="宋体" w:cs="Times New Roman"/>
      <w:b/>
      <w:bCs/>
      <w:sz w:val="28"/>
      <w:szCs w:val="28"/>
    </w:rPr>
  </w:style>
  <w:style w:type="character" w:customStyle="1" w:styleId="66">
    <w:name w:val="标题 6 字符"/>
    <w:basedOn w:val="53"/>
    <w:semiHidden/>
    <w:qFormat/>
    <w:uiPriority w:val="9"/>
    <w:rPr>
      <w:rFonts w:asciiTheme="majorHAnsi" w:hAnsiTheme="majorHAnsi" w:eastAsiaTheme="majorEastAsia" w:cstheme="majorBidi"/>
      <w:b/>
      <w:bCs/>
      <w:sz w:val="24"/>
      <w:szCs w:val="24"/>
    </w:rPr>
  </w:style>
  <w:style w:type="character" w:customStyle="1" w:styleId="67">
    <w:name w:val="标题 7 字符"/>
    <w:basedOn w:val="53"/>
    <w:semiHidden/>
    <w:qFormat/>
    <w:uiPriority w:val="9"/>
    <w:rPr>
      <w:rFonts w:ascii="Times New Roman" w:hAnsi="Times New Roman" w:eastAsia="宋体" w:cs="Times New Roman"/>
      <w:b/>
      <w:bCs/>
      <w:sz w:val="24"/>
      <w:szCs w:val="24"/>
    </w:rPr>
  </w:style>
  <w:style w:type="character" w:customStyle="1" w:styleId="68">
    <w:name w:val="正文文本缩进 字符"/>
    <w:basedOn w:val="53"/>
    <w:link w:val="20"/>
    <w:semiHidden/>
    <w:qFormat/>
    <w:uiPriority w:val="99"/>
    <w:rPr>
      <w:rFonts w:ascii="Times New Roman" w:hAnsi="Times New Roman" w:eastAsia="宋体" w:cs="Times New Roman"/>
    </w:rPr>
  </w:style>
  <w:style w:type="character" w:customStyle="1" w:styleId="69">
    <w:name w:val="正文首行缩进 2 字符"/>
    <w:basedOn w:val="68"/>
    <w:link w:val="50"/>
    <w:qFormat/>
    <w:uiPriority w:val="99"/>
    <w:rPr>
      <w:rFonts w:ascii="Times New Roman" w:hAnsi="Times New Roman" w:eastAsia="宋体" w:cs="Times New Roman"/>
    </w:rPr>
  </w:style>
  <w:style w:type="character" w:customStyle="1" w:styleId="70">
    <w:name w:val="HTML 预设格式 字符"/>
    <w:basedOn w:val="53"/>
    <w:semiHidden/>
    <w:qFormat/>
    <w:uiPriority w:val="99"/>
    <w:rPr>
      <w:rFonts w:ascii="Courier New" w:hAnsi="Courier New" w:eastAsia="宋体" w:cs="Courier New"/>
      <w:sz w:val="20"/>
      <w:szCs w:val="20"/>
    </w:rPr>
  </w:style>
  <w:style w:type="paragraph" w:customStyle="1" w:styleId="71">
    <w:name w:val="msonormal"/>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72">
    <w:name w:val="批注文字 字符"/>
    <w:basedOn w:val="53"/>
    <w:semiHidden/>
    <w:qFormat/>
    <w:uiPriority w:val="99"/>
    <w:rPr>
      <w:rFonts w:ascii="Times New Roman" w:hAnsi="Times New Roman" w:eastAsia="宋体" w:cs="Times New Roman"/>
    </w:rPr>
  </w:style>
  <w:style w:type="character" w:customStyle="1" w:styleId="73">
    <w:name w:val="正文文本 字符"/>
    <w:basedOn w:val="53"/>
    <w:semiHidden/>
    <w:qFormat/>
    <w:uiPriority w:val="99"/>
    <w:rPr>
      <w:rFonts w:ascii="Times New Roman" w:hAnsi="Times New Roman" w:eastAsia="宋体" w:cs="Times New Roman"/>
    </w:rPr>
  </w:style>
  <w:style w:type="character" w:customStyle="1" w:styleId="74">
    <w:name w:val="日期 字符"/>
    <w:basedOn w:val="53"/>
    <w:semiHidden/>
    <w:qFormat/>
    <w:uiPriority w:val="99"/>
    <w:rPr>
      <w:rFonts w:ascii="Times New Roman" w:hAnsi="Times New Roman" w:eastAsia="宋体" w:cs="Times New Roman"/>
    </w:rPr>
  </w:style>
  <w:style w:type="character" w:customStyle="1" w:styleId="75">
    <w:name w:val="正文首行缩进 字符"/>
    <w:basedOn w:val="73"/>
    <w:semiHidden/>
    <w:qFormat/>
    <w:uiPriority w:val="99"/>
    <w:rPr>
      <w:rFonts w:ascii="Times New Roman" w:hAnsi="Times New Roman" w:eastAsia="宋体" w:cs="Times New Roman"/>
    </w:rPr>
  </w:style>
  <w:style w:type="character" w:customStyle="1" w:styleId="76">
    <w:name w:val="正文文本 2 字符"/>
    <w:basedOn w:val="53"/>
    <w:semiHidden/>
    <w:qFormat/>
    <w:uiPriority w:val="99"/>
    <w:rPr>
      <w:rFonts w:ascii="Times New Roman" w:hAnsi="Times New Roman" w:eastAsia="宋体" w:cs="Times New Roman"/>
    </w:rPr>
  </w:style>
  <w:style w:type="character" w:customStyle="1" w:styleId="77">
    <w:name w:val="正文文本 3 字符"/>
    <w:basedOn w:val="53"/>
    <w:semiHidden/>
    <w:qFormat/>
    <w:uiPriority w:val="99"/>
    <w:rPr>
      <w:rFonts w:ascii="Times New Roman" w:hAnsi="Times New Roman" w:eastAsia="宋体" w:cs="Times New Roman"/>
      <w:sz w:val="16"/>
      <w:szCs w:val="16"/>
    </w:rPr>
  </w:style>
  <w:style w:type="character" w:customStyle="1" w:styleId="78">
    <w:name w:val="正文文本缩进 2 字符"/>
    <w:basedOn w:val="53"/>
    <w:semiHidden/>
    <w:qFormat/>
    <w:uiPriority w:val="99"/>
    <w:rPr>
      <w:rFonts w:ascii="Times New Roman" w:hAnsi="Times New Roman" w:eastAsia="宋体" w:cs="Times New Roman"/>
    </w:rPr>
  </w:style>
  <w:style w:type="character" w:customStyle="1" w:styleId="79">
    <w:name w:val="正文文本缩进 3 字符"/>
    <w:basedOn w:val="53"/>
    <w:semiHidden/>
    <w:qFormat/>
    <w:uiPriority w:val="99"/>
    <w:rPr>
      <w:rFonts w:ascii="Times New Roman" w:hAnsi="Times New Roman" w:eastAsia="宋体" w:cs="Times New Roman"/>
      <w:sz w:val="16"/>
      <w:szCs w:val="16"/>
    </w:rPr>
  </w:style>
  <w:style w:type="character" w:customStyle="1" w:styleId="80">
    <w:name w:val="文档结构图 字符"/>
    <w:basedOn w:val="53"/>
    <w:semiHidden/>
    <w:qFormat/>
    <w:uiPriority w:val="99"/>
    <w:rPr>
      <w:rFonts w:ascii="Microsoft YaHei UI" w:hAnsi="Times New Roman" w:eastAsia="Microsoft YaHei UI" w:cs="Times New Roman"/>
      <w:sz w:val="18"/>
      <w:szCs w:val="18"/>
    </w:rPr>
  </w:style>
  <w:style w:type="character" w:customStyle="1" w:styleId="81">
    <w:name w:val="纯文本 字符"/>
    <w:basedOn w:val="53"/>
    <w:semiHidden/>
    <w:qFormat/>
    <w:uiPriority w:val="99"/>
    <w:rPr>
      <w:rFonts w:hAnsi="Courier New" w:cs="Courier New" w:asciiTheme="minorEastAsia"/>
    </w:rPr>
  </w:style>
  <w:style w:type="character" w:customStyle="1" w:styleId="82">
    <w:name w:val="批注主题 字符"/>
    <w:basedOn w:val="72"/>
    <w:semiHidden/>
    <w:qFormat/>
    <w:uiPriority w:val="99"/>
    <w:rPr>
      <w:rFonts w:ascii="Times New Roman" w:hAnsi="Times New Roman" w:eastAsia="宋体" w:cs="Times New Roman"/>
      <w:b/>
      <w:bCs/>
    </w:rPr>
  </w:style>
  <w:style w:type="character" w:customStyle="1" w:styleId="83">
    <w:name w:val="批注框文本 字符"/>
    <w:basedOn w:val="53"/>
    <w:semiHidden/>
    <w:qFormat/>
    <w:uiPriority w:val="99"/>
    <w:rPr>
      <w:rFonts w:ascii="Times New Roman" w:hAnsi="Times New Roman" w:eastAsia="宋体" w:cs="Times New Roman"/>
      <w:sz w:val="18"/>
      <w:szCs w:val="18"/>
    </w:rPr>
  </w:style>
  <w:style w:type="paragraph" w:styleId="84">
    <w:name w:val="List Paragraph"/>
    <w:basedOn w:val="1"/>
    <w:qFormat/>
    <w:uiPriority w:val="34"/>
    <w:pPr>
      <w:ind w:firstLine="420" w:firstLineChars="200"/>
    </w:pPr>
  </w:style>
  <w:style w:type="character" w:customStyle="1" w:styleId="85">
    <w:name w:val="样式1 Char Char"/>
    <w:link w:val="86"/>
    <w:qFormat/>
    <w:locked/>
    <w:uiPriority w:val="0"/>
    <w:rPr>
      <w:rFonts w:ascii="宋体" w:hAnsi="宋体" w:eastAsia="宋体"/>
    </w:rPr>
  </w:style>
  <w:style w:type="paragraph" w:customStyle="1" w:styleId="86">
    <w:name w:val="样式1"/>
    <w:basedOn w:val="1"/>
    <w:link w:val="85"/>
    <w:qFormat/>
    <w:uiPriority w:val="0"/>
    <w:pPr>
      <w:numPr>
        <w:ilvl w:val="0"/>
        <w:numId w:val="1"/>
      </w:numPr>
      <w:adjustRightInd w:val="0"/>
    </w:pPr>
    <w:rPr>
      <w:rFonts w:ascii="宋体" w:hAnsi="宋体" w:cstheme="minorBidi"/>
    </w:rPr>
  </w:style>
  <w:style w:type="paragraph" w:customStyle="1" w:styleId="87">
    <w:name w:val="p0"/>
    <w:basedOn w:val="1"/>
    <w:qFormat/>
    <w:uiPriority w:val="99"/>
    <w:pPr>
      <w:widowControl/>
    </w:pPr>
    <w:rPr>
      <w:kern w:val="0"/>
      <w:szCs w:val="21"/>
    </w:rPr>
  </w:style>
  <w:style w:type="paragraph" w:customStyle="1" w:styleId="88">
    <w:name w:val="SUR-需求定义-第4级"/>
    <w:basedOn w:val="5"/>
    <w:next w:val="1"/>
    <w:qFormat/>
    <w:uiPriority w:val="99"/>
    <w:pPr>
      <w:numPr>
        <w:ilvl w:val="3"/>
        <w:numId w:val="2"/>
      </w:numPr>
      <w:tabs>
        <w:tab w:val="left" w:pos="1080"/>
      </w:tabs>
      <w:spacing w:before="0" w:after="0"/>
      <w:ind w:left="-283" w:firstLine="283"/>
      <w:jc w:val="left"/>
    </w:pPr>
    <w:rPr>
      <w:rFonts w:cs="Arial"/>
      <w:b w:val="0"/>
      <w:color w:val="0000FF"/>
      <w:sz w:val="24"/>
      <w:szCs w:val="24"/>
    </w:rPr>
  </w:style>
  <w:style w:type="paragraph" w:customStyle="1" w:styleId="89">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幼圆" w:hAnsi="宋体" w:eastAsia="幼圆"/>
      <w:kern w:val="0"/>
      <w:sz w:val="32"/>
      <w:szCs w:val="32"/>
    </w:rPr>
  </w:style>
  <w:style w:type="paragraph" w:customStyle="1" w:styleId="90">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91">
    <w:name w:val="列出段落1"/>
    <w:basedOn w:val="1"/>
    <w:qFormat/>
    <w:uiPriority w:val="34"/>
    <w:pPr>
      <w:adjustRightInd w:val="0"/>
      <w:spacing w:line="360" w:lineRule="atLeast"/>
      <w:ind w:firstLine="420" w:firstLineChars="200"/>
      <w:jc w:val="left"/>
    </w:pPr>
    <w:rPr>
      <w:kern w:val="0"/>
      <w:sz w:val="24"/>
      <w:szCs w:val="20"/>
    </w:rPr>
  </w:style>
  <w:style w:type="paragraph" w:customStyle="1" w:styleId="92">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93">
    <w:name w:val="font6"/>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94">
    <w:name w:val="正文_0"/>
    <w:qFormat/>
    <w:uiPriority w:val="99"/>
    <w:pPr>
      <w:widowControl w:val="0"/>
      <w:jc w:val="both"/>
    </w:pPr>
    <w:rPr>
      <w:rFonts w:ascii="Tahoma" w:hAnsi="Tahoma" w:eastAsia="宋体" w:cs="Tahoma"/>
      <w:kern w:val="2"/>
      <w:sz w:val="21"/>
      <w:szCs w:val="22"/>
      <w:lang w:val="en-US" w:eastAsia="zh-CN" w:bidi="ar-SA"/>
    </w:rPr>
  </w:style>
  <w:style w:type="paragraph" w:customStyle="1" w:styleId="95">
    <w:name w:val="Char"/>
    <w:basedOn w:val="1"/>
    <w:qFormat/>
    <w:uiPriority w:val="99"/>
    <w:rPr>
      <w:rFonts w:ascii="Tahoma" w:hAnsi="Tahoma"/>
      <w:sz w:val="24"/>
      <w:szCs w:val="20"/>
    </w:rPr>
  </w:style>
  <w:style w:type="paragraph" w:customStyle="1" w:styleId="96">
    <w:name w:val="基本文字 Char"/>
    <w:basedOn w:val="1"/>
    <w:qFormat/>
    <w:uiPriority w:val="99"/>
    <w:pPr>
      <w:spacing w:before="156" w:line="400" w:lineRule="atLeast"/>
      <w:ind w:firstLine="540" w:firstLineChars="225"/>
    </w:pPr>
    <w:rPr>
      <w:sz w:val="24"/>
      <w:szCs w:val="20"/>
    </w:rPr>
  </w:style>
  <w:style w:type="paragraph" w:customStyle="1" w:styleId="97">
    <w:name w:val="正文（缩进）"/>
    <w:basedOn w:val="1"/>
    <w:qFormat/>
    <w:uiPriority w:val="99"/>
    <w:pPr>
      <w:widowControl/>
      <w:spacing w:before="156" w:after="156"/>
      <w:ind w:firstLine="480" w:firstLineChars="200"/>
      <w:jc w:val="left"/>
    </w:pPr>
    <w:rPr>
      <w:rFonts w:ascii="仿宋_GB2312" w:eastAsia="仿宋_GB2312"/>
      <w:kern w:val="0"/>
      <w:sz w:val="24"/>
      <w:szCs w:val="24"/>
    </w:rPr>
  </w:style>
  <w:style w:type="paragraph" w:customStyle="1" w:styleId="98">
    <w:name w:val="font7"/>
    <w:basedOn w:val="1"/>
    <w:qFormat/>
    <w:uiPriority w:val="99"/>
    <w:pPr>
      <w:widowControl/>
      <w:spacing w:before="100" w:beforeAutospacing="1" w:after="100" w:afterAutospacing="1"/>
      <w:jc w:val="left"/>
    </w:pPr>
    <w:rPr>
      <w:rFonts w:ascii="幼圆" w:hAnsi="宋体" w:eastAsia="幼圆"/>
      <w:kern w:val="0"/>
      <w:sz w:val="32"/>
      <w:szCs w:val="32"/>
    </w:rPr>
  </w:style>
  <w:style w:type="paragraph" w:customStyle="1" w:styleId="99">
    <w:name w:val="二级标题"/>
    <w:basedOn w:val="1"/>
    <w:next w:val="100"/>
    <w:qFormat/>
    <w:uiPriority w:val="99"/>
    <w:pPr>
      <w:numPr>
        <w:ilvl w:val="0"/>
        <w:numId w:val="3"/>
      </w:numPr>
      <w:tabs>
        <w:tab w:val="left" w:pos="992"/>
        <w:tab w:val="clear" w:pos="425"/>
      </w:tabs>
      <w:ind w:left="992" w:hanging="567"/>
      <w:outlineLvl w:val="1"/>
    </w:pPr>
    <w:rPr>
      <w:rFonts w:ascii="黑体" w:eastAsia="黑体"/>
      <w:sz w:val="28"/>
      <w:szCs w:val="24"/>
    </w:rPr>
  </w:style>
  <w:style w:type="paragraph" w:customStyle="1" w:styleId="100">
    <w:name w:val="文章正文"/>
    <w:basedOn w:val="1"/>
    <w:qFormat/>
    <w:uiPriority w:val="99"/>
    <w:pPr>
      <w:numPr>
        <w:ilvl w:val="1"/>
        <w:numId w:val="3"/>
      </w:numPr>
      <w:spacing w:beforeLines="50" w:line="320" w:lineRule="exact"/>
      <w:ind w:left="0" w:firstLine="200" w:firstLineChars="200"/>
    </w:pPr>
    <w:rPr>
      <w:rFonts w:ascii="仿宋_GB2312" w:eastAsia="仿宋_GB2312"/>
      <w:sz w:val="28"/>
      <w:szCs w:val="24"/>
    </w:rPr>
  </w:style>
  <w:style w:type="paragraph" w:customStyle="1" w:styleId="101">
    <w:name w:val="一级标题"/>
    <w:basedOn w:val="1"/>
    <w:next w:val="99"/>
    <w:qFormat/>
    <w:uiPriority w:val="99"/>
    <w:pPr>
      <w:numPr>
        <w:ilvl w:val="2"/>
        <w:numId w:val="3"/>
      </w:numPr>
      <w:tabs>
        <w:tab w:val="left" w:pos="425"/>
      </w:tabs>
      <w:ind w:left="850" w:hanging="425"/>
      <w:outlineLvl w:val="0"/>
    </w:pPr>
    <w:rPr>
      <w:rFonts w:ascii="黑体" w:eastAsia="黑体"/>
      <w:sz w:val="30"/>
      <w:szCs w:val="28"/>
    </w:rPr>
  </w:style>
  <w:style w:type="paragraph" w:customStyle="1" w:styleId="102">
    <w:name w:val="Char Char Char Char"/>
    <w:basedOn w:val="1"/>
    <w:qFormat/>
    <w:uiPriority w:val="99"/>
    <w:pPr>
      <w:widowControl/>
      <w:spacing w:after="160" w:line="240" w:lineRule="exact"/>
      <w:jc w:val="left"/>
    </w:pPr>
    <w:rPr>
      <w:kern w:val="0"/>
      <w:sz w:val="24"/>
      <w:szCs w:val="24"/>
    </w:rPr>
  </w:style>
  <w:style w:type="paragraph" w:customStyle="1" w:styleId="103">
    <w:name w:val="Normal_1"/>
    <w:qFormat/>
    <w:uiPriority w:val="99"/>
    <w:rPr>
      <w:rFonts w:ascii="Times New Roman" w:hAnsi="Times New Roman" w:eastAsia="Times New Roman" w:cs="Times New Roman"/>
      <w:sz w:val="24"/>
      <w:szCs w:val="24"/>
      <w:lang w:val="en-US" w:eastAsia="zh-CN" w:bidi="ar-SA"/>
    </w:rPr>
  </w:style>
  <w:style w:type="paragraph" w:customStyle="1" w:styleId="104">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05">
    <w:name w:val="正文 A"/>
    <w:qFormat/>
    <w:uiPriority w:val="99"/>
    <w:pPr>
      <w:widowControl w:val="0"/>
      <w:jc w:val="both"/>
    </w:pPr>
    <w:rPr>
      <w:rFonts w:ascii="Times New Roman" w:hAnsi="Times New Roman" w:eastAsia="宋体" w:cs="Times New Roman"/>
      <w:color w:val="000000"/>
      <w:kern w:val="2"/>
      <w:sz w:val="21"/>
      <w:szCs w:val="21"/>
      <w:u w:color="000000"/>
      <w:lang w:val="en-US" w:eastAsia="zh-CN" w:bidi="ar-SA"/>
    </w:rPr>
  </w:style>
  <w:style w:type="paragraph" w:customStyle="1" w:styleId="106">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07">
    <w:name w:val="font8"/>
    <w:basedOn w:val="1"/>
    <w:qFormat/>
    <w:uiPriority w:val="99"/>
    <w:pPr>
      <w:widowControl/>
      <w:spacing w:before="100" w:beforeAutospacing="1" w:after="100" w:afterAutospacing="1"/>
      <w:jc w:val="left"/>
    </w:pPr>
    <w:rPr>
      <w:rFonts w:ascii="宋体" w:hAnsi="宋体"/>
      <w:color w:val="000000"/>
      <w:kern w:val="0"/>
      <w:sz w:val="32"/>
      <w:szCs w:val="32"/>
    </w:rPr>
  </w:style>
  <w:style w:type="paragraph" w:customStyle="1" w:styleId="108">
    <w:name w:val="font9"/>
    <w:basedOn w:val="1"/>
    <w:qFormat/>
    <w:uiPriority w:val="99"/>
    <w:pPr>
      <w:widowControl/>
      <w:spacing w:before="100" w:beforeAutospacing="1" w:after="100" w:afterAutospacing="1"/>
      <w:jc w:val="left"/>
    </w:pPr>
    <w:rPr>
      <w:rFonts w:ascii="幼圆" w:hAnsi="宋体" w:eastAsia="幼圆"/>
      <w:kern w:val="0"/>
      <w:sz w:val="32"/>
      <w:szCs w:val="32"/>
    </w:rPr>
  </w:style>
  <w:style w:type="paragraph" w:customStyle="1" w:styleId="109">
    <w:name w:val="Char Char Char Char Char Char Char1 Char"/>
    <w:basedOn w:val="1"/>
    <w:qFormat/>
    <w:uiPriority w:val="99"/>
    <w:rPr>
      <w:rFonts w:ascii="Tahoma" w:hAnsi="Tahoma"/>
      <w:sz w:val="24"/>
      <w:szCs w:val="20"/>
    </w:rPr>
  </w:style>
  <w:style w:type="paragraph" w:customStyle="1" w:styleId="110">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幼圆" w:hAnsi="宋体" w:eastAsia="幼圆"/>
      <w:kern w:val="0"/>
      <w:sz w:val="32"/>
      <w:szCs w:val="32"/>
    </w:rPr>
  </w:style>
  <w:style w:type="paragraph" w:customStyle="1" w:styleId="111">
    <w:name w:val="D&amp;L"/>
    <w:basedOn w:val="33"/>
    <w:qFormat/>
    <w:uiPriority w:val="99"/>
    <w:pPr>
      <w:pBdr>
        <w:bottom w:val="thinThickSmallGap" w:color="auto" w:sz="18" w:space="1"/>
      </w:pBdr>
      <w:adjustRightInd w:val="0"/>
      <w:snapToGrid/>
      <w:spacing w:line="240" w:lineRule="atLeast"/>
    </w:pPr>
    <w:rPr>
      <w:kern w:val="0"/>
      <w:sz w:val="24"/>
      <w:szCs w:val="20"/>
    </w:rPr>
  </w:style>
  <w:style w:type="character" w:customStyle="1" w:styleId="112">
    <w:name w:val="正文文本缩进 Char"/>
    <w:qFormat/>
    <w:uiPriority w:val="0"/>
    <w:rPr>
      <w:rFonts w:hint="eastAsia" w:ascii="楷体_GB2312" w:hAnsi="Times New Roman" w:eastAsia="楷体_GB2312"/>
      <w:kern w:val="2"/>
      <w:sz w:val="32"/>
    </w:rPr>
  </w:style>
  <w:style w:type="character" w:customStyle="1" w:styleId="113">
    <w:name w:val="标题 1 字符1"/>
    <w:link w:val="2"/>
    <w:qFormat/>
    <w:locked/>
    <w:uiPriority w:val="99"/>
    <w:rPr>
      <w:rFonts w:ascii="Times New Roman" w:hAnsi="Times New Roman" w:eastAsia="宋体" w:cs="Times New Roman"/>
      <w:b/>
      <w:bCs/>
      <w:kern w:val="44"/>
      <w:sz w:val="30"/>
      <w:szCs w:val="44"/>
    </w:rPr>
  </w:style>
  <w:style w:type="character" w:customStyle="1" w:styleId="114">
    <w:name w:val="标题 2 字符1"/>
    <w:link w:val="3"/>
    <w:semiHidden/>
    <w:qFormat/>
    <w:locked/>
    <w:uiPriority w:val="99"/>
    <w:rPr>
      <w:rFonts w:ascii="Arial" w:hAnsi="Arial" w:eastAsia="黑体" w:cs="Times New Roman"/>
      <w:b/>
      <w:bCs/>
      <w:sz w:val="32"/>
      <w:szCs w:val="32"/>
    </w:rPr>
  </w:style>
  <w:style w:type="character" w:customStyle="1" w:styleId="115">
    <w:name w:val="标题 3 字符1"/>
    <w:link w:val="4"/>
    <w:qFormat/>
    <w:locked/>
    <w:uiPriority w:val="0"/>
    <w:rPr>
      <w:rFonts w:ascii="宋体" w:hAnsi="Times New Roman" w:eastAsia="宋体" w:cs="宋体"/>
      <w:b/>
      <w:bCs/>
      <w:sz w:val="32"/>
      <w:szCs w:val="32"/>
    </w:rPr>
  </w:style>
  <w:style w:type="character" w:customStyle="1" w:styleId="116">
    <w:name w:val="标题 4 字符1"/>
    <w:link w:val="5"/>
    <w:semiHidden/>
    <w:qFormat/>
    <w:locked/>
    <w:uiPriority w:val="0"/>
    <w:rPr>
      <w:rFonts w:ascii="Arial" w:hAnsi="Arial" w:eastAsia="黑体" w:cs="Times New Roman"/>
      <w:b/>
      <w:bCs/>
      <w:sz w:val="28"/>
      <w:szCs w:val="28"/>
    </w:rPr>
  </w:style>
  <w:style w:type="character" w:customStyle="1" w:styleId="117">
    <w:name w:val="标题 5 字符1"/>
    <w:link w:val="6"/>
    <w:semiHidden/>
    <w:qFormat/>
    <w:locked/>
    <w:uiPriority w:val="0"/>
    <w:rPr>
      <w:rFonts w:ascii="宋体" w:hAnsi="Arial" w:eastAsia="宋体" w:cs="宋体"/>
      <w:bCs/>
      <w:sz w:val="28"/>
      <w:szCs w:val="20"/>
    </w:rPr>
  </w:style>
  <w:style w:type="character" w:customStyle="1" w:styleId="118">
    <w:name w:val="标题 6 字符1"/>
    <w:link w:val="7"/>
    <w:semiHidden/>
    <w:qFormat/>
    <w:locked/>
    <w:uiPriority w:val="0"/>
    <w:rPr>
      <w:rFonts w:ascii="宋体" w:hAnsi="宋体" w:eastAsia="宋体" w:cs="宋体"/>
      <w:kern w:val="0"/>
      <w:sz w:val="28"/>
      <w:szCs w:val="20"/>
    </w:rPr>
  </w:style>
  <w:style w:type="character" w:customStyle="1" w:styleId="119">
    <w:name w:val="标题 7 字符1"/>
    <w:link w:val="8"/>
    <w:semiHidden/>
    <w:qFormat/>
    <w:locked/>
    <w:uiPriority w:val="99"/>
    <w:rPr>
      <w:rFonts w:ascii="Arial" w:hAnsi="Arial" w:eastAsia="仿宋_GB2312" w:cs="Times New Roman"/>
      <w:b/>
      <w:bCs/>
      <w:spacing w:val="-4"/>
      <w:sz w:val="24"/>
      <w:szCs w:val="24"/>
    </w:rPr>
  </w:style>
  <w:style w:type="character" w:customStyle="1" w:styleId="120">
    <w:name w:val="文档结构图 字符1"/>
    <w:link w:val="14"/>
    <w:semiHidden/>
    <w:qFormat/>
    <w:locked/>
    <w:uiPriority w:val="99"/>
    <w:rPr>
      <w:rFonts w:ascii="Times New Roman" w:hAnsi="Times New Roman" w:eastAsia="宋体" w:cs="Times New Roman"/>
      <w:szCs w:val="20"/>
      <w:shd w:val="clear" w:color="auto" w:fill="000080"/>
    </w:rPr>
  </w:style>
  <w:style w:type="character" w:customStyle="1" w:styleId="121">
    <w:name w:val="批注文字 字符1"/>
    <w:link w:val="16"/>
    <w:semiHidden/>
    <w:qFormat/>
    <w:locked/>
    <w:uiPriority w:val="99"/>
    <w:rPr>
      <w:rFonts w:ascii="Times New Roman" w:hAnsi="Times New Roman" w:eastAsia="宋体" w:cs="Times New Roman"/>
      <w:szCs w:val="20"/>
    </w:rPr>
  </w:style>
  <w:style w:type="character" w:customStyle="1" w:styleId="122">
    <w:name w:val="正文文本 3 字符1"/>
    <w:link w:val="18"/>
    <w:semiHidden/>
    <w:qFormat/>
    <w:locked/>
    <w:uiPriority w:val="99"/>
    <w:rPr>
      <w:rFonts w:ascii="黑体" w:hAnsi="Arial" w:eastAsia="黑体" w:cs="Times New Roman"/>
      <w:b/>
      <w:sz w:val="28"/>
      <w:szCs w:val="20"/>
    </w:rPr>
  </w:style>
  <w:style w:type="character" w:customStyle="1" w:styleId="123">
    <w:name w:val="正文文本 字符1"/>
    <w:link w:val="19"/>
    <w:qFormat/>
    <w:locked/>
    <w:uiPriority w:val="0"/>
    <w:rPr>
      <w:rFonts w:ascii="宋体" w:hAnsi="Arial" w:eastAsia="宋体" w:cs="Times New Roman"/>
      <w:sz w:val="28"/>
      <w:szCs w:val="20"/>
    </w:rPr>
  </w:style>
  <w:style w:type="character" w:customStyle="1" w:styleId="124">
    <w:name w:val="纯文本 字符1"/>
    <w:link w:val="25"/>
    <w:qFormat/>
    <w:locked/>
    <w:uiPriority w:val="0"/>
    <w:rPr>
      <w:rFonts w:ascii="宋体" w:hAnsi="Courier New" w:eastAsia="宋体" w:cs="Times New Roman"/>
      <w:szCs w:val="20"/>
    </w:rPr>
  </w:style>
  <w:style w:type="character" w:customStyle="1" w:styleId="125">
    <w:name w:val="日期 字符1"/>
    <w:link w:val="28"/>
    <w:semiHidden/>
    <w:qFormat/>
    <w:locked/>
    <w:uiPriority w:val="99"/>
    <w:rPr>
      <w:rFonts w:ascii="Times New Roman" w:hAnsi="Times New Roman" w:eastAsia="宋体" w:cs="Times New Roman"/>
      <w:b/>
      <w:sz w:val="28"/>
      <w:szCs w:val="20"/>
    </w:rPr>
  </w:style>
  <w:style w:type="character" w:customStyle="1" w:styleId="126">
    <w:name w:val="正文文本缩进 2 字符1"/>
    <w:link w:val="29"/>
    <w:semiHidden/>
    <w:qFormat/>
    <w:locked/>
    <w:uiPriority w:val="99"/>
    <w:rPr>
      <w:rFonts w:ascii="Arial" w:hAnsi="Arial" w:eastAsia="仿宋_GB2312" w:cs="Times New Roman"/>
      <w:sz w:val="32"/>
      <w:szCs w:val="20"/>
    </w:rPr>
  </w:style>
  <w:style w:type="character" w:customStyle="1" w:styleId="127">
    <w:name w:val="批注框文本 字符1"/>
    <w:link w:val="30"/>
    <w:semiHidden/>
    <w:qFormat/>
    <w:locked/>
    <w:uiPriority w:val="99"/>
    <w:rPr>
      <w:rFonts w:ascii="Times New Roman" w:hAnsi="Times New Roman" w:eastAsia="宋体" w:cs="Times New Roman"/>
      <w:sz w:val="18"/>
      <w:szCs w:val="18"/>
    </w:rPr>
  </w:style>
  <w:style w:type="character" w:customStyle="1" w:styleId="128">
    <w:name w:val="页脚 字符1"/>
    <w:semiHidden/>
    <w:qFormat/>
    <w:locked/>
    <w:uiPriority w:val="99"/>
    <w:rPr>
      <w:rFonts w:ascii="Times New Roman" w:hAnsi="Times New Roman" w:eastAsia="宋体" w:cs="Times New Roman"/>
      <w:sz w:val="18"/>
      <w:szCs w:val="20"/>
    </w:rPr>
  </w:style>
  <w:style w:type="character" w:customStyle="1" w:styleId="129">
    <w:name w:val="页眉 字符1"/>
    <w:semiHidden/>
    <w:qFormat/>
    <w:locked/>
    <w:uiPriority w:val="99"/>
    <w:rPr>
      <w:rFonts w:ascii="Times New Roman" w:hAnsi="Times New Roman" w:eastAsia="宋体" w:cs="Times New Roman"/>
      <w:sz w:val="18"/>
      <w:szCs w:val="20"/>
    </w:rPr>
  </w:style>
  <w:style w:type="character" w:customStyle="1" w:styleId="130">
    <w:name w:val="正文文本缩进 3 字符1"/>
    <w:link w:val="39"/>
    <w:semiHidden/>
    <w:qFormat/>
    <w:locked/>
    <w:uiPriority w:val="99"/>
    <w:rPr>
      <w:rFonts w:ascii="仿宋_GB2312" w:hAnsi="Arial" w:eastAsia="仿宋_GB2312" w:cs="Times New Roman"/>
      <w:color w:val="000000"/>
      <w:sz w:val="30"/>
      <w:szCs w:val="20"/>
    </w:rPr>
  </w:style>
  <w:style w:type="character" w:customStyle="1" w:styleId="131">
    <w:name w:val="正文文本 2 字符1"/>
    <w:link w:val="44"/>
    <w:semiHidden/>
    <w:qFormat/>
    <w:locked/>
    <w:uiPriority w:val="99"/>
    <w:rPr>
      <w:rFonts w:ascii="仿宋_GB2312" w:hAnsi="Times New Roman" w:eastAsia="仿宋_GB2312" w:cs="Times New Roman"/>
      <w:b/>
      <w:sz w:val="24"/>
      <w:szCs w:val="20"/>
    </w:rPr>
  </w:style>
  <w:style w:type="character" w:customStyle="1" w:styleId="132">
    <w:name w:val="HTML 预设格式 字符1"/>
    <w:link w:val="45"/>
    <w:semiHidden/>
    <w:qFormat/>
    <w:locked/>
    <w:uiPriority w:val="0"/>
    <w:rPr>
      <w:rFonts w:ascii="Arial" w:hAnsi="Arial" w:eastAsia="宋体" w:cs="Times New Roman"/>
      <w:kern w:val="0"/>
      <w:sz w:val="24"/>
      <w:szCs w:val="24"/>
    </w:rPr>
  </w:style>
  <w:style w:type="character" w:customStyle="1" w:styleId="133">
    <w:name w:val="批注主题 字符1"/>
    <w:link w:val="48"/>
    <w:semiHidden/>
    <w:qFormat/>
    <w:locked/>
    <w:uiPriority w:val="99"/>
    <w:rPr>
      <w:rFonts w:ascii="Times New Roman" w:hAnsi="Times New Roman" w:eastAsia="宋体" w:cs="Times New Roman"/>
      <w:b/>
      <w:bCs/>
    </w:rPr>
  </w:style>
  <w:style w:type="character" w:customStyle="1" w:styleId="134">
    <w:name w:val="正文首行缩进 字符1"/>
    <w:link w:val="49"/>
    <w:semiHidden/>
    <w:qFormat/>
    <w:locked/>
    <w:uiPriority w:val="99"/>
    <w:rPr>
      <w:rFonts w:ascii="Arial" w:hAnsi="Arial" w:eastAsia="仿宋_GB2312" w:cs="Times New Roman"/>
      <w:sz w:val="24"/>
      <w:szCs w:val="32"/>
    </w:rPr>
  </w:style>
  <w:style w:type="character" w:customStyle="1" w:styleId="135">
    <w:name w:val="Char Char"/>
    <w:qFormat/>
    <w:uiPriority w:val="99"/>
    <w:rPr>
      <w:rFonts w:hint="default" w:ascii="Times New Roman" w:hAnsi="Times New Roman" w:cs="Times New Roman"/>
      <w:kern w:val="2"/>
      <w:sz w:val="18"/>
      <w:szCs w:val="18"/>
    </w:rPr>
  </w:style>
  <w:style w:type="character" w:customStyle="1" w:styleId="136">
    <w:name w:val="HTML 预设格式 Char1"/>
    <w:semiHidden/>
    <w:qFormat/>
    <w:uiPriority w:val="99"/>
    <w:rPr>
      <w:rFonts w:hint="default" w:ascii="Courier New" w:hAnsi="Courier New" w:cs="Courier New"/>
      <w:kern w:val="2"/>
    </w:rPr>
  </w:style>
  <w:style w:type="character" w:customStyle="1" w:styleId="137">
    <w:name w:val="Char Char1"/>
    <w:qFormat/>
    <w:uiPriority w:val="99"/>
    <w:rPr>
      <w:rFonts w:hint="default" w:ascii="Times New Roman" w:hAnsi="Times New Roman" w:cs="Times New Roman"/>
      <w:kern w:val="2"/>
      <w:sz w:val="18"/>
      <w:szCs w:val="18"/>
    </w:rPr>
  </w:style>
  <w:style w:type="character" w:customStyle="1" w:styleId="138">
    <w:name w:val="纯文本 Char"/>
    <w:semiHidden/>
    <w:qFormat/>
    <w:uiPriority w:val="99"/>
    <w:rPr>
      <w:rFonts w:hint="eastAsia" w:ascii="宋体" w:hAnsi="Courier New" w:eastAsia="宋体" w:cs="Courier New"/>
      <w:kern w:val="2"/>
      <w:sz w:val="21"/>
      <w:szCs w:val="21"/>
    </w:rPr>
  </w:style>
  <w:style w:type="paragraph" w:customStyle="1" w:styleId="139">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0">
    <w:name w:val="纯文本 Char1"/>
    <w:qFormat/>
    <w:locked/>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256052-8BEB-4193-8A72-60DC177BC93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18256</Words>
  <Characters>18985</Characters>
  <Lines>158</Lines>
  <Paragraphs>44</Paragraphs>
  <TotalTime>13</TotalTime>
  <ScaleCrop>false</ScaleCrop>
  <LinksUpToDate>false</LinksUpToDate>
  <CharactersWithSpaces>19592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2023-01-30T00:47:00Z</dcterms:created>
  <dc:creator>胡成芳</dc:creator>
  <cp:lastModifiedBy>Administrator</cp:lastModifiedBy>
  <cp:lastPrinted>2023-05-16T00:59:00Z</cp:lastPrinted>
  <dcterms:modified xsi:type="dcterms:W3CDTF">2023-09-08T03:49:44Z</dcterms:modified>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C87941A3382F454D9F57F4CA51EAD462_13</vt:lpwstr>
  </property>
</Properties>
</file>