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rPr>
      </w:pPr>
    </w:p>
    <w:p>
      <w:pPr>
        <w:tabs>
          <w:tab w:val="left" w:pos="420"/>
        </w:tabs>
        <w:spacing w:line="1700" w:lineRule="exact"/>
        <w:jc w:val="center"/>
        <w:rPr>
          <w:rFonts w:ascii="宋体" w:hAnsi="宋体"/>
          <w:b/>
          <w:color w:val="000000" w:themeColor="text1"/>
          <w:sz w:val="52"/>
          <w:szCs w:val="52"/>
        </w:rPr>
      </w:pPr>
      <w:r>
        <w:rPr>
          <w:rFonts w:hint="eastAsia" w:ascii="宋体" w:hAnsi="宋体"/>
          <w:b/>
          <w:bCs/>
          <w:color w:val="000000" w:themeColor="text1"/>
          <w:sz w:val="52"/>
          <w:szCs w:val="52"/>
        </w:rPr>
        <w:t>服务类标准</w:t>
      </w:r>
      <w:r>
        <w:rPr>
          <w:rFonts w:hint="eastAsia" w:ascii="微软简标宋"/>
          <w:b/>
          <w:bCs/>
          <w:color w:val="000000" w:themeColor="text1"/>
          <w:sz w:val="52"/>
        </w:rPr>
        <w:t>招标文件</w:t>
      </w: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5220"/>
          <w:tab w:val="left" w:pos="8820"/>
        </w:tabs>
        <w:spacing w:line="500" w:lineRule="exact"/>
        <w:rPr>
          <w:rFonts w:ascii="微软简标宋"/>
          <w:bCs/>
          <w:color w:val="000000" w:themeColor="text1"/>
          <w:sz w:val="52"/>
        </w:rPr>
      </w:pPr>
      <w:r>
        <w:rPr>
          <w:rFonts w:hint="eastAsia" w:ascii="微软简标宋"/>
          <w:bCs/>
          <w:color w:val="000000" w:themeColor="text1"/>
          <w:sz w:val="52"/>
        </w:rPr>
        <w:tab/>
      </w:r>
      <w:r>
        <w:rPr>
          <w:rFonts w:hint="eastAsia" w:ascii="微软简标宋"/>
          <w:bCs/>
          <w:color w:val="000000" w:themeColor="text1"/>
          <w:sz w:val="52"/>
        </w:rPr>
        <w:tab/>
      </w:r>
      <w:r>
        <w:rPr>
          <w:rFonts w:hint="eastAsia" w:ascii="微软简标宋"/>
          <w:bCs/>
          <w:color w:val="000000" w:themeColor="text1"/>
          <w:sz w:val="52"/>
        </w:rPr>
        <w:tab/>
      </w:r>
    </w:p>
    <w:p>
      <w:pPr>
        <w:spacing w:line="360" w:lineRule="auto"/>
        <w:jc w:val="left"/>
        <w:rPr>
          <w:rFonts w:ascii="宋体" w:hAnsi="宋体"/>
          <w:color w:val="000000" w:themeColor="text1"/>
          <w:szCs w:val="21"/>
        </w:rPr>
      </w:pPr>
    </w:p>
    <w:p>
      <w:pPr>
        <w:widowControl/>
        <w:jc w:val="center"/>
        <w:rPr>
          <w:color w:val="000000" w:themeColor="text1"/>
        </w:rPr>
      </w:pPr>
      <w:r>
        <w:rPr>
          <w:color w:val="000000" w:themeColor="text1"/>
        </w:rPr>
        <w:drawing>
          <wp:inline distT="0" distB="0" distL="0" distR="0">
            <wp:extent cx="1381125" cy="1333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81125" cy="1333500"/>
                    </a:xfrm>
                    <a:prstGeom prst="rect">
                      <a:avLst/>
                    </a:prstGeom>
                    <a:noFill/>
                    <a:ln>
                      <a:noFill/>
                    </a:ln>
                  </pic:spPr>
                </pic:pic>
              </a:graphicData>
            </a:graphic>
          </wp:inline>
        </w:drawing>
      </w:r>
    </w:p>
    <w:p>
      <w:pPr>
        <w:widowControl/>
        <w:jc w:val="center"/>
        <w:rPr>
          <w:color w:val="000000" w:themeColor="text1"/>
        </w:rPr>
      </w:pPr>
    </w:p>
    <w:p>
      <w:pPr>
        <w:widowControl/>
        <w:jc w:val="center"/>
        <w:rPr>
          <w:rFonts w:ascii="宋体" w:hAnsi="宋体" w:cs="宋体"/>
          <w:color w:val="000000" w:themeColor="text1"/>
          <w:kern w:val="0"/>
          <w:sz w:val="24"/>
          <w:szCs w:val="24"/>
        </w:rPr>
      </w:pPr>
    </w:p>
    <w:p>
      <w:pPr>
        <w:tabs>
          <w:tab w:val="left" w:pos="2410"/>
        </w:tabs>
        <w:autoSpaceDE w:val="0"/>
        <w:autoSpaceDN w:val="0"/>
        <w:adjustRightInd w:val="0"/>
        <w:snapToGrid w:val="0"/>
        <w:spacing w:line="360" w:lineRule="auto"/>
        <w:rPr>
          <w:rFonts w:ascii="Arial Black" w:hAnsi="Arial Black"/>
          <w:color w:val="000000" w:themeColor="text1"/>
          <w:sz w:val="44"/>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pPr>
        <w:tabs>
          <w:tab w:val="left" w:pos="2410"/>
        </w:tabs>
        <w:autoSpaceDE w:val="0"/>
        <w:autoSpaceDN w:val="0"/>
        <w:adjustRightInd w:val="0"/>
        <w:snapToGrid w:val="0"/>
        <w:spacing w:line="360" w:lineRule="auto"/>
        <w:ind w:firstLine="1084" w:firstLineChars="3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项目名称：</w:t>
      </w:r>
      <w:r>
        <w:rPr>
          <w:rFonts w:hint="eastAsia" w:ascii="宋体" w:hAnsi="DotumChe" w:cs="宋体"/>
          <w:b/>
          <w:color w:val="000000" w:themeColor="text1"/>
          <w:spacing w:val="20"/>
          <w:kern w:val="0"/>
          <w:sz w:val="30"/>
          <w:szCs w:val="32"/>
        </w:rPr>
        <w:t>合肥市服务中心项目</w:t>
      </w:r>
      <w:r>
        <w:rPr>
          <w:rFonts w:hint="eastAsia" w:ascii="宋体" w:hAnsi="DotumChe" w:cs="宋体"/>
          <w:b/>
          <w:color w:val="000000" w:themeColor="text1"/>
          <w:spacing w:val="20"/>
          <w:kern w:val="0"/>
          <w:sz w:val="32"/>
          <w:szCs w:val="32"/>
        </w:rPr>
        <w:t>保安外包服务</w:t>
      </w:r>
    </w:p>
    <w:p>
      <w:pPr>
        <w:tabs>
          <w:tab w:val="left" w:pos="2410"/>
        </w:tabs>
        <w:autoSpaceDE w:val="0"/>
        <w:autoSpaceDN w:val="0"/>
        <w:adjustRightInd w:val="0"/>
        <w:snapToGrid w:val="0"/>
        <w:spacing w:line="360" w:lineRule="auto"/>
        <w:ind w:firstLine="1084" w:firstLineChars="300"/>
        <w:rPr>
          <w:rFonts w:ascii="宋体" w:hAnsi="DotumChe" w:cs="宋体"/>
          <w:b/>
          <w:color w:val="000000" w:themeColor="text1"/>
          <w:spacing w:val="20"/>
          <w:kern w:val="0"/>
          <w:sz w:val="30"/>
          <w:szCs w:val="32"/>
        </w:rPr>
      </w:pPr>
      <w:r>
        <w:rPr>
          <w:rFonts w:hint="eastAsia" w:ascii="宋体" w:hAnsi="DotumChe" w:cs="宋体"/>
          <w:b/>
          <w:color w:val="000000" w:themeColor="text1"/>
          <w:spacing w:val="20"/>
          <w:kern w:val="0"/>
          <w:sz w:val="32"/>
          <w:szCs w:val="32"/>
        </w:rPr>
        <w:t>项目编号：</w:t>
      </w:r>
      <w:r>
        <w:rPr>
          <w:rFonts w:hint="eastAsia" w:ascii="宋体" w:hAnsi="DotumChe" w:cs="宋体"/>
          <w:b/>
          <w:color w:val="000000" w:themeColor="text1"/>
          <w:spacing w:val="20"/>
          <w:kern w:val="0"/>
          <w:sz w:val="30"/>
          <w:szCs w:val="32"/>
        </w:rPr>
        <w:t>2023WLBLZB00044号</w:t>
      </w:r>
    </w:p>
    <w:p>
      <w:pPr>
        <w:tabs>
          <w:tab w:val="left" w:pos="2410"/>
        </w:tabs>
        <w:autoSpaceDE w:val="0"/>
        <w:autoSpaceDN w:val="0"/>
        <w:adjustRightInd w:val="0"/>
        <w:snapToGrid w:val="0"/>
        <w:spacing w:line="360" w:lineRule="auto"/>
        <w:ind w:firstLine="1084" w:firstLineChars="3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 标 人：合肥文旅博览集团有限公司</w:t>
      </w:r>
    </w:p>
    <w:p>
      <w:pPr>
        <w:tabs>
          <w:tab w:val="left" w:pos="2410"/>
        </w:tabs>
        <w:autoSpaceDE w:val="0"/>
        <w:autoSpaceDN w:val="0"/>
        <w:adjustRightInd w:val="0"/>
        <w:snapToGrid w:val="0"/>
        <w:spacing w:line="360" w:lineRule="auto"/>
        <w:ind w:firstLine="1084" w:firstLineChars="3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招标时间：2023年5月</w:t>
      </w:r>
    </w:p>
    <w:p>
      <w:pPr>
        <w:tabs>
          <w:tab w:val="left" w:pos="2410"/>
        </w:tabs>
        <w:autoSpaceDE w:val="0"/>
        <w:autoSpaceDN w:val="0"/>
        <w:adjustRightInd w:val="0"/>
        <w:snapToGrid w:val="0"/>
        <w:spacing w:line="360" w:lineRule="auto"/>
        <w:ind w:firstLine="1257" w:firstLineChars="348"/>
        <w:rPr>
          <w:rFonts w:ascii="宋体" w:hAnsi="DotumChe" w:cs="宋体"/>
          <w:b/>
          <w:color w:val="000000" w:themeColor="text1"/>
          <w:spacing w:val="20"/>
          <w:kern w:val="0"/>
          <w:sz w:val="32"/>
          <w:szCs w:val="32"/>
        </w:rPr>
      </w:pPr>
    </w:p>
    <w:p>
      <w:pPr>
        <w:spacing w:line="500" w:lineRule="exact"/>
        <w:jc w:val="center"/>
        <w:rPr>
          <w:rFonts w:ascii="黑体" w:hAnsi="宋体" w:eastAsia="黑体"/>
          <w:b/>
          <w:color w:val="000000" w:themeColor="text1"/>
          <w:sz w:val="32"/>
        </w:rPr>
      </w:pPr>
    </w:p>
    <w:p>
      <w:pPr>
        <w:spacing w:line="500" w:lineRule="exact"/>
        <w:jc w:val="center"/>
        <w:rPr>
          <w:rFonts w:ascii="黑体" w:hAnsi="宋体" w:eastAsia="黑体"/>
          <w:b/>
          <w:i w:val="0"/>
          <w:iCs w:val="0"/>
          <w:color w:val="000000" w:themeColor="text1"/>
          <w:sz w:val="32"/>
        </w:rPr>
      </w:pPr>
      <w:r>
        <w:rPr>
          <w:rFonts w:hint="eastAsia" w:ascii="黑体" w:hAnsi="宋体" w:eastAsia="黑体"/>
          <w:b/>
          <w:i w:val="0"/>
          <w:iCs w:val="0"/>
          <w:color w:val="000000" w:themeColor="text1"/>
          <w:sz w:val="32"/>
        </w:rPr>
        <w:t>目    录</w:t>
      </w:r>
    </w:p>
    <w:p>
      <w:pPr>
        <w:spacing w:line="500" w:lineRule="exact"/>
        <w:jc w:val="center"/>
        <w:rPr>
          <w:rFonts w:ascii="黑体" w:hAnsi="宋体" w:eastAsia="黑体"/>
          <w:b/>
          <w:i w:val="0"/>
          <w:iCs w:val="0"/>
          <w:color w:val="000000" w:themeColor="text1"/>
          <w:sz w:val="32"/>
        </w:rPr>
      </w:pPr>
    </w:p>
    <w:p>
      <w:pPr>
        <w:pStyle w:val="42"/>
        <w:tabs>
          <w:tab w:val="right" w:leader="dot" w:pos="9413"/>
          <w:tab w:val="clear" w:pos="9403"/>
        </w:tabs>
        <w:rPr>
          <w:i w:val="0"/>
          <w:iCs w:val="0"/>
        </w:rPr>
      </w:pPr>
      <w:bookmarkStart w:id="0" w:name="_Hlt526418134"/>
      <w:bookmarkEnd w:id="0"/>
      <w:bookmarkStart w:id="1" w:name="_Hlt533241375"/>
      <w:bookmarkEnd w:id="1"/>
      <w:bookmarkStart w:id="2" w:name="_Hlt519045295"/>
      <w:bookmarkEnd w:id="2"/>
      <w:r>
        <w:rPr>
          <w:rFonts w:hint="eastAsia" w:ascii="宋体" w:hAnsi="宋体"/>
          <w:i w:val="0"/>
          <w:iCs w:val="0"/>
          <w:caps/>
          <w:color w:val="000000" w:themeColor="text1"/>
          <w:sz w:val="24"/>
        </w:rPr>
        <w:fldChar w:fldCharType="begin"/>
      </w:r>
      <w:r>
        <w:rPr>
          <w:rFonts w:hint="eastAsia" w:ascii="宋体" w:hAnsi="宋体"/>
          <w:i w:val="0"/>
          <w:iCs w:val="0"/>
          <w:caps/>
          <w:color w:val="000000" w:themeColor="text1"/>
          <w:sz w:val="24"/>
        </w:rPr>
        <w:instrText xml:space="preserve"> TOC \o "1-3" \h \z </w:instrText>
      </w:r>
      <w:r>
        <w:rPr>
          <w:rFonts w:hint="eastAsia" w:ascii="宋体" w:hAnsi="宋体"/>
          <w:i w:val="0"/>
          <w:iCs w:val="0"/>
          <w:caps/>
          <w:color w:val="000000" w:themeColor="text1"/>
          <w:sz w:val="24"/>
        </w:rPr>
        <w:fldChar w:fldCharType="separate"/>
      </w:r>
      <w:r>
        <w:rPr>
          <w:rFonts w:hint="eastAsia" w:ascii="宋体" w:hAnsi="宋体"/>
          <w:i w:val="0"/>
          <w:iCs w:val="0"/>
          <w:caps/>
          <w:color w:val="000000" w:themeColor="text1"/>
        </w:rPr>
        <w:fldChar w:fldCharType="begin"/>
      </w:r>
      <w:r>
        <w:rPr>
          <w:rFonts w:hint="eastAsia" w:ascii="宋体" w:hAnsi="宋体"/>
          <w:i w:val="0"/>
          <w:iCs w:val="0"/>
          <w:caps/>
        </w:rPr>
        <w:instrText xml:space="preserve"> HYPERLINK \l _Toc2776 </w:instrText>
      </w:r>
      <w:r>
        <w:rPr>
          <w:rFonts w:hint="eastAsia" w:ascii="宋体" w:hAnsi="宋体"/>
          <w:i w:val="0"/>
          <w:iCs w:val="0"/>
          <w:caps/>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_Toc2776 \h </w:instrText>
      </w:r>
      <w:r>
        <w:rPr>
          <w:i w:val="0"/>
          <w:iCs w:val="0"/>
        </w:rPr>
        <w:fldChar w:fldCharType="separate"/>
      </w:r>
      <w:r>
        <w:rPr>
          <w:i w:val="0"/>
          <w:iCs w:val="0"/>
        </w:rPr>
        <w:t>3</w:t>
      </w:r>
      <w:r>
        <w:rPr>
          <w:i w:val="0"/>
          <w:iCs w:val="0"/>
        </w:rPr>
        <w:fldChar w:fldCharType="end"/>
      </w:r>
      <w:r>
        <w:rPr>
          <w:rFonts w:hint="eastAsia" w:ascii="宋体" w:hAnsi="宋体"/>
          <w:i w:val="0"/>
          <w:iCs w:val="0"/>
          <w:caps/>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_Toc30993 </w:instrText>
      </w:r>
      <w:r>
        <w:rPr>
          <w:rFonts w:hint="eastAsia"/>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_Toc30993 \h </w:instrText>
      </w:r>
      <w:r>
        <w:rPr>
          <w:i w:val="0"/>
          <w:iCs w:val="0"/>
        </w:rPr>
        <w:fldChar w:fldCharType="separate"/>
      </w:r>
      <w:r>
        <w:rPr>
          <w:i w:val="0"/>
          <w:iCs w:val="0"/>
        </w:rPr>
        <w:t>5</w:t>
      </w:r>
      <w:r>
        <w:rPr>
          <w:i w:val="0"/>
          <w:iCs w:val="0"/>
        </w:rPr>
        <w:fldChar w:fldCharType="end"/>
      </w:r>
      <w:r>
        <w:rPr>
          <w:rFonts w:hint="eastAsia"/>
          <w:i w:val="0"/>
          <w:iCs w:val="0"/>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_Toc6059 </w:instrText>
      </w:r>
      <w:r>
        <w:rPr>
          <w:rFonts w:hint="eastAsia"/>
          <w:i w:val="0"/>
          <w:iCs w:val="0"/>
        </w:rPr>
        <w:fldChar w:fldCharType="separate"/>
      </w:r>
      <w:r>
        <w:rPr>
          <w:rFonts w:hint="eastAsia" w:ascii="宋体" w:hAnsi="宋体" w:eastAsia="宋体"/>
          <w:i w:val="0"/>
          <w:iCs w:val="0"/>
        </w:rPr>
        <w:t>第三章 投标人须知</w:t>
      </w:r>
      <w:r>
        <w:rPr>
          <w:i w:val="0"/>
          <w:iCs w:val="0"/>
        </w:rPr>
        <w:tab/>
      </w:r>
      <w:r>
        <w:rPr>
          <w:i w:val="0"/>
          <w:iCs w:val="0"/>
        </w:rPr>
        <w:fldChar w:fldCharType="begin"/>
      </w:r>
      <w:r>
        <w:rPr>
          <w:i w:val="0"/>
          <w:iCs w:val="0"/>
        </w:rPr>
        <w:instrText xml:space="preserve"> PAGEREF _Toc6059 \h </w:instrText>
      </w:r>
      <w:r>
        <w:rPr>
          <w:i w:val="0"/>
          <w:iCs w:val="0"/>
        </w:rPr>
        <w:fldChar w:fldCharType="separate"/>
      </w:r>
      <w:r>
        <w:rPr>
          <w:i w:val="0"/>
          <w:iCs w:val="0"/>
        </w:rPr>
        <w:t>7</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_Toc10171 </w:instrText>
      </w:r>
      <w:r>
        <w:rPr>
          <w:rFonts w:hint="eastAsia"/>
          <w:i w:val="0"/>
          <w:iCs w:val="0"/>
        </w:rPr>
        <w:fldChar w:fldCharType="separate"/>
      </w:r>
      <w:r>
        <w:rPr>
          <w:rFonts w:hint="eastAsia" w:hAnsi="宋体"/>
          <w:i w:val="0"/>
          <w:iCs w:val="0"/>
        </w:rPr>
        <w:t>一．投标文件的编制</w:t>
      </w:r>
      <w:r>
        <w:rPr>
          <w:i w:val="0"/>
          <w:iCs w:val="0"/>
        </w:rPr>
        <w:tab/>
      </w:r>
      <w:r>
        <w:rPr>
          <w:i w:val="0"/>
          <w:iCs w:val="0"/>
        </w:rPr>
        <w:fldChar w:fldCharType="begin"/>
      </w:r>
      <w:r>
        <w:rPr>
          <w:i w:val="0"/>
          <w:iCs w:val="0"/>
        </w:rPr>
        <w:instrText xml:space="preserve"> PAGEREF _Toc10171 \h </w:instrText>
      </w:r>
      <w:r>
        <w:rPr>
          <w:i w:val="0"/>
          <w:iCs w:val="0"/>
        </w:rPr>
        <w:fldChar w:fldCharType="separate"/>
      </w:r>
      <w:r>
        <w:rPr>
          <w:i w:val="0"/>
          <w:iCs w:val="0"/>
        </w:rPr>
        <w:t>7</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_Toc31972 </w:instrText>
      </w:r>
      <w:r>
        <w:rPr>
          <w:rFonts w:hint="eastAsia"/>
          <w:i w:val="0"/>
          <w:iCs w:val="0"/>
        </w:rPr>
        <w:fldChar w:fldCharType="separate"/>
      </w:r>
      <w:r>
        <w:rPr>
          <w:rFonts w:hint="eastAsia" w:hAnsi="宋体"/>
          <w:i w:val="0"/>
          <w:iCs w:val="0"/>
        </w:rPr>
        <w:t>三．投标文件的递交</w:t>
      </w:r>
      <w:r>
        <w:rPr>
          <w:i w:val="0"/>
          <w:iCs w:val="0"/>
        </w:rPr>
        <w:tab/>
      </w:r>
      <w:r>
        <w:rPr>
          <w:i w:val="0"/>
          <w:iCs w:val="0"/>
        </w:rPr>
        <w:fldChar w:fldCharType="begin"/>
      </w:r>
      <w:r>
        <w:rPr>
          <w:i w:val="0"/>
          <w:iCs w:val="0"/>
        </w:rPr>
        <w:instrText xml:space="preserve"> PAGEREF _Toc31972 \h </w:instrText>
      </w:r>
      <w:r>
        <w:rPr>
          <w:i w:val="0"/>
          <w:iCs w:val="0"/>
        </w:rPr>
        <w:fldChar w:fldCharType="separate"/>
      </w:r>
      <w:r>
        <w:rPr>
          <w:i w:val="0"/>
          <w:iCs w:val="0"/>
        </w:rPr>
        <w:t>8</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_Toc21138 </w:instrText>
      </w:r>
      <w:r>
        <w:rPr>
          <w:rFonts w:hint="eastAsia"/>
          <w:i w:val="0"/>
          <w:iCs w:val="0"/>
        </w:rPr>
        <w:fldChar w:fldCharType="separate"/>
      </w:r>
      <w:r>
        <w:rPr>
          <w:rFonts w:hint="eastAsia" w:hAnsi="宋体"/>
          <w:i w:val="0"/>
          <w:iCs w:val="0"/>
        </w:rPr>
        <w:t>四．开标、评标及定标</w:t>
      </w:r>
      <w:r>
        <w:rPr>
          <w:i w:val="0"/>
          <w:iCs w:val="0"/>
        </w:rPr>
        <w:tab/>
      </w:r>
      <w:r>
        <w:rPr>
          <w:i w:val="0"/>
          <w:iCs w:val="0"/>
        </w:rPr>
        <w:fldChar w:fldCharType="begin"/>
      </w:r>
      <w:r>
        <w:rPr>
          <w:i w:val="0"/>
          <w:iCs w:val="0"/>
        </w:rPr>
        <w:instrText xml:space="preserve"> PAGEREF _Toc21138 \h </w:instrText>
      </w:r>
      <w:r>
        <w:rPr>
          <w:i w:val="0"/>
          <w:iCs w:val="0"/>
        </w:rPr>
        <w:fldChar w:fldCharType="separate"/>
      </w:r>
      <w:r>
        <w:rPr>
          <w:i w:val="0"/>
          <w:iCs w:val="0"/>
        </w:rPr>
        <w:t>8</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_Toc25212 </w:instrText>
      </w:r>
      <w:r>
        <w:rPr>
          <w:rFonts w:hint="eastAsia"/>
          <w:i w:val="0"/>
          <w:iCs w:val="0"/>
        </w:rPr>
        <w:fldChar w:fldCharType="separate"/>
      </w:r>
      <w:r>
        <w:rPr>
          <w:rFonts w:hint="eastAsia" w:hAnsi="宋体"/>
          <w:i w:val="0"/>
          <w:iCs w:val="0"/>
        </w:rPr>
        <w:t>五. 投标信息发布</w:t>
      </w:r>
      <w:r>
        <w:rPr>
          <w:i w:val="0"/>
          <w:iCs w:val="0"/>
        </w:rPr>
        <w:tab/>
      </w:r>
      <w:r>
        <w:rPr>
          <w:i w:val="0"/>
          <w:iCs w:val="0"/>
        </w:rPr>
        <w:fldChar w:fldCharType="begin"/>
      </w:r>
      <w:r>
        <w:rPr>
          <w:i w:val="0"/>
          <w:iCs w:val="0"/>
        </w:rPr>
        <w:instrText xml:space="preserve"> PAGEREF _Toc25212 \h </w:instrText>
      </w:r>
      <w:r>
        <w:rPr>
          <w:i w:val="0"/>
          <w:iCs w:val="0"/>
        </w:rPr>
        <w:fldChar w:fldCharType="separate"/>
      </w:r>
      <w:r>
        <w:rPr>
          <w:i w:val="0"/>
          <w:iCs w:val="0"/>
        </w:rPr>
        <w:t>11</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_Toc3730 </w:instrText>
      </w:r>
      <w:r>
        <w:rPr>
          <w:rFonts w:hint="eastAsia"/>
          <w:i w:val="0"/>
          <w:iCs w:val="0"/>
        </w:rPr>
        <w:fldChar w:fldCharType="separate"/>
      </w:r>
      <w:r>
        <w:rPr>
          <w:rFonts w:hint="eastAsia" w:hAnsi="宋体"/>
          <w:i w:val="0"/>
          <w:iCs w:val="0"/>
        </w:rPr>
        <w:t>六．投标文件的澄清</w:t>
      </w:r>
      <w:r>
        <w:rPr>
          <w:i w:val="0"/>
          <w:iCs w:val="0"/>
        </w:rPr>
        <w:tab/>
      </w:r>
      <w:r>
        <w:rPr>
          <w:i w:val="0"/>
          <w:iCs w:val="0"/>
        </w:rPr>
        <w:fldChar w:fldCharType="begin"/>
      </w:r>
      <w:r>
        <w:rPr>
          <w:i w:val="0"/>
          <w:iCs w:val="0"/>
        </w:rPr>
        <w:instrText xml:space="preserve"> PAGEREF _Toc3730 \h </w:instrText>
      </w:r>
      <w:r>
        <w:rPr>
          <w:i w:val="0"/>
          <w:iCs w:val="0"/>
        </w:rPr>
        <w:fldChar w:fldCharType="separate"/>
      </w:r>
      <w:r>
        <w:rPr>
          <w:i w:val="0"/>
          <w:iCs w:val="0"/>
        </w:rPr>
        <w:t>11</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_Toc2755 </w:instrText>
      </w:r>
      <w:r>
        <w:rPr>
          <w:rFonts w:hint="eastAsia"/>
          <w:i w:val="0"/>
          <w:iCs w:val="0"/>
        </w:rPr>
        <w:fldChar w:fldCharType="separate"/>
      </w:r>
      <w:r>
        <w:rPr>
          <w:rFonts w:hint="eastAsia" w:hAnsi="宋体"/>
          <w:i w:val="0"/>
          <w:iCs w:val="0"/>
        </w:rPr>
        <w:t>七.中标通知书</w:t>
      </w:r>
      <w:r>
        <w:rPr>
          <w:i w:val="0"/>
          <w:iCs w:val="0"/>
        </w:rPr>
        <w:tab/>
      </w:r>
      <w:r>
        <w:rPr>
          <w:i w:val="0"/>
          <w:iCs w:val="0"/>
        </w:rPr>
        <w:fldChar w:fldCharType="begin"/>
      </w:r>
      <w:r>
        <w:rPr>
          <w:i w:val="0"/>
          <w:iCs w:val="0"/>
        </w:rPr>
        <w:instrText xml:space="preserve"> PAGEREF _Toc2755 \h </w:instrText>
      </w:r>
      <w:r>
        <w:rPr>
          <w:i w:val="0"/>
          <w:iCs w:val="0"/>
        </w:rPr>
        <w:fldChar w:fldCharType="separate"/>
      </w:r>
      <w:r>
        <w:rPr>
          <w:i w:val="0"/>
          <w:iCs w:val="0"/>
        </w:rPr>
        <w:t>11</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_Toc6406 </w:instrText>
      </w:r>
      <w:r>
        <w:rPr>
          <w:rFonts w:hint="eastAsia"/>
          <w:i w:val="0"/>
          <w:iCs w:val="0"/>
        </w:rPr>
        <w:fldChar w:fldCharType="separate"/>
      </w:r>
      <w:r>
        <w:rPr>
          <w:rFonts w:hint="eastAsia" w:hAnsi="宋体"/>
          <w:i w:val="0"/>
          <w:iCs w:val="0"/>
        </w:rPr>
        <w:t>八.异议处理</w:t>
      </w:r>
      <w:r>
        <w:rPr>
          <w:i w:val="0"/>
          <w:iCs w:val="0"/>
        </w:rPr>
        <w:tab/>
      </w:r>
      <w:r>
        <w:rPr>
          <w:i w:val="0"/>
          <w:iCs w:val="0"/>
        </w:rPr>
        <w:fldChar w:fldCharType="begin"/>
      </w:r>
      <w:r>
        <w:rPr>
          <w:i w:val="0"/>
          <w:iCs w:val="0"/>
        </w:rPr>
        <w:instrText xml:space="preserve"> PAGEREF _Toc6406 \h </w:instrText>
      </w:r>
      <w:r>
        <w:rPr>
          <w:i w:val="0"/>
          <w:iCs w:val="0"/>
        </w:rPr>
        <w:fldChar w:fldCharType="separate"/>
      </w:r>
      <w:r>
        <w:rPr>
          <w:i w:val="0"/>
          <w:iCs w:val="0"/>
        </w:rPr>
        <w:t>12</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_Toc6443 </w:instrText>
      </w:r>
      <w:r>
        <w:rPr>
          <w:rFonts w:hint="eastAsia"/>
          <w:i w:val="0"/>
          <w:iCs w:val="0"/>
        </w:rPr>
        <w:fldChar w:fldCharType="separate"/>
      </w:r>
      <w:r>
        <w:rPr>
          <w:rFonts w:hint="eastAsia" w:hAnsi="宋体"/>
          <w:i w:val="0"/>
          <w:iCs w:val="0"/>
        </w:rPr>
        <w:t>九．签订合同</w:t>
      </w:r>
      <w:r>
        <w:rPr>
          <w:i w:val="0"/>
          <w:iCs w:val="0"/>
        </w:rPr>
        <w:tab/>
      </w:r>
      <w:r>
        <w:rPr>
          <w:i w:val="0"/>
          <w:iCs w:val="0"/>
        </w:rPr>
        <w:fldChar w:fldCharType="begin"/>
      </w:r>
      <w:r>
        <w:rPr>
          <w:i w:val="0"/>
          <w:iCs w:val="0"/>
        </w:rPr>
        <w:instrText xml:space="preserve"> PAGEREF _Toc6443 \h </w:instrText>
      </w:r>
      <w:r>
        <w:rPr>
          <w:i w:val="0"/>
          <w:iCs w:val="0"/>
        </w:rPr>
        <w:fldChar w:fldCharType="separate"/>
      </w:r>
      <w:r>
        <w:rPr>
          <w:i w:val="0"/>
          <w:iCs w:val="0"/>
        </w:rPr>
        <w:t>12</w:t>
      </w:r>
      <w:r>
        <w:rPr>
          <w:i w:val="0"/>
          <w:iCs w:val="0"/>
        </w:rPr>
        <w:fldChar w:fldCharType="end"/>
      </w:r>
      <w:r>
        <w:rPr>
          <w:rFonts w:hint="eastAsia"/>
          <w:i w:val="0"/>
          <w:iCs w:val="0"/>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_Toc15777 </w:instrText>
      </w:r>
      <w:r>
        <w:rPr>
          <w:rFonts w:hint="eastAsia"/>
          <w:i w:val="0"/>
          <w:iCs w:val="0"/>
        </w:rPr>
        <w:fldChar w:fldCharType="separate"/>
      </w:r>
      <w:r>
        <w:rPr>
          <w:rFonts w:hint="eastAsia" w:ascii="宋体" w:hAnsi="宋体" w:eastAsia="宋体"/>
          <w:i w:val="0"/>
          <w:iCs w:val="0"/>
        </w:rPr>
        <w:t>第四章</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_Toc15777 \h </w:instrText>
      </w:r>
      <w:r>
        <w:rPr>
          <w:i w:val="0"/>
          <w:iCs w:val="0"/>
        </w:rPr>
        <w:fldChar w:fldCharType="separate"/>
      </w:r>
      <w:r>
        <w:rPr>
          <w:i w:val="0"/>
          <w:iCs w:val="0"/>
        </w:rPr>
        <w:t>13</w:t>
      </w:r>
      <w:r>
        <w:rPr>
          <w:i w:val="0"/>
          <w:iCs w:val="0"/>
        </w:rPr>
        <w:fldChar w:fldCharType="end"/>
      </w:r>
      <w:r>
        <w:rPr>
          <w:rFonts w:hint="eastAsia"/>
          <w:i w:val="0"/>
          <w:iCs w:val="0"/>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_Toc12411 </w:instrText>
      </w:r>
      <w:r>
        <w:rPr>
          <w:rFonts w:hint="eastAsia"/>
          <w:i w:val="0"/>
          <w:iCs w:val="0"/>
        </w:rPr>
        <w:fldChar w:fldCharType="separate"/>
      </w:r>
      <w:r>
        <w:rPr>
          <w:rFonts w:hint="eastAsia" w:ascii="宋体" w:hAnsi="宋体" w:eastAsia="宋体"/>
          <w:i w:val="0"/>
          <w:iCs w:val="0"/>
        </w:rPr>
        <w:t>第五章 评标办法</w:t>
      </w:r>
      <w:r>
        <w:rPr>
          <w:i w:val="0"/>
          <w:iCs w:val="0"/>
        </w:rPr>
        <w:tab/>
      </w:r>
      <w:r>
        <w:rPr>
          <w:i w:val="0"/>
          <w:iCs w:val="0"/>
        </w:rPr>
        <w:fldChar w:fldCharType="begin"/>
      </w:r>
      <w:r>
        <w:rPr>
          <w:i w:val="0"/>
          <w:iCs w:val="0"/>
        </w:rPr>
        <w:instrText xml:space="preserve"> PAGEREF _Toc12411 \h </w:instrText>
      </w:r>
      <w:r>
        <w:rPr>
          <w:i w:val="0"/>
          <w:iCs w:val="0"/>
        </w:rPr>
        <w:fldChar w:fldCharType="separate"/>
      </w:r>
      <w:r>
        <w:rPr>
          <w:i w:val="0"/>
          <w:iCs w:val="0"/>
        </w:rPr>
        <w:t>17</w:t>
      </w:r>
      <w:r>
        <w:rPr>
          <w:i w:val="0"/>
          <w:iCs w:val="0"/>
        </w:rPr>
        <w:fldChar w:fldCharType="end"/>
      </w:r>
      <w:r>
        <w:rPr>
          <w:rFonts w:hint="eastAsia"/>
          <w:i w:val="0"/>
          <w:iCs w:val="0"/>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_Toc2669 </w:instrText>
      </w:r>
      <w:r>
        <w:rPr>
          <w:rFonts w:hint="eastAsia"/>
          <w:i w:val="0"/>
          <w:iCs w:val="0"/>
        </w:rPr>
        <w:fldChar w:fldCharType="separate"/>
      </w:r>
      <w:r>
        <w:rPr>
          <w:rFonts w:hint="eastAsia" w:ascii="宋体" w:hAnsi="宋体" w:eastAsia="宋体"/>
          <w:i w:val="0"/>
          <w:iCs w:val="0"/>
        </w:rPr>
        <w:t>第六章 合同</w:t>
      </w:r>
      <w:r>
        <w:rPr>
          <w:i w:val="0"/>
          <w:iCs w:val="0"/>
        </w:rPr>
        <w:tab/>
      </w:r>
      <w:r>
        <w:rPr>
          <w:i w:val="0"/>
          <w:iCs w:val="0"/>
        </w:rPr>
        <w:fldChar w:fldCharType="begin"/>
      </w:r>
      <w:r>
        <w:rPr>
          <w:i w:val="0"/>
          <w:iCs w:val="0"/>
        </w:rPr>
        <w:instrText xml:space="preserve"> PAGEREF _Toc2669 \h </w:instrText>
      </w:r>
      <w:r>
        <w:rPr>
          <w:i w:val="0"/>
          <w:iCs w:val="0"/>
        </w:rPr>
        <w:fldChar w:fldCharType="separate"/>
      </w:r>
      <w:r>
        <w:rPr>
          <w:i w:val="0"/>
          <w:iCs w:val="0"/>
        </w:rPr>
        <w:t>25</w:t>
      </w:r>
      <w:r>
        <w:rPr>
          <w:i w:val="0"/>
          <w:iCs w:val="0"/>
        </w:rPr>
        <w:fldChar w:fldCharType="end"/>
      </w:r>
      <w:r>
        <w:rPr>
          <w:rFonts w:hint="eastAsia"/>
          <w:i w:val="0"/>
          <w:iCs w:val="0"/>
          <w:color w:val="000000" w:themeColor="text1"/>
        </w:rPr>
        <w:fldChar w:fldCharType="end"/>
      </w:r>
    </w:p>
    <w:p>
      <w:pPr>
        <w:pStyle w:val="42"/>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_Toc11145 </w:instrText>
      </w:r>
      <w:r>
        <w:rPr>
          <w:rFonts w:hint="eastAsia"/>
          <w:i w:val="0"/>
          <w:iCs w:val="0"/>
        </w:rPr>
        <w:fldChar w:fldCharType="separate"/>
      </w:r>
      <w:r>
        <w:rPr>
          <w:rFonts w:hint="eastAsia" w:ascii="宋体" w:hAnsi="宋体" w:eastAsia="宋体"/>
          <w:i w:val="0"/>
          <w:iCs w:val="0"/>
        </w:rPr>
        <w:t>第七章 投标文件格式</w:t>
      </w:r>
      <w:r>
        <w:rPr>
          <w:i w:val="0"/>
          <w:iCs w:val="0"/>
        </w:rPr>
        <w:tab/>
      </w:r>
      <w:r>
        <w:rPr>
          <w:i w:val="0"/>
          <w:iCs w:val="0"/>
        </w:rPr>
        <w:fldChar w:fldCharType="begin"/>
      </w:r>
      <w:r>
        <w:rPr>
          <w:i w:val="0"/>
          <w:iCs w:val="0"/>
        </w:rPr>
        <w:instrText xml:space="preserve"> PAGEREF _Toc11145 \h </w:instrText>
      </w:r>
      <w:r>
        <w:rPr>
          <w:i w:val="0"/>
          <w:iCs w:val="0"/>
        </w:rPr>
        <w:fldChar w:fldCharType="separate"/>
      </w:r>
      <w:r>
        <w:rPr>
          <w:i w:val="0"/>
          <w:iCs w:val="0"/>
        </w:rPr>
        <w:t>35</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_Toc10251 </w:instrText>
      </w:r>
      <w:r>
        <w:rPr>
          <w:rFonts w:hint="eastAsia"/>
          <w:i w:val="0"/>
          <w:iCs w:val="0"/>
        </w:rPr>
        <w:fldChar w:fldCharType="separate"/>
      </w:r>
      <w:r>
        <w:rPr>
          <w:rFonts w:hint="eastAsia" w:hAnsi="宋体"/>
          <w:i w:val="0"/>
          <w:iCs w:val="0"/>
        </w:rPr>
        <w:t>一．投标函</w:t>
      </w:r>
      <w:r>
        <w:rPr>
          <w:i w:val="0"/>
          <w:iCs w:val="0"/>
        </w:rPr>
        <w:tab/>
      </w:r>
      <w:r>
        <w:rPr>
          <w:i w:val="0"/>
          <w:iCs w:val="0"/>
        </w:rPr>
        <w:fldChar w:fldCharType="begin"/>
      </w:r>
      <w:r>
        <w:rPr>
          <w:i w:val="0"/>
          <w:iCs w:val="0"/>
        </w:rPr>
        <w:instrText xml:space="preserve"> PAGEREF _Toc10251 \h </w:instrText>
      </w:r>
      <w:r>
        <w:rPr>
          <w:i w:val="0"/>
          <w:iCs w:val="0"/>
        </w:rPr>
        <w:fldChar w:fldCharType="separate"/>
      </w:r>
      <w:r>
        <w:rPr>
          <w:i w:val="0"/>
          <w:iCs w:val="0"/>
        </w:rPr>
        <w:t>37</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_Toc3317 </w:instrText>
      </w:r>
      <w:r>
        <w:rPr>
          <w:rFonts w:hint="eastAsia"/>
          <w:i w:val="0"/>
          <w:iCs w:val="0"/>
        </w:rPr>
        <w:fldChar w:fldCharType="separate"/>
      </w:r>
      <w:r>
        <w:rPr>
          <w:rFonts w:hint="eastAsia" w:hAnsi="宋体"/>
          <w:i w:val="0"/>
          <w:iCs w:val="0"/>
        </w:rPr>
        <w:t>二．投标人情况综合简介</w:t>
      </w:r>
      <w:r>
        <w:rPr>
          <w:i w:val="0"/>
          <w:iCs w:val="0"/>
        </w:rPr>
        <w:tab/>
      </w:r>
      <w:r>
        <w:rPr>
          <w:i w:val="0"/>
          <w:iCs w:val="0"/>
        </w:rPr>
        <w:fldChar w:fldCharType="begin"/>
      </w:r>
      <w:r>
        <w:rPr>
          <w:i w:val="0"/>
          <w:iCs w:val="0"/>
        </w:rPr>
        <w:instrText xml:space="preserve"> PAGEREF _Toc3317 \h </w:instrText>
      </w:r>
      <w:r>
        <w:rPr>
          <w:i w:val="0"/>
          <w:iCs w:val="0"/>
        </w:rPr>
        <w:fldChar w:fldCharType="separate"/>
      </w:r>
      <w:r>
        <w:rPr>
          <w:i w:val="0"/>
          <w:iCs w:val="0"/>
        </w:rPr>
        <w:t>38</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_Toc8473 </w:instrText>
      </w:r>
      <w:r>
        <w:rPr>
          <w:rFonts w:hint="eastAsia"/>
          <w:i w:val="0"/>
          <w:iCs w:val="0"/>
        </w:rPr>
        <w:fldChar w:fldCharType="separate"/>
      </w:r>
      <w:r>
        <w:rPr>
          <w:rFonts w:hint="eastAsia" w:hAnsi="宋体"/>
          <w:i w:val="0"/>
          <w:iCs w:val="0"/>
        </w:rPr>
        <w:t>三．开标一览表</w:t>
      </w:r>
      <w:r>
        <w:rPr>
          <w:i w:val="0"/>
          <w:iCs w:val="0"/>
        </w:rPr>
        <w:tab/>
      </w:r>
      <w:r>
        <w:rPr>
          <w:i w:val="0"/>
          <w:iCs w:val="0"/>
        </w:rPr>
        <w:fldChar w:fldCharType="begin"/>
      </w:r>
      <w:r>
        <w:rPr>
          <w:i w:val="0"/>
          <w:iCs w:val="0"/>
        </w:rPr>
        <w:instrText xml:space="preserve"> PAGEREF _Toc8473 \h </w:instrText>
      </w:r>
      <w:r>
        <w:rPr>
          <w:i w:val="0"/>
          <w:iCs w:val="0"/>
        </w:rPr>
        <w:fldChar w:fldCharType="separate"/>
      </w:r>
      <w:r>
        <w:rPr>
          <w:i w:val="0"/>
          <w:iCs w:val="0"/>
        </w:rPr>
        <w:t>39</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_Toc25972 </w:instrText>
      </w:r>
      <w:r>
        <w:rPr>
          <w:rFonts w:hint="eastAsia"/>
          <w:i w:val="0"/>
          <w:iCs w:val="0"/>
        </w:rPr>
        <w:fldChar w:fldCharType="separate"/>
      </w:r>
      <w:r>
        <w:rPr>
          <w:rFonts w:hint="eastAsia" w:hAnsi="宋体"/>
          <w:i w:val="0"/>
          <w:iCs w:val="0"/>
        </w:rPr>
        <w:t>五．投标人信用承诺</w:t>
      </w:r>
      <w:r>
        <w:rPr>
          <w:i w:val="0"/>
          <w:iCs w:val="0"/>
        </w:rPr>
        <w:tab/>
      </w:r>
      <w:r>
        <w:rPr>
          <w:i w:val="0"/>
          <w:iCs w:val="0"/>
        </w:rPr>
        <w:fldChar w:fldCharType="begin"/>
      </w:r>
      <w:r>
        <w:rPr>
          <w:i w:val="0"/>
          <w:iCs w:val="0"/>
        </w:rPr>
        <w:instrText xml:space="preserve"> PAGEREF _Toc25972 \h </w:instrText>
      </w:r>
      <w:r>
        <w:rPr>
          <w:i w:val="0"/>
          <w:iCs w:val="0"/>
        </w:rPr>
        <w:fldChar w:fldCharType="separate"/>
      </w:r>
      <w:r>
        <w:rPr>
          <w:i w:val="0"/>
          <w:iCs w:val="0"/>
        </w:rPr>
        <w:t>41</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_Toc31170 </w:instrText>
      </w:r>
      <w:r>
        <w:rPr>
          <w:rFonts w:hint="eastAsia"/>
          <w:i w:val="0"/>
          <w:iCs w:val="0"/>
        </w:rPr>
        <w:fldChar w:fldCharType="separate"/>
      </w:r>
      <w:r>
        <w:rPr>
          <w:rFonts w:hint="eastAsia" w:hAnsi="宋体"/>
          <w:i w:val="0"/>
          <w:iCs w:val="0"/>
        </w:rPr>
        <w:t>六. 投标业绩</w:t>
      </w:r>
      <w:r>
        <w:rPr>
          <w:i w:val="0"/>
          <w:iCs w:val="0"/>
        </w:rPr>
        <w:tab/>
      </w:r>
      <w:r>
        <w:rPr>
          <w:i w:val="0"/>
          <w:iCs w:val="0"/>
        </w:rPr>
        <w:fldChar w:fldCharType="begin"/>
      </w:r>
      <w:r>
        <w:rPr>
          <w:i w:val="0"/>
          <w:iCs w:val="0"/>
        </w:rPr>
        <w:instrText xml:space="preserve"> PAGEREF _Toc31170 \h </w:instrText>
      </w:r>
      <w:r>
        <w:rPr>
          <w:i w:val="0"/>
          <w:iCs w:val="0"/>
        </w:rPr>
        <w:fldChar w:fldCharType="separate"/>
      </w:r>
      <w:r>
        <w:rPr>
          <w:i w:val="0"/>
          <w:iCs w:val="0"/>
        </w:rPr>
        <w:t>42</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_Toc11687 </w:instrText>
      </w:r>
      <w:r>
        <w:rPr>
          <w:rFonts w:hint="eastAsia"/>
          <w:i w:val="0"/>
          <w:iCs w:val="0"/>
        </w:rPr>
        <w:fldChar w:fldCharType="separate"/>
      </w:r>
      <w:r>
        <w:rPr>
          <w:rFonts w:hint="eastAsia" w:hAnsi="宋体"/>
          <w:i w:val="0"/>
          <w:iCs w:val="0"/>
        </w:rPr>
        <w:t>七．拟投入本项目的人员情况</w:t>
      </w:r>
      <w:r>
        <w:rPr>
          <w:i w:val="0"/>
          <w:iCs w:val="0"/>
        </w:rPr>
        <w:tab/>
      </w:r>
      <w:r>
        <w:rPr>
          <w:i w:val="0"/>
          <w:iCs w:val="0"/>
        </w:rPr>
        <w:fldChar w:fldCharType="begin"/>
      </w:r>
      <w:r>
        <w:rPr>
          <w:i w:val="0"/>
          <w:iCs w:val="0"/>
        </w:rPr>
        <w:instrText xml:space="preserve"> PAGEREF _Toc11687 \h </w:instrText>
      </w:r>
      <w:r>
        <w:rPr>
          <w:i w:val="0"/>
          <w:iCs w:val="0"/>
        </w:rPr>
        <w:fldChar w:fldCharType="separate"/>
      </w:r>
      <w:r>
        <w:rPr>
          <w:i w:val="0"/>
          <w:iCs w:val="0"/>
        </w:rPr>
        <w:t>43</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_Toc16573 </w:instrText>
      </w:r>
      <w:r>
        <w:rPr>
          <w:rFonts w:hint="eastAsia"/>
          <w:i w:val="0"/>
          <w:iCs w:val="0"/>
        </w:rPr>
        <w:fldChar w:fldCharType="separate"/>
      </w:r>
      <w:r>
        <w:rPr>
          <w:rFonts w:hint="eastAsia" w:hAnsi="宋体"/>
          <w:i w:val="0"/>
          <w:iCs w:val="0"/>
        </w:rPr>
        <w:t>八．服务方案</w:t>
      </w:r>
      <w:r>
        <w:rPr>
          <w:i w:val="0"/>
          <w:iCs w:val="0"/>
        </w:rPr>
        <w:tab/>
      </w:r>
      <w:r>
        <w:rPr>
          <w:i w:val="0"/>
          <w:iCs w:val="0"/>
        </w:rPr>
        <w:fldChar w:fldCharType="begin"/>
      </w:r>
      <w:r>
        <w:rPr>
          <w:i w:val="0"/>
          <w:iCs w:val="0"/>
        </w:rPr>
        <w:instrText xml:space="preserve"> PAGEREF _Toc16573 \h </w:instrText>
      </w:r>
      <w:r>
        <w:rPr>
          <w:i w:val="0"/>
          <w:iCs w:val="0"/>
        </w:rPr>
        <w:fldChar w:fldCharType="separate"/>
      </w:r>
      <w:r>
        <w:rPr>
          <w:i w:val="0"/>
          <w:iCs w:val="0"/>
        </w:rPr>
        <w:t>43</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_Toc14238 </w:instrText>
      </w:r>
      <w:r>
        <w:rPr>
          <w:rFonts w:hint="eastAsia"/>
          <w:i w:val="0"/>
          <w:iCs w:val="0"/>
        </w:rPr>
        <w:fldChar w:fldCharType="separate"/>
      </w:r>
      <w:r>
        <w:rPr>
          <w:rFonts w:hint="eastAsia" w:hAnsi="宋体"/>
          <w:i w:val="0"/>
          <w:iCs w:val="0"/>
        </w:rPr>
        <w:t>九．有关证明文件</w:t>
      </w:r>
      <w:r>
        <w:rPr>
          <w:i w:val="0"/>
          <w:iCs w:val="0"/>
        </w:rPr>
        <w:tab/>
      </w:r>
      <w:r>
        <w:rPr>
          <w:i w:val="0"/>
          <w:iCs w:val="0"/>
        </w:rPr>
        <w:fldChar w:fldCharType="begin"/>
      </w:r>
      <w:r>
        <w:rPr>
          <w:i w:val="0"/>
          <w:iCs w:val="0"/>
        </w:rPr>
        <w:instrText xml:space="preserve"> PAGEREF _Toc14238 \h </w:instrText>
      </w:r>
      <w:r>
        <w:rPr>
          <w:i w:val="0"/>
          <w:iCs w:val="0"/>
        </w:rPr>
        <w:fldChar w:fldCharType="separate"/>
      </w:r>
      <w:r>
        <w:rPr>
          <w:i w:val="0"/>
          <w:iCs w:val="0"/>
        </w:rPr>
        <w:t>43</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_Toc19778 </w:instrText>
      </w:r>
      <w:r>
        <w:rPr>
          <w:rFonts w:hint="eastAsia"/>
          <w:i w:val="0"/>
          <w:iCs w:val="0"/>
        </w:rPr>
        <w:fldChar w:fldCharType="separate"/>
      </w:r>
      <w:r>
        <w:rPr>
          <w:rFonts w:hint="eastAsia" w:hAnsi="宋体"/>
          <w:i w:val="0"/>
          <w:iCs w:val="0"/>
        </w:rPr>
        <w:t>十．投标授权书</w:t>
      </w:r>
      <w:r>
        <w:rPr>
          <w:i w:val="0"/>
          <w:iCs w:val="0"/>
        </w:rPr>
        <w:tab/>
      </w:r>
      <w:r>
        <w:rPr>
          <w:i w:val="0"/>
          <w:iCs w:val="0"/>
        </w:rPr>
        <w:fldChar w:fldCharType="begin"/>
      </w:r>
      <w:r>
        <w:rPr>
          <w:i w:val="0"/>
          <w:iCs w:val="0"/>
        </w:rPr>
        <w:instrText xml:space="preserve"> PAGEREF _Toc19778 \h </w:instrText>
      </w:r>
      <w:r>
        <w:rPr>
          <w:i w:val="0"/>
          <w:iCs w:val="0"/>
        </w:rPr>
        <w:fldChar w:fldCharType="separate"/>
      </w:r>
      <w:r>
        <w:rPr>
          <w:i w:val="0"/>
          <w:iCs w:val="0"/>
        </w:rPr>
        <w:t>44</w:t>
      </w:r>
      <w:r>
        <w:rPr>
          <w:i w:val="0"/>
          <w:iCs w:val="0"/>
        </w:rPr>
        <w:fldChar w:fldCharType="end"/>
      </w:r>
      <w:r>
        <w:rPr>
          <w:rFonts w:hint="eastAsia"/>
          <w:i w:val="0"/>
          <w:iCs w:val="0"/>
          <w:color w:val="000000" w:themeColor="text1"/>
        </w:rPr>
        <w:fldChar w:fldCharType="end"/>
      </w:r>
    </w:p>
    <w:p>
      <w:pPr>
        <w:pStyle w:val="24"/>
        <w:tabs>
          <w:tab w:val="right" w:leader="dot" w:pos="9413"/>
          <w:tab w:val="clear" w:pos="9403"/>
        </w:tabs>
        <w:rPr>
          <w:i w:val="0"/>
          <w:iCs w:val="0"/>
        </w:rPr>
      </w:pPr>
      <w:r>
        <w:rPr>
          <w:rFonts w:hint="eastAsia"/>
          <w:i w:val="0"/>
          <w:iCs w:val="0"/>
          <w:color w:val="000000" w:themeColor="text1"/>
        </w:rPr>
        <w:fldChar w:fldCharType="begin"/>
      </w:r>
      <w:r>
        <w:rPr>
          <w:rFonts w:hint="eastAsia"/>
          <w:i w:val="0"/>
          <w:iCs w:val="0"/>
        </w:rPr>
        <w:instrText xml:space="preserve"> HYPERLINK \l _Toc15728 </w:instrText>
      </w:r>
      <w:r>
        <w:rPr>
          <w:rFonts w:hint="eastAsia"/>
          <w:i w:val="0"/>
          <w:iCs w:val="0"/>
        </w:rPr>
        <w:fldChar w:fldCharType="separate"/>
      </w:r>
      <w:r>
        <w:rPr>
          <w:rFonts w:hint="eastAsia" w:hAnsi="宋体"/>
          <w:i w:val="0"/>
          <w:iCs w:val="0"/>
        </w:rPr>
        <w:t>十一．投标人认为需提供的其他资料</w:t>
      </w:r>
      <w:r>
        <w:rPr>
          <w:i w:val="0"/>
          <w:iCs w:val="0"/>
        </w:rPr>
        <w:tab/>
      </w:r>
      <w:r>
        <w:rPr>
          <w:i w:val="0"/>
          <w:iCs w:val="0"/>
        </w:rPr>
        <w:fldChar w:fldCharType="begin"/>
      </w:r>
      <w:r>
        <w:rPr>
          <w:i w:val="0"/>
          <w:iCs w:val="0"/>
        </w:rPr>
        <w:instrText xml:space="preserve"> PAGEREF _Toc15728 \h </w:instrText>
      </w:r>
      <w:r>
        <w:rPr>
          <w:i w:val="0"/>
          <w:iCs w:val="0"/>
        </w:rPr>
        <w:fldChar w:fldCharType="separate"/>
      </w:r>
      <w:r>
        <w:rPr>
          <w:i w:val="0"/>
          <w:iCs w:val="0"/>
        </w:rPr>
        <w:t>46</w:t>
      </w:r>
      <w:r>
        <w:rPr>
          <w:i w:val="0"/>
          <w:iCs w:val="0"/>
        </w:rPr>
        <w:fldChar w:fldCharType="end"/>
      </w:r>
      <w:r>
        <w:rPr>
          <w:rFonts w:hint="eastAsia"/>
          <w:i w:val="0"/>
          <w:iCs w:val="0"/>
          <w:color w:val="000000" w:themeColor="text1"/>
        </w:rPr>
        <w:fldChar w:fldCharType="end"/>
      </w:r>
    </w:p>
    <w:p>
      <w:pPr>
        <w:pStyle w:val="24"/>
        <w:rPr>
          <w:i w:val="0"/>
          <w:color w:val="000000" w:themeColor="text1"/>
        </w:rPr>
      </w:pPr>
      <w:r>
        <w:rPr>
          <w:rFonts w:hint="eastAsia"/>
          <w:i w:val="0"/>
          <w:iCs w:val="0"/>
          <w:color w:val="000000" w:themeColor="text1"/>
        </w:rPr>
        <w:fldChar w:fldCharType="end"/>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4"/>
        <w:spacing w:before="0" w:after="0" w:line="430" w:lineRule="exact"/>
        <w:ind w:firstLine="0"/>
        <w:rPr>
          <w:rFonts w:ascii="宋体" w:hAnsi="宋体" w:eastAsia="宋体"/>
          <w:color w:val="000000" w:themeColor="text1"/>
        </w:rPr>
      </w:pPr>
      <w:bookmarkStart w:id="3" w:name="_Toc2776"/>
      <w:r>
        <w:rPr>
          <w:rFonts w:hint="eastAsia" w:ascii="宋体" w:hAnsi="宋体" w:eastAsia="宋体"/>
          <w:color w:val="000000" w:themeColor="text1"/>
        </w:rPr>
        <w:t>第一章 投标邀请（招标公告）</w:t>
      </w:r>
      <w:bookmarkEnd w:id="3"/>
    </w:p>
    <w:p>
      <w:pPr>
        <w:rPr>
          <w:color w:val="000000" w:themeColor="text1"/>
        </w:rPr>
      </w:pPr>
    </w:p>
    <w:p>
      <w:pPr>
        <w:autoSpaceDE w:val="0"/>
        <w:autoSpaceDN w:val="0"/>
        <w:adjustRightInd w:val="0"/>
        <w:spacing w:line="360" w:lineRule="auto"/>
        <w:ind w:firstLine="480" w:firstLineChars="200"/>
        <w:jc w:val="left"/>
        <w:rPr>
          <w:rFonts w:ascii="宋体" w:hAnsi="宋体" w:cs="宋体"/>
          <w:color w:val="000000" w:themeColor="text1"/>
          <w:sz w:val="24"/>
          <w:szCs w:val="24"/>
        </w:rPr>
      </w:pPr>
      <w:bookmarkStart w:id="4" w:name="_Hlt510343011"/>
      <w:bookmarkStart w:id="5" w:name="_Hlt510342998"/>
      <w:r>
        <w:rPr>
          <w:rFonts w:hint="eastAsia" w:ascii="宋体" w:hAnsi="宋体"/>
          <w:color w:val="000000" w:themeColor="text1"/>
          <w:sz w:val="24"/>
          <w:szCs w:val="24"/>
        </w:rPr>
        <w:t>合肥文旅博览集团有限公司（以下简称：文旅博览集团）受合肥市政文外滩物业管理有限公司委托，现对</w:t>
      </w:r>
      <w:r>
        <w:rPr>
          <w:rFonts w:hint="eastAsia" w:ascii="宋体" w:hAnsi="宋体" w:cs="宋体"/>
          <w:color w:val="000000" w:themeColor="text1"/>
          <w:sz w:val="24"/>
          <w:szCs w:val="24"/>
        </w:rPr>
        <w:t>合肥市服务中心保安外包服务项目</w:t>
      </w:r>
      <w:r>
        <w:rPr>
          <w:rFonts w:hint="eastAsia" w:ascii="宋体" w:hAnsi="宋体"/>
          <w:color w:val="000000" w:themeColor="text1"/>
          <w:sz w:val="24"/>
          <w:szCs w:val="24"/>
        </w:rPr>
        <w:t>（以下简称：本项目）进行公开招标，欢迎具备条件的投标人参加投标。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一、项目名称及内容</w:t>
      </w:r>
    </w:p>
    <w:p>
      <w:pPr>
        <w:autoSpaceDE w:val="0"/>
        <w:autoSpaceDN w:val="0"/>
        <w:adjustRightInd w:val="0"/>
        <w:spacing w:line="360" w:lineRule="auto"/>
        <w:ind w:firstLine="240" w:firstLineChars="100"/>
        <w:jc w:val="left"/>
        <w:rPr>
          <w:rFonts w:ascii="宋体" w:hAnsi="宋体" w:cs="宋体"/>
          <w:color w:val="000000" w:themeColor="text1"/>
          <w:sz w:val="24"/>
          <w:szCs w:val="24"/>
        </w:rPr>
      </w:pPr>
      <w:r>
        <w:rPr>
          <w:rFonts w:hint="eastAsia" w:ascii="宋体" w:hAnsi="宋体"/>
          <w:color w:val="000000" w:themeColor="text1"/>
          <w:sz w:val="24"/>
          <w:szCs w:val="18"/>
        </w:rPr>
        <w:t>1.项目编号：</w:t>
      </w:r>
      <w:r>
        <w:rPr>
          <w:rFonts w:hint="eastAsia" w:ascii="宋体" w:hAnsi="宋体" w:cs="宋体"/>
          <w:color w:val="000000" w:themeColor="text1"/>
          <w:sz w:val="24"/>
          <w:szCs w:val="24"/>
        </w:rPr>
        <w:t>2023WLBLZB00044号</w:t>
      </w:r>
    </w:p>
    <w:p>
      <w:pPr>
        <w:autoSpaceDE w:val="0"/>
        <w:autoSpaceDN w:val="0"/>
        <w:adjustRightInd w:val="0"/>
        <w:spacing w:line="360" w:lineRule="auto"/>
        <w:ind w:firstLine="240" w:firstLineChars="100"/>
        <w:jc w:val="left"/>
        <w:rPr>
          <w:rFonts w:ascii="宋体" w:hAnsi="宋体" w:cs="宋体"/>
          <w:color w:val="000000" w:themeColor="text1"/>
          <w:sz w:val="24"/>
          <w:szCs w:val="24"/>
        </w:rPr>
      </w:pPr>
      <w:r>
        <w:rPr>
          <w:rFonts w:hint="eastAsia" w:ascii="宋体" w:hAnsi="宋体"/>
          <w:color w:val="000000" w:themeColor="text1"/>
          <w:sz w:val="24"/>
          <w:szCs w:val="18"/>
        </w:rPr>
        <w:t>2.项目名称：</w:t>
      </w:r>
      <w:r>
        <w:rPr>
          <w:rFonts w:hint="eastAsia" w:ascii="宋体" w:hAnsi="宋体" w:cs="宋体"/>
          <w:color w:val="000000" w:themeColor="text1"/>
          <w:sz w:val="24"/>
          <w:szCs w:val="24"/>
        </w:rPr>
        <w:t>合肥市服务中心保安外包服务项目</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18"/>
        </w:rPr>
        <w:t>3.项目单位：</w:t>
      </w:r>
      <w:r>
        <w:rPr>
          <w:rFonts w:hint="eastAsia" w:ascii="宋体" w:hAnsi="宋体"/>
          <w:color w:val="000000" w:themeColor="text1"/>
          <w:sz w:val="24"/>
          <w:szCs w:val="24"/>
        </w:rPr>
        <w:t>合肥市政文外滩物业管理有限公司</w:t>
      </w:r>
    </w:p>
    <w:p>
      <w:pPr>
        <w:autoSpaceDE w:val="0"/>
        <w:autoSpaceDN w:val="0"/>
        <w:adjustRightInd w:val="0"/>
        <w:spacing w:line="360" w:lineRule="auto"/>
        <w:ind w:firstLine="200"/>
        <w:jc w:val="left"/>
        <w:rPr>
          <w:rFonts w:ascii="宋体" w:hAnsi="宋体"/>
          <w:color w:val="000000" w:themeColor="text1"/>
          <w:sz w:val="24"/>
          <w:szCs w:val="18"/>
        </w:rPr>
      </w:pPr>
      <w:r>
        <w:rPr>
          <w:rFonts w:hint="eastAsia" w:ascii="宋体" w:hAnsi="宋体"/>
          <w:color w:val="000000" w:themeColor="text1"/>
          <w:sz w:val="24"/>
          <w:szCs w:val="18"/>
        </w:rPr>
        <w:t>4.项目概况：详见招标需求</w:t>
      </w:r>
    </w:p>
    <w:p>
      <w:pPr>
        <w:autoSpaceDE w:val="0"/>
        <w:autoSpaceDN w:val="0"/>
        <w:adjustRightInd w:val="0"/>
        <w:spacing w:line="360" w:lineRule="auto"/>
        <w:ind w:firstLine="200"/>
        <w:jc w:val="left"/>
        <w:rPr>
          <w:rFonts w:ascii="宋体" w:hAnsi="宋体"/>
          <w:color w:val="000000" w:themeColor="text1"/>
          <w:sz w:val="24"/>
          <w:szCs w:val="18"/>
        </w:rPr>
      </w:pPr>
      <w:r>
        <w:rPr>
          <w:rFonts w:hint="eastAsia" w:ascii="宋体" w:hAnsi="宋体"/>
          <w:color w:val="000000" w:themeColor="text1"/>
          <w:sz w:val="24"/>
          <w:szCs w:val="18"/>
        </w:rPr>
        <w:t>5.资金来源：委托人自筹</w:t>
      </w:r>
    </w:p>
    <w:p>
      <w:pPr>
        <w:autoSpaceDE w:val="0"/>
        <w:autoSpaceDN w:val="0"/>
        <w:adjustRightInd w:val="0"/>
        <w:spacing w:line="360" w:lineRule="auto"/>
        <w:ind w:firstLine="200"/>
        <w:jc w:val="left"/>
        <w:rPr>
          <w:rFonts w:ascii="宋体" w:hAnsi="宋体"/>
          <w:color w:val="000000" w:themeColor="text1"/>
          <w:sz w:val="24"/>
          <w:szCs w:val="18"/>
        </w:rPr>
      </w:pPr>
      <w:r>
        <w:rPr>
          <w:rFonts w:hint="eastAsia" w:ascii="宋体" w:hAnsi="宋体"/>
          <w:color w:val="000000" w:themeColor="text1"/>
          <w:sz w:val="24"/>
          <w:szCs w:val="18"/>
        </w:rPr>
        <w:t>6.项目概算：</w:t>
      </w:r>
      <w:r>
        <w:rPr>
          <w:rFonts w:hint="eastAsia" w:ascii="宋体" w:hAnsi="宋体" w:cs="宋体"/>
          <w:color w:val="000000" w:themeColor="text1"/>
          <w:sz w:val="24"/>
          <w:szCs w:val="24"/>
        </w:rPr>
        <w:t>58.275万元</w:t>
      </w:r>
    </w:p>
    <w:p>
      <w:pPr>
        <w:autoSpaceDE w:val="0"/>
        <w:autoSpaceDN w:val="0"/>
        <w:adjustRightInd w:val="0"/>
        <w:spacing w:line="360" w:lineRule="auto"/>
        <w:ind w:firstLine="200"/>
        <w:jc w:val="left"/>
        <w:rPr>
          <w:rFonts w:ascii="宋体" w:hAnsi="宋体"/>
          <w:color w:val="000000" w:themeColor="text1"/>
          <w:sz w:val="24"/>
          <w:szCs w:val="18"/>
        </w:rPr>
      </w:pPr>
      <w:r>
        <w:rPr>
          <w:rFonts w:hint="eastAsia" w:ascii="宋体" w:hAnsi="宋体"/>
          <w:color w:val="000000" w:themeColor="text1"/>
          <w:sz w:val="24"/>
          <w:szCs w:val="18"/>
        </w:rPr>
        <w:t>7.项目类别：服务类</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二、投标人资格</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1.具有独立承担民事责任的能力。</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2</w:t>
      </w:r>
      <w:r>
        <w:rPr>
          <w:rFonts w:ascii="宋体" w:hAnsi="宋体"/>
          <w:color w:val="000000" w:themeColor="text1"/>
          <w:sz w:val="24"/>
          <w:szCs w:val="24"/>
        </w:rPr>
        <w:t>.</w:t>
      </w:r>
      <w:r>
        <w:rPr>
          <w:rFonts w:hint="eastAsia" w:ascii="宋体" w:hAnsi="宋体"/>
          <w:color w:val="000000" w:themeColor="text1"/>
          <w:sz w:val="24"/>
          <w:szCs w:val="24"/>
        </w:rPr>
        <w:t>投标人须具备保安服务许可证。</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3</w:t>
      </w:r>
      <w:r>
        <w:rPr>
          <w:rFonts w:hint="eastAsia" w:ascii="宋体" w:hAnsi="宋体"/>
          <w:color w:val="000000" w:themeColor="text1"/>
          <w:sz w:val="24"/>
          <w:szCs w:val="24"/>
        </w:rPr>
        <w:t>.自2019年1月1日以来（以合同签订时间为准），具有1项政府办公楼类，单项合同金额不小于40万元且保安人数不少于10人的保安服务业绩（业绩需提供合同）；</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rPr>
      </w:pPr>
      <w:r>
        <w:rPr>
          <w:rFonts w:ascii="宋体" w:hAnsi="宋体"/>
          <w:color w:val="000000" w:themeColor="text1"/>
          <w:sz w:val="24"/>
          <w:szCs w:val="24"/>
        </w:rPr>
        <w:t>4</w:t>
      </w:r>
      <w:r>
        <w:rPr>
          <w:rFonts w:hint="eastAsia" w:ascii="宋体" w:hAnsi="宋体"/>
          <w:color w:val="000000" w:themeColor="text1"/>
          <w:sz w:val="24"/>
          <w:szCs w:val="24"/>
        </w:rPr>
        <w:t>.本项目不接受联合体投标。</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.符合下列情形之一：</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1）开标日前两年内未被合肥市公共资源交易监督管理局记不良行为记录或记不良行为记录累计未满10分的。</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2）最近一次被合肥市公共资源交易监督管理局记不良行为记录累计记分达10分（含10分）到15分且公布日距开标日超过6个月。</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3）最近一次被合肥市公共资源交易监督管理局记不良行为记录累计记分达15分（含15分）到20分且公布日距开标日超过12个月。</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4）最近一次被合肥市公共资源交易监督管理局记不良行为记录累计记分达20分（含20分）及以上且公布日距开标日超过24个月。</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6.投标人存在以下不良信用记录情形之一的，不得推荐为中标候选人，不得确定为中标人：</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1）投标人被人民法院列入失信被执行人的；</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 xml:space="preserve">2）投标人或其法定代表人或拟派项目经理（项目负责人）被人民检察院列入行贿犯罪档案的； </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3）投标人被工商行政管理部门列入企业经营异常名录的；</w:t>
      </w:r>
    </w:p>
    <w:p>
      <w:pPr>
        <w:autoSpaceDE w:val="0"/>
        <w:autoSpaceDN w:val="0"/>
        <w:adjustRightInd w:val="0"/>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三、投标报名</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1.报名日期：2023年5月</w:t>
      </w:r>
      <w:r>
        <w:rPr>
          <w:rFonts w:hint="eastAsia" w:ascii="宋体" w:hAnsi="宋体"/>
          <w:bCs/>
          <w:color w:val="000000" w:themeColor="text1"/>
          <w:sz w:val="24"/>
          <w:szCs w:val="24"/>
          <w:lang w:val="en-US" w:eastAsia="zh-CN"/>
        </w:rPr>
        <w:t>30</w:t>
      </w:r>
      <w:r>
        <w:rPr>
          <w:rFonts w:hint="eastAsia" w:ascii="宋体" w:hAnsi="宋体"/>
          <w:bCs/>
          <w:color w:val="000000" w:themeColor="text1"/>
          <w:sz w:val="24"/>
          <w:szCs w:val="24"/>
        </w:rPr>
        <w:t>日上午9：00至 2023年</w:t>
      </w:r>
      <w:r>
        <w:rPr>
          <w:rFonts w:hint="eastAsia" w:ascii="宋体" w:hAnsi="宋体"/>
          <w:bCs/>
          <w:color w:val="000000" w:themeColor="text1"/>
          <w:sz w:val="24"/>
          <w:szCs w:val="24"/>
          <w:lang w:val="en-US" w:eastAsia="zh-CN"/>
        </w:rPr>
        <w:t>6</w:t>
      </w:r>
      <w:r>
        <w:rPr>
          <w:rFonts w:hint="eastAsia" w:ascii="宋体" w:hAnsi="宋体"/>
          <w:bCs/>
          <w:color w:val="000000" w:themeColor="text1"/>
          <w:sz w:val="24"/>
          <w:szCs w:val="24"/>
        </w:rPr>
        <w:t>月</w:t>
      </w:r>
      <w:r>
        <w:rPr>
          <w:rFonts w:hint="eastAsia" w:ascii="宋体" w:hAnsi="宋体"/>
          <w:bCs/>
          <w:color w:val="000000" w:themeColor="text1"/>
          <w:sz w:val="24"/>
          <w:szCs w:val="24"/>
          <w:lang w:val="en-US" w:eastAsia="zh-CN"/>
        </w:rPr>
        <w:t>5</w:t>
      </w:r>
      <w:r>
        <w:rPr>
          <w:rFonts w:hint="eastAsia" w:ascii="宋体" w:hAnsi="宋体"/>
          <w:bCs/>
          <w:color w:val="000000" w:themeColor="text1"/>
          <w:sz w:val="24"/>
          <w:szCs w:val="24"/>
        </w:rPr>
        <w:t>日下午17：00</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2.领取方法：登录文旅博览集团网站</w:t>
      </w:r>
      <w:r>
        <w:rPr>
          <w:rFonts w:hint="eastAsia" w:ascii="宋体" w:hAnsi="宋体"/>
          <w:bCs/>
          <w:color w:val="000000" w:themeColor="text1"/>
          <w:sz w:val="24"/>
          <w:szCs w:val="24"/>
          <w:u w:val="single"/>
        </w:rPr>
        <w:t>http://www.zwzcgl.com</w:t>
      </w:r>
      <w:r>
        <w:rPr>
          <w:rFonts w:hint="eastAsia" w:ascii="宋体" w:hAnsi="宋体"/>
          <w:bCs/>
          <w:color w:val="000000" w:themeColor="text1"/>
          <w:sz w:val="24"/>
          <w:szCs w:val="24"/>
        </w:rPr>
        <w:t>下载标书</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3.报名方法：下载附件《投标报名信息表》并完整填写信息后在规定的报名日期内发送至邮箱：</w:t>
      </w:r>
      <w:r>
        <w:rPr>
          <w:rFonts w:hint="eastAsia" w:ascii="宋体" w:hAnsi="宋体"/>
          <w:bCs/>
          <w:color w:val="000000" w:themeColor="text1"/>
          <w:sz w:val="24"/>
          <w:szCs w:val="24"/>
          <w:lang w:val="en-US" w:eastAsia="zh-CN"/>
        </w:rPr>
        <w:t>361923526</w:t>
      </w:r>
      <w:bookmarkStart w:id="160" w:name="_GoBack"/>
      <w:bookmarkEnd w:id="160"/>
      <w:r>
        <w:rPr>
          <w:rFonts w:hint="eastAsia" w:ascii="宋体" w:hAnsi="宋体"/>
          <w:bCs/>
          <w:color w:val="000000" w:themeColor="text1"/>
          <w:sz w:val="24"/>
          <w:szCs w:val="24"/>
        </w:rPr>
        <w:t>@qq.com</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四、投标保证金</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投标保证金缴纳详见第二章投标人须知前附表</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五、开标时间及地点</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1.开标时间</w:t>
      </w:r>
      <w:r>
        <w:rPr>
          <w:rFonts w:hint="eastAsia" w:ascii="宋体" w:hAnsi="宋体"/>
          <w:bCs/>
          <w:color w:val="000000" w:themeColor="text1"/>
          <w:sz w:val="24"/>
          <w:szCs w:val="24"/>
          <w:lang w:eastAsia="zh-CN"/>
        </w:rPr>
        <w:t>：</w:t>
      </w:r>
      <w:r>
        <w:rPr>
          <w:rFonts w:hint="eastAsia" w:ascii="宋体" w:hAnsi="宋体"/>
          <w:bCs/>
          <w:color w:val="000000" w:themeColor="text1"/>
          <w:sz w:val="24"/>
          <w:szCs w:val="24"/>
        </w:rPr>
        <w:t>2023年</w:t>
      </w:r>
      <w:r>
        <w:rPr>
          <w:rFonts w:hint="eastAsia" w:ascii="宋体" w:hAnsi="宋体"/>
          <w:bCs/>
          <w:color w:val="000000" w:themeColor="text1"/>
          <w:sz w:val="24"/>
          <w:szCs w:val="24"/>
          <w:lang w:val="en-US" w:eastAsia="zh-CN"/>
        </w:rPr>
        <w:t>6</w:t>
      </w:r>
      <w:r>
        <w:rPr>
          <w:rFonts w:hint="eastAsia" w:ascii="宋体" w:hAnsi="宋体"/>
          <w:bCs/>
          <w:color w:val="000000" w:themeColor="text1"/>
          <w:sz w:val="24"/>
          <w:szCs w:val="24"/>
        </w:rPr>
        <w:t>月</w:t>
      </w:r>
      <w:r>
        <w:rPr>
          <w:rFonts w:hint="eastAsia" w:ascii="宋体" w:hAnsi="宋体"/>
          <w:bCs/>
          <w:color w:val="000000" w:themeColor="text1"/>
          <w:sz w:val="24"/>
          <w:szCs w:val="24"/>
          <w:lang w:val="en-US" w:eastAsia="zh-CN"/>
        </w:rPr>
        <w:t>8</w:t>
      </w:r>
      <w:r>
        <w:rPr>
          <w:rFonts w:hint="eastAsia" w:ascii="宋体" w:hAnsi="宋体"/>
          <w:bCs/>
          <w:color w:val="000000" w:themeColor="text1"/>
          <w:sz w:val="24"/>
          <w:szCs w:val="24"/>
        </w:rPr>
        <w:t>日上午</w:t>
      </w:r>
      <w:r>
        <w:rPr>
          <w:rFonts w:ascii="宋体" w:hAnsi="宋体"/>
          <w:bCs/>
          <w:color w:val="000000" w:themeColor="text1"/>
          <w:sz w:val="24"/>
          <w:szCs w:val="24"/>
        </w:rPr>
        <w:t>9</w:t>
      </w:r>
      <w:r>
        <w:rPr>
          <w:rFonts w:hint="eastAsia" w:ascii="宋体" w:hAnsi="宋体"/>
          <w:bCs/>
          <w:color w:val="000000" w:themeColor="text1"/>
          <w:sz w:val="24"/>
          <w:szCs w:val="24"/>
        </w:rPr>
        <w:t>：00</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Cs/>
          <w:color w:val="000000" w:themeColor="text1"/>
          <w:sz w:val="24"/>
          <w:szCs w:val="24"/>
        </w:rPr>
        <w:t>2.开标地点：合肥市蜀山区习友路与茂荫路交口投资大厦3楼多功能厅</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六、投标截止时间</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2023年</w:t>
      </w:r>
      <w:r>
        <w:rPr>
          <w:rFonts w:hint="eastAsia" w:ascii="宋体" w:hAnsi="宋体"/>
          <w:bCs/>
          <w:color w:val="000000" w:themeColor="text1"/>
          <w:sz w:val="24"/>
          <w:szCs w:val="24"/>
          <w:lang w:val="en-US" w:eastAsia="zh-CN"/>
        </w:rPr>
        <w:t>6</w:t>
      </w:r>
      <w:r>
        <w:rPr>
          <w:rFonts w:hint="eastAsia" w:ascii="宋体" w:hAnsi="宋体"/>
          <w:bCs/>
          <w:color w:val="000000" w:themeColor="text1"/>
          <w:sz w:val="24"/>
          <w:szCs w:val="24"/>
        </w:rPr>
        <w:t>月</w:t>
      </w:r>
      <w:r>
        <w:rPr>
          <w:rFonts w:hint="eastAsia" w:ascii="宋体" w:hAnsi="宋体"/>
          <w:bCs/>
          <w:color w:val="000000" w:themeColor="text1"/>
          <w:sz w:val="24"/>
          <w:szCs w:val="24"/>
          <w:lang w:val="en-US" w:eastAsia="zh-CN"/>
        </w:rPr>
        <w:t>8</w:t>
      </w:r>
      <w:r>
        <w:rPr>
          <w:rFonts w:hint="eastAsia" w:ascii="宋体" w:hAnsi="宋体"/>
          <w:bCs/>
          <w:color w:val="000000" w:themeColor="text1"/>
          <w:sz w:val="24"/>
          <w:szCs w:val="24"/>
        </w:rPr>
        <w:t>日上午9：00</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七、联系方法</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招 标 人：合肥文旅博览集团有限公司</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地    址：合肥市蜀山区习友路与茂荫路交口投资大厦招标采购部</w:t>
      </w:r>
    </w:p>
    <w:p>
      <w:pPr>
        <w:autoSpaceDE w:val="0"/>
        <w:autoSpaceDN w:val="0"/>
        <w:adjustRightInd w:val="0"/>
        <w:spacing w:line="360" w:lineRule="auto"/>
        <w:ind w:firstLine="200"/>
        <w:jc w:val="left"/>
        <w:rPr>
          <w:rFonts w:ascii="宋体" w:hAnsi="宋体"/>
          <w:bCs/>
          <w:color w:val="000000" w:themeColor="text1"/>
          <w:sz w:val="24"/>
          <w:szCs w:val="24"/>
        </w:rPr>
      </w:pPr>
      <w:r>
        <w:rPr>
          <w:rFonts w:hint="eastAsia" w:ascii="宋体" w:hAnsi="宋体"/>
          <w:bCs/>
          <w:color w:val="000000" w:themeColor="text1"/>
          <w:sz w:val="24"/>
          <w:szCs w:val="24"/>
        </w:rPr>
        <w:t>联 系 人：汪工   电话：0551-63530687</w:t>
      </w: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autoSpaceDE w:val="0"/>
        <w:autoSpaceDN w:val="0"/>
        <w:adjustRightInd w:val="0"/>
        <w:spacing w:line="360" w:lineRule="auto"/>
        <w:ind w:firstLine="200"/>
        <w:jc w:val="left"/>
        <w:rPr>
          <w:rFonts w:ascii="宋体" w:hAnsi="宋体" w:cs="宋体"/>
          <w:color w:val="000000" w:themeColor="text1"/>
          <w:kern w:val="0"/>
          <w:sz w:val="24"/>
          <w:szCs w:val="24"/>
        </w:rPr>
      </w:pPr>
    </w:p>
    <w:p>
      <w:pPr>
        <w:pStyle w:val="4"/>
        <w:spacing w:before="0" w:after="0" w:line="430" w:lineRule="exact"/>
        <w:ind w:firstLine="0"/>
        <w:rPr>
          <w:rFonts w:ascii="宋体" w:hAnsi="宋体" w:eastAsia="宋体"/>
          <w:color w:val="000000" w:themeColor="text1"/>
        </w:rPr>
      </w:pPr>
      <w:bookmarkStart w:id="6" w:name="_Toc30993"/>
      <w:r>
        <w:rPr>
          <w:rFonts w:hint="eastAsia" w:ascii="宋体" w:hAnsi="宋体" w:eastAsia="宋体"/>
          <w:color w:val="000000" w:themeColor="text1"/>
        </w:rPr>
        <w:t>第二章 投标人须</w:t>
      </w:r>
      <w:bookmarkEnd w:id="4"/>
      <w:r>
        <w:rPr>
          <w:rFonts w:hint="eastAsia" w:ascii="宋体" w:hAnsi="宋体" w:eastAsia="宋体"/>
          <w:color w:val="000000" w:themeColor="text1"/>
        </w:rPr>
        <w:t>知</w:t>
      </w:r>
      <w:bookmarkEnd w:id="5"/>
      <w:r>
        <w:rPr>
          <w:rFonts w:hint="eastAsia" w:ascii="宋体" w:hAnsi="宋体" w:eastAsia="宋体"/>
          <w:color w:val="000000" w:themeColor="text1"/>
        </w:rPr>
        <w:t>前附表</w:t>
      </w:r>
      <w:bookmarkEnd w:id="6"/>
    </w:p>
    <w:tbl>
      <w:tblPr>
        <w:tblStyle w:val="51"/>
        <w:tblW w:w="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7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内容</w:t>
            </w:r>
          </w:p>
        </w:tc>
        <w:tc>
          <w:tcPr>
            <w:tcW w:w="7502"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rPr>
                <w:bCs w:val="0"/>
                <w:color w:val="000000" w:themeColor="text1"/>
                <w:kern w:val="2"/>
                <w:sz w:val="24"/>
                <w:szCs w:val="20"/>
              </w:rPr>
            </w:pPr>
            <w:r>
              <w:rPr>
                <w:rFonts w:hint="eastAsia"/>
                <w:bCs w:val="0"/>
                <w:color w:val="000000" w:themeColor="text1"/>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110"/>
              <w:pBdr>
                <w:bottom w:val="none" w:color="auto" w:sz="0" w:space="0"/>
              </w:pBdr>
              <w:tabs>
                <w:tab w:val="left" w:pos="420"/>
              </w:tabs>
              <w:adjustRightInd/>
              <w:spacing w:line="240" w:lineRule="auto"/>
              <w:rPr>
                <w:rFonts w:ascii="宋体" w:hAnsi="宋体"/>
                <w:bCs/>
                <w:color w:val="000000" w:themeColor="text1"/>
                <w:kern w:val="2"/>
              </w:rPr>
            </w:pPr>
            <w:r>
              <w:rPr>
                <w:rFonts w:hint="eastAsia" w:ascii="宋体" w:hAnsi="宋体"/>
                <w:bCs/>
                <w:color w:val="000000" w:themeColor="text1"/>
                <w:kern w:val="2"/>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招标人</w:t>
            </w:r>
          </w:p>
        </w:tc>
        <w:tc>
          <w:tcPr>
            <w:tcW w:w="7502"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jc w:val="both"/>
              <w:rPr>
                <w:b w:val="0"/>
                <w:color w:val="000000" w:themeColor="text1"/>
                <w:kern w:val="2"/>
                <w:sz w:val="24"/>
                <w:szCs w:val="20"/>
              </w:rPr>
            </w:pPr>
            <w:r>
              <w:rPr>
                <w:rFonts w:hint="eastAsia"/>
                <w:b w:val="0"/>
                <w:color w:val="000000" w:themeColor="text1"/>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委托人</w:t>
            </w:r>
          </w:p>
        </w:tc>
        <w:tc>
          <w:tcPr>
            <w:tcW w:w="7502"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jc w:val="both"/>
              <w:rPr>
                <w:b w:val="0"/>
                <w:color w:val="000000" w:themeColor="text1"/>
                <w:kern w:val="2"/>
                <w:sz w:val="24"/>
                <w:szCs w:val="20"/>
              </w:rPr>
            </w:pPr>
            <w:r>
              <w:rPr>
                <w:rFonts w:hint="eastAsia"/>
                <w:b w:val="0"/>
                <w:color w:val="000000" w:themeColor="text1"/>
                <w:kern w:val="2"/>
                <w:sz w:val="24"/>
                <w:szCs w:val="20"/>
              </w:rPr>
              <w:t>合肥市政文外滩物业管理有限公司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项目名称</w:t>
            </w:r>
          </w:p>
        </w:tc>
        <w:tc>
          <w:tcPr>
            <w:tcW w:w="75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bCs/>
                <w:color w:val="000000" w:themeColor="text1"/>
                <w:sz w:val="24"/>
                <w:szCs w:val="20"/>
              </w:rPr>
            </w:pPr>
            <w:r>
              <w:rPr>
                <w:rFonts w:hint="eastAsia" w:ascii="宋体" w:hAnsi="宋体"/>
                <w:bCs/>
                <w:color w:val="000000" w:themeColor="text1"/>
                <w:sz w:val="24"/>
                <w:szCs w:val="20"/>
              </w:rPr>
              <w:t>合肥市服务中心保安外包服务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项目编号</w:t>
            </w:r>
          </w:p>
        </w:tc>
        <w:tc>
          <w:tcPr>
            <w:tcW w:w="75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bCs/>
                <w:color w:val="000000" w:themeColor="text1"/>
                <w:sz w:val="24"/>
                <w:szCs w:val="20"/>
              </w:rPr>
            </w:pPr>
            <w:r>
              <w:rPr>
                <w:rFonts w:hint="eastAsia" w:ascii="宋体" w:hAnsi="宋体" w:cs="宋体"/>
                <w:color w:val="000000" w:themeColor="text1"/>
                <w:sz w:val="24"/>
                <w:szCs w:val="24"/>
              </w:rPr>
              <w:t>2023WLBLZB00044号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项目性质</w:t>
            </w:r>
          </w:p>
        </w:tc>
        <w:tc>
          <w:tcPr>
            <w:tcW w:w="7502"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jc w:val="both"/>
              <w:rPr>
                <w:b w:val="0"/>
                <w:bCs w:val="0"/>
                <w:color w:val="000000" w:themeColor="text1"/>
                <w:sz w:val="24"/>
              </w:rPr>
            </w:pPr>
            <w:r>
              <w:rPr>
                <w:rFonts w:hint="eastAsia"/>
                <w:b w:val="0"/>
                <w:bCs w:val="0"/>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资金来源</w:t>
            </w:r>
          </w:p>
        </w:tc>
        <w:tc>
          <w:tcPr>
            <w:tcW w:w="7502"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jc w:val="both"/>
              <w:rPr>
                <w:b w:val="0"/>
                <w:bCs w:val="0"/>
                <w:color w:val="000000" w:themeColor="text1"/>
                <w:sz w:val="24"/>
              </w:rPr>
            </w:pPr>
            <w:r>
              <w:rPr>
                <w:rFonts w:hint="eastAsia"/>
                <w:b w:val="0"/>
                <w:bCs w:val="0"/>
                <w:color w:val="000000" w:themeColor="text1"/>
                <w:sz w:val="24"/>
              </w:rPr>
              <w:t xml:space="preserve">□财政投资    </w:t>
            </w:r>
            <w:r>
              <w:rPr>
                <w:b w:val="0"/>
                <w:bCs w:val="0"/>
                <w:color w:val="000000" w:themeColor="text1"/>
                <w:sz w:val="24"/>
              </w:rPr>
              <w:sym w:font="Wingdings" w:char="F0FE"/>
            </w:r>
            <w:r>
              <w:rPr>
                <w:rFonts w:hint="eastAsia"/>
                <w:b w:val="0"/>
                <w:bCs w:val="0"/>
                <w:color w:val="000000" w:themeColor="text1"/>
                <w:sz w:val="24"/>
              </w:rPr>
              <w:t>委托人</w:t>
            </w:r>
            <w:r>
              <w:rPr>
                <w:rFonts w:hint="eastAsia"/>
                <w:b w:val="0"/>
                <w:color w:val="000000" w:themeColor="text1"/>
                <w:sz w:val="24"/>
              </w:rPr>
              <w:t xml:space="preserve">自筹    </w:t>
            </w:r>
            <w:r>
              <w:rPr>
                <w:rFonts w:hint="eastAsia"/>
                <w:b w:val="0"/>
                <w:bCs w:val="0"/>
                <w:color w:val="000000" w:themeColor="text1"/>
                <w:sz w:val="24"/>
              </w:rPr>
              <w:t>□</w:t>
            </w:r>
            <w:r>
              <w:rPr>
                <w:rFonts w:hint="eastAsia"/>
                <w:b w:val="0"/>
                <w:color w:val="000000" w:themeColor="text1"/>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sz w:val="24"/>
              </w:rPr>
            </w:pPr>
            <w:r>
              <w:rPr>
                <w:rFonts w:hint="eastAsia" w:ascii="宋体" w:hAnsi="宋体"/>
                <w:bCs/>
                <w:color w:val="000000" w:themeColor="text1"/>
                <w:sz w:val="24"/>
              </w:rPr>
              <w:t>7</w:t>
            </w:r>
          </w:p>
        </w:tc>
        <w:tc>
          <w:tcPr>
            <w:tcW w:w="1559"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olor w:val="000000" w:themeColor="text1"/>
                <w:sz w:val="24"/>
                <w:lang w:val="zh-CN"/>
              </w:rPr>
            </w:pPr>
            <w:r>
              <w:rPr>
                <w:rFonts w:hint="eastAsia" w:ascii="宋体" w:hAnsi="宋体"/>
                <w:color w:val="000000" w:themeColor="text1"/>
                <w:sz w:val="24"/>
              </w:rPr>
              <w:t>标段划分</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ind w:left="841" w:hanging="841"/>
              <w:rPr>
                <w:rFonts w:ascii="宋体" w:hAnsi="宋体"/>
                <w:bCs/>
                <w:color w:val="000000" w:themeColor="text1"/>
                <w:sz w:val="24"/>
              </w:rPr>
            </w:pPr>
            <w:r>
              <w:rPr>
                <w:bCs/>
                <w:color w:val="000000" w:themeColor="text1"/>
                <w:sz w:val="24"/>
              </w:rPr>
              <w:sym w:font="Wingdings" w:char="F0FE"/>
            </w:r>
            <w:r>
              <w:rPr>
                <w:rFonts w:hint="eastAsia" w:ascii="宋体" w:hAnsi="宋体"/>
                <w:color w:val="000000" w:themeColor="text1"/>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ind w:right="102"/>
              <w:jc w:val="center"/>
              <w:rPr>
                <w:rFonts w:ascii="宋体" w:hAnsi="宋体"/>
                <w:color w:val="000000" w:themeColor="text1"/>
                <w:sz w:val="24"/>
                <w:lang w:val="zh-CN"/>
              </w:rPr>
            </w:pPr>
            <w:r>
              <w:rPr>
                <w:rFonts w:hint="eastAsia" w:ascii="宋体" w:hAnsi="宋体"/>
                <w:color w:val="000000" w:themeColor="text1"/>
                <w:sz w:val="24"/>
                <w:lang w:val="zh-CN"/>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lang w:val="zh-CN"/>
              </w:rPr>
              <w:t>付款方式</w:t>
            </w:r>
          </w:p>
        </w:tc>
        <w:tc>
          <w:tcPr>
            <w:tcW w:w="7502"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bCs/>
                <w:color w:val="000000" w:themeColor="text1"/>
                <w:sz w:val="24"/>
              </w:rPr>
            </w:pPr>
            <w:r>
              <w:rPr>
                <w:rFonts w:hint="eastAsia" w:ascii="宋体" w:hAnsi="宋体"/>
                <w:color w:val="000000" w:themeColor="text1"/>
                <w:sz w:val="24"/>
                <w:szCs w:val="24"/>
              </w:rPr>
              <w:t>合同签订后，分两次支付合同款，</w:t>
            </w:r>
            <w:r>
              <w:rPr>
                <w:rFonts w:hint="eastAsia" w:ascii="宋体" w:hAnsi="宋体" w:cs="宋体"/>
                <w:color w:val="000000"/>
                <w:sz w:val="24"/>
                <w:szCs w:val="24"/>
              </w:rPr>
              <w:t>第一次支付时间为合同签订三个月后15日内支付该三个月的服务费用的100%（具体支付金额为扣除相应考核扣款后的金额）；第二次支付时间为五个月合同结束后15日内支付后两个月服务费用的100%。（具体支付金额为扣除相应考核扣款后的金额）。</w:t>
            </w:r>
            <w:r>
              <w:rPr>
                <w:rFonts w:hint="eastAsia" w:ascii="宋体" w:hAnsi="宋体"/>
                <w:color w:val="000000" w:themeColor="text1"/>
                <w:sz w:val="24"/>
                <w:szCs w:val="24"/>
              </w:rPr>
              <w:t>备注：委托人支付前中标人应提供合法合规的增值税专用发票，否则委托人有权延迟支付。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联合体投标</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4"/>
              </w:rPr>
            </w:pPr>
            <w:r>
              <w:rPr>
                <w:rFonts w:hint="eastAsia" w:ascii="宋体" w:hAnsi="宋体"/>
                <w:color w:val="000000" w:themeColor="text1"/>
                <w:sz w:val="24"/>
              </w:rPr>
              <w:t>□</w:t>
            </w:r>
            <w:r>
              <w:rPr>
                <w:rFonts w:hint="eastAsia" w:ascii="宋体" w:hAnsi="宋体"/>
                <w:color w:val="000000" w:themeColor="text1"/>
                <w:sz w:val="24"/>
                <w:lang w:val="zh-CN"/>
              </w:rPr>
              <w:t xml:space="preserve">接受  </w:t>
            </w:r>
            <w:r>
              <w:rPr>
                <w:b/>
                <w:bCs/>
                <w:color w:val="000000" w:themeColor="text1"/>
                <w:sz w:val="24"/>
              </w:rPr>
              <w:sym w:font="Wingdings" w:char="F0FE"/>
            </w:r>
            <w:r>
              <w:rPr>
                <w:rFonts w:hint="eastAsia" w:ascii="宋体" w:hAnsi="宋体"/>
                <w:color w:val="000000" w:themeColor="text1"/>
                <w:sz w:val="24"/>
              </w:rPr>
              <w:t>不</w:t>
            </w:r>
            <w:r>
              <w:rPr>
                <w:rFonts w:hint="eastAsia" w:ascii="宋体" w:hAnsi="宋体"/>
                <w:color w:val="000000" w:themeColor="text1"/>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投标有效期</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4"/>
              </w:rPr>
            </w:pPr>
            <w:r>
              <w:rPr>
                <w:rFonts w:hint="eastAsia" w:ascii="宋体" w:hAnsi="宋体"/>
                <w:color w:val="000000" w:themeColor="text1"/>
                <w:sz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服务地点</w:t>
            </w:r>
          </w:p>
        </w:tc>
        <w:tc>
          <w:tcPr>
            <w:tcW w:w="7502"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themeColor="text1"/>
                <w:kern w:val="0"/>
                <w:sz w:val="24"/>
                <w:szCs w:val="24"/>
              </w:rPr>
            </w:pPr>
            <w:r>
              <w:rPr>
                <w:rFonts w:hint="eastAsia" w:ascii="宋体" w:hAnsi="宋体"/>
                <w:color w:val="000000" w:themeColor="text1"/>
                <w:sz w:val="24"/>
              </w:rPr>
              <w:t>合肥市为民服务中心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服务期限</w:t>
            </w:r>
          </w:p>
        </w:tc>
        <w:tc>
          <w:tcPr>
            <w:tcW w:w="75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left"/>
              <w:rPr>
                <w:rFonts w:ascii="宋体" w:hAnsi="宋体" w:cs="宋体"/>
                <w:b/>
                <w:color w:val="000000" w:themeColor="text1"/>
                <w:kern w:val="0"/>
                <w:sz w:val="24"/>
              </w:rPr>
            </w:pPr>
            <w:r>
              <w:rPr>
                <w:rFonts w:hint="eastAsia" w:ascii="宋体" w:hAnsi="宋体"/>
                <w:color w:val="000000" w:themeColor="text1"/>
                <w:sz w:val="24"/>
              </w:rPr>
              <w:t>合同签订</w:t>
            </w:r>
            <w:r>
              <w:rPr>
                <w:rFonts w:hint="eastAsia" w:ascii="宋体" w:hAnsi="宋体"/>
                <w:b/>
                <w:color w:val="000000" w:themeColor="text1"/>
                <w:sz w:val="24"/>
                <w:u w:val="single"/>
              </w:rPr>
              <w:t>5个月</w:t>
            </w:r>
            <w:r>
              <w:rPr>
                <w:rFonts w:hint="eastAsia" w:ascii="宋体" w:hAnsi="宋体"/>
                <w:b/>
                <w:color w:val="000000" w:themeColor="text1"/>
                <w:sz w:val="24"/>
              </w:rPr>
              <w:t>。</w:t>
            </w:r>
            <w:r>
              <w:rPr>
                <w:rFonts w:hint="eastAsia" w:ascii="宋体" w:hAnsi="宋体"/>
                <w:color w:val="000000" w:themeColor="text1"/>
                <w:sz w:val="24"/>
              </w:rPr>
              <w:t>服务期满后，如中标人履约情况良好，业主方及委托人考核合格且符合项目现场服务需求，</w:t>
            </w:r>
            <w:r>
              <w:rPr>
                <w:rFonts w:hint="eastAsia" w:ascii="宋体" w:hAnsi="宋体"/>
                <w:color w:val="000000" w:themeColor="text1"/>
                <w:sz w:val="24"/>
                <w:szCs w:val="24"/>
              </w:rPr>
              <w:t>可以按照本次中标价续签下</w:t>
            </w:r>
            <w:r>
              <w:rPr>
                <w:rFonts w:hint="eastAsia" w:ascii="宋体" w:hAnsi="宋体"/>
                <w:color w:val="000000" w:themeColor="text1"/>
                <w:sz w:val="24"/>
              </w:rPr>
              <w:t>壹</w:t>
            </w:r>
            <w:r>
              <w:rPr>
                <w:rFonts w:hint="eastAsia" w:ascii="宋体" w:hAnsi="宋体"/>
                <w:color w:val="000000" w:themeColor="text1"/>
                <w:sz w:val="24"/>
                <w:szCs w:val="24"/>
              </w:rPr>
              <w:t>年度合同，续签时间最多2次。具体以合同签订时间为准。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踏勘现场</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4"/>
                <w:lang w:val="zh-CN"/>
              </w:rPr>
            </w:pPr>
            <w:r>
              <w:rPr>
                <w:rFonts w:hint="eastAsia" w:ascii="宋体" w:hAnsi="宋体"/>
                <w:color w:val="000000" w:themeColor="text1"/>
                <w:sz w:val="24"/>
              </w:rPr>
              <w:t>投标前需进行现场勘查，并承诺报价不低于自身成本价，如因低于自身成本价而无法进场或导致服务不符合委托人服务标准，委托人有权无条件解除合同，扣除履约保证金，并将其拉入黑名单。</w:t>
            </w:r>
            <w:r>
              <w:rPr>
                <w:rFonts w:hint="eastAsia" w:ascii="宋体" w:hAnsi="宋体"/>
                <w:bCs/>
                <w:color w:val="000000" w:themeColor="text1"/>
                <w:sz w:val="24"/>
              </w:rPr>
              <w:t>踏勘现场联系人：胡经理：13965051776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投标文件</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b/>
                <w:bCs/>
                <w:color w:val="000000" w:themeColor="text1"/>
                <w:sz w:val="24"/>
              </w:rPr>
            </w:pPr>
            <w:r>
              <w:rPr>
                <w:rFonts w:hint="eastAsia" w:ascii="宋体" w:hAnsi="宋体"/>
                <w:color w:val="000000" w:themeColor="text1"/>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开标时间</w:t>
            </w:r>
          </w:p>
          <w:p>
            <w:pPr>
              <w:spacing w:line="500" w:lineRule="exact"/>
              <w:jc w:val="center"/>
              <w:rPr>
                <w:rFonts w:ascii="宋体" w:hAnsi="宋体"/>
                <w:bCs/>
                <w:color w:val="000000" w:themeColor="text1"/>
                <w:sz w:val="24"/>
              </w:rPr>
            </w:pPr>
            <w:r>
              <w:rPr>
                <w:rFonts w:hint="eastAsia" w:ascii="宋体" w:hAnsi="宋体"/>
                <w:color w:val="000000" w:themeColor="text1"/>
                <w:sz w:val="24"/>
              </w:rPr>
              <w:t>及地点</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Cs/>
                <w:color w:val="000000" w:themeColor="text1"/>
                <w:sz w:val="24"/>
                <w:u w:val="single"/>
              </w:rPr>
            </w:pPr>
            <w:r>
              <w:rPr>
                <w:rFonts w:hint="eastAsia" w:ascii="宋体" w:hAnsi="宋体"/>
                <w:color w:val="000000" w:themeColor="text1"/>
                <w:sz w:val="24"/>
              </w:rPr>
              <w:t>开标时间：</w:t>
            </w:r>
            <w:r>
              <w:rPr>
                <w:rFonts w:hint="eastAsia" w:ascii="宋体" w:hAnsi="宋体"/>
                <w:color w:val="000000" w:themeColor="text1"/>
                <w:sz w:val="24"/>
                <w:lang w:val="zh-CN"/>
              </w:rPr>
              <w:t>详见招标公告</w:t>
            </w:r>
          </w:p>
          <w:p>
            <w:pPr>
              <w:spacing w:line="500" w:lineRule="exact"/>
              <w:rPr>
                <w:rFonts w:ascii="宋体" w:hAnsi="宋体"/>
                <w:color w:val="000000" w:themeColor="text1"/>
                <w:sz w:val="24"/>
              </w:rPr>
            </w:pPr>
            <w:r>
              <w:rPr>
                <w:rFonts w:hint="eastAsia" w:ascii="宋体" w:hAnsi="宋体"/>
                <w:color w:val="000000" w:themeColor="text1"/>
                <w:sz w:val="24"/>
              </w:rPr>
              <w:t>开标地点：</w:t>
            </w:r>
            <w:r>
              <w:rPr>
                <w:rFonts w:hint="eastAsia" w:ascii="宋体" w:hAnsi="宋体"/>
                <w:color w:val="000000" w:themeColor="text1"/>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评标办法</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4"/>
              </w:rPr>
            </w:pPr>
            <w:r>
              <w:rPr>
                <w:rFonts w:hint="eastAsia" w:ascii="宋体" w:hAnsi="宋体"/>
                <w:color w:val="000000" w:themeColor="text1"/>
                <w:sz w:val="24"/>
              </w:rPr>
              <w:t>综合评分法。详见招标</w:t>
            </w:r>
            <w:r>
              <w:rPr>
                <w:rFonts w:hint="eastAsia" w:ascii="宋体" w:hAnsi="宋体"/>
                <w:color w:val="000000" w:themeColor="text1"/>
                <w:sz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踏勘现场</w:t>
            </w:r>
          </w:p>
        </w:tc>
        <w:tc>
          <w:tcPr>
            <w:tcW w:w="75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4"/>
                <w:lang w:val="zh-CN"/>
              </w:rPr>
            </w:pPr>
            <w:r>
              <w:rPr>
                <w:b/>
                <w:bCs/>
                <w:color w:val="000000" w:themeColor="text1"/>
                <w:sz w:val="24"/>
              </w:rPr>
              <w:sym w:font="Wingdings" w:char="F0FE"/>
            </w:r>
            <w:r>
              <w:rPr>
                <w:rFonts w:hint="eastAsia" w:ascii="宋体" w:hAnsi="宋体"/>
                <w:bCs/>
                <w:color w:val="000000" w:themeColor="text1"/>
                <w:sz w:val="24"/>
              </w:rPr>
              <w:t xml:space="preserve">自行踏勘  </w:t>
            </w:r>
            <w:r>
              <w:rPr>
                <w:rFonts w:hint="eastAsia" w:ascii="宋体" w:hAnsi="宋体"/>
                <w:color w:val="000000" w:themeColor="text1"/>
                <w:sz w:val="24"/>
              </w:rPr>
              <w:t>□招标人</w:t>
            </w:r>
            <w:r>
              <w:rPr>
                <w:rFonts w:hint="eastAsia" w:ascii="宋体" w:hAnsi="宋体"/>
                <w:color w:val="000000" w:themeColor="text1"/>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000000" w:themeColor="text1"/>
                <w:sz w:val="24"/>
                <w:szCs w:val="24"/>
              </w:rPr>
            </w:pPr>
            <w:r>
              <w:rPr>
                <w:rFonts w:hint="eastAsia" w:ascii="宋体" w:hAnsi="宋体"/>
                <w:color w:val="000000" w:themeColor="text1"/>
                <w:sz w:val="24"/>
                <w:szCs w:val="24"/>
              </w:rPr>
              <w:t>履约保证金</w:t>
            </w:r>
          </w:p>
        </w:tc>
        <w:tc>
          <w:tcPr>
            <w:tcW w:w="75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1.履约保证金数额：合同价的</w:t>
            </w:r>
            <w:r>
              <w:rPr>
                <w:rFonts w:hint="eastAsia" w:ascii="宋体" w:hAnsi="宋体"/>
                <w:color w:val="000000" w:themeColor="text1"/>
                <w:sz w:val="24"/>
                <w:szCs w:val="24"/>
                <w:highlight w:val="none"/>
                <w:u w:val="single"/>
              </w:rPr>
              <w:t>5</w:t>
            </w:r>
            <w:r>
              <w:rPr>
                <w:rFonts w:hint="eastAsia" w:ascii="宋体" w:hAnsi="宋体"/>
                <w:color w:val="000000" w:themeColor="text1"/>
                <w:sz w:val="24"/>
                <w:szCs w:val="24"/>
                <w:highlight w:val="none"/>
              </w:rPr>
              <w:t>％</w:t>
            </w:r>
          </w:p>
          <w:p>
            <w:pPr>
              <w:spacing w:line="440" w:lineRule="exact"/>
              <w:ind w:left="841" w:hanging="841"/>
              <w:rPr>
                <w:rFonts w:ascii="宋体" w:hAnsi="宋体"/>
                <w:color w:val="000000" w:themeColor="text1"/>
                <w:sz w:val="24"/>
                <w:szCs w:val="24"/>
                <w:highlight w:val="none"/>
              </w:rPr>
            </w:pPr>
            <w:r>
              <w:rPr>
                <w:rFonts w:hint="eastAsia" w:ascii="宋体" w:hAnsi="宋体"/>
                <w:color w:val="000000" w:themeColor="text1"/>
                <w:sz w:val="24"/>
                <w:szCs w:val="24"/>
                <w:highlight w:val="none"/>
              </w:rPr>
              <w:t>2.收受方式为：</w:t>
            </w:r>
            <w:r>
              <w:rPr>
                <w:rFonts w:hint="eastAsia" w:ascii="MS Mincho" w:hAnsi="MS Mincho" w:eastAsia="MS Mincho" w:cs="MS Mincho"/>
                <w:color w:val="000000" w:themeColor="text1"/>
                <w:sz w:val="24"/>
                <w:szCs w:val="24"/>
                <w:highlight w:val="none"/>
              </w:rPr>
              <w:t>□</w:t>
            </w:r>
            <w:r>
              <w:rPr>
                <w:rFonts w:hint="eastAsia" w:ascii="宋体" w:hAnsi="宋体" w:cs="宋体"/>
                <w:color w:val="000000" w:themeColor="text1"/>
                <w:sz w:val="24"/>
                <w:szCs w:val="24"/>
                <w:highlight w:val="none"/>
              </w:rPr>
              <w:t>现金保证</w:t>
            </w:r>
            <w:r>
              <w:rPr>
                <w:rFonts w:hint="eastAsia" w:ascii="宋体" w:hAnsi="宋体"/>
                <w:color w:val="000000" w:themeColor="text1"/>
                <w:sz w:val="24"/>
                <w:highlight w:val="none"/>
              </w:rPr>
              <w:t>□</w:t>
            </w:r>
            <w:r>
              <w:rPr>
                <w:rFonts w:hint="eastAsia" w:ascii="宋体" w:hAnsi="宋体" w:cs="宋体"/>
                <w:color w:val="000000" w:themeColor="text1"/>
                <w:sz w:val="24"/>
                <w:szCs w:val="24"/>
                <w:highlight w:val="none"/>
              </w:rPr>
              <w:t>现金支票</w:t>
            </w:r>
            <w:r>
              <w:rPr>
                <w:rFonts w:hint="eastAsia" w:ascii="宋体" w:hAnsi="宋体"/>
                <w:color w:val="000000" w:themeColor="text1"/>
                <w:sz w:val="24"/>
                <w:highlight w:val="none"/>
              </w:rPr>
              <w:t>□</w:t>
            </w:r>
            <w:r>
              <w:rPr>
                <w:rFonts w:hint="eastAsia" w:ascii="宋体" w:hAnsi="宋体" w:cs="宋体"/>
                <w:color w:val="000000" w:themeColor="text1"/>
                <w:sz w:val="24"/>
                <w:szCs w:val="24"/>
                <w:highlight w:val="none"/>
              </w:rPr>
              <w:t>银行汇</w:t>
            </w:r>
            <w:r>
              <w:rPr>
                <w:rFonts w:hint="eastAsia" w:ascii="宋体" w:hAnsi="宋体"/>
                <w:color w:val="000000" w:themeColor="text1"/>
                <w:sz w:val="24"/>
                <w:szCs w:val="24"/>
                <w:highlight w:val="none"/>
              </w:rPr>
              <w:t>票</w:t>
            </w:r>
          </w:p>
          <w:p>
            <w:pPr>
              <w:spacing w:line="440" w:lineRule="exact"/>
              <w:ind w:left="839" w:leftChars="114" w:hanging="600" w:hangingChars="250"/>
              <w:rPr>
                <w:rFonts w:ascii="宋体" w:hAnsi="宋体"/>
                <w:color w:val="000000" w:themeColor="text1"/>
                <w:sz w:val="24"/>
                <w:szCs w:val="24"/>
                <w:highlight w:val="none"/>
              </w:rPr>
            </w:pPr>
            <w:r>
              <w:rPr>
                <w:rFonts w:hint="eastAsia" w:ascii="MS Mincho" w:hAnsi="MS Mincho" w:eastAsia="MS Mincho" w:cs="MS Mincho"/>
                <w:color w:val="000000" w:themeColor="text1"/>
                <w:sz w:val="24"/>
                <w:szCs w:val="24"/>
                <w:highlight w:val="none"/>
              </w:rPr>
              <w:t>□</w:t>
            </w:r>
            <w:r>
              <w:rPr>
                <w:rFonts w:hint="eastAsia" w:ascii="宋体" w:hAnsi="宋体" w:cs="宋体"/>
                <w:color w:val="000000" w:themeColor="text1"/>
                <w:sz w:val="24"/>
                <w:szCs w:val="24"/>
                <w:highlight w:val="none"/>
              </w:rPr>
              <w:t>银行保函</w:t>
            </w:r>
            <w:r>
              <w:rPr>
                <w:rFonts w:ascii="Segoe UI Symbol" w:hAnsi="Segoe UI Symbol" w:eastAsia="MS Mincho" w:cs="Segoe UI Symbol"/>
                <w:color w:val="000000" w:themeColor="text1"/>
                <w:sz w:val="24"/>
                <w:szCs w:val="24"/>
                <w:highlight w:val="none"/>
              </w:rPr>
              <w:t>☑</w:t>
            </w:r>
            <w:r>
              <w:rPr>
                <w:rFonts w:hint="eastAsia" w:ascii="宋体" w:hAnsi="宋体" w:cs="宋体"/>
                <w:color w:val="000000" w:themeColor="text1"/>
                <w:sz w:val="24"/>
                <w:szCs w:val="24"/>
                <w:highlight w:val="none"/>
              </w:rPr>
              <w:t>银行转账</w:t>
            </w:r>
            <w:r>
              <w:rPr>
                <w:rFonts w:hint="eastAsia" w:ascii="宋体" w:hAnsi="宋体"/>
                <w:color w:val="000000" w:themeColor="text1"/>
                <w:sz w:val="24"/>
                <w:highlight w:val="none"/>
              </w:rPr>
              <w:t>□</w:t>
            </w:r>
            <w:r>
              <w:rPr>
                <w:rFonts w:hint="eastAsia" w:ascii="宋体" w:hAnsi="宋体" w:cs="宋体"/>
                <w:color w:val="000000" w:themeColor="text1"/>
                <w:sz w:val="24"/>
                <w:szCs w:val="24"/>
                <w:highlight w:val="none"/>
              </w:rPr>
              <w:t>工程担保</w:t>
            </w:r>
            <w:r>
              <w:rPr>
                <w:rFonts w:hint="eastAsia" w:ascii="宋体" w:hAnsi="宋体"/>
                <w:color w:val="000000" w:themeColor="text1"/>
                <w:sz w:val="24"/>
                <w:highlight w:val="none"/>
              </w:rPr>
              <w:t>□</w:t>
            </w:r>
            <w:r>
              <w:rPr>
                <w:rFonts w:hint="eastAsia" w:ascii="宋体" w:hAnsi="宋体" w:cs="宋体"/>
                <w:color w:val="000000" w:themeColor="text1"/>
                <w:sz w:val="24"/>
                <w:szCs w:val="24"/>
                <w:highlight w:val="none"/>
              </w:rPr>
              <w:t>保证保</w:t>
            </w:r>
            <w:r>
              <w:rPr>
                <w:rFonts w:hint="eastAsia" w:ascii="宋体" w:hAnsi="宋体"/>
                <w:color w:val="000000" w:themeColor="text1"/>
                <w:sz w:val="24"/>
                <w:szCs w:val="24"/>
                <w:highlight w:val="none"/>
              </w:rPr>
              <w:t>险</w:t>
            </w:r>
          </w:p>
          <w:p>
            <w:pPr>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3.收受人为:□招标人、</w:t>
            </w:r>
            <w:r>
              <w:rPr>
                <w:rFonts w:ascii="宋体" w:hAnsi="宋体"/>
                <w:color w:val="000000" w:themeColor="text1"/>
                <w:sz w:val="24"/>
                <w:szCs w:val="24"/>
                <w:highlight w:val="none"/>
              </w:rPr>
              <w:sym w:font="Wingdings" w:char="F0FE"/>
            </w:r>
            <w:r>
              <w:rPr>
                <w:rFonts w:hint="eastAsia" w:ascii="宋体" w:hAnsi="宋体"/>
                <w:color w:val="000000" w:themeColor="text1"/>
                <w:sz w:val="24"/>
                <w:szCs w:val="24"/>
                <w:highlight w:val="none"/>
              </w:rPr>
              <w:t>委托人</w:t>
            </w:r>
          </w:p>
          <w:p>
            <w:pPr>
              <w:adjustRightInd w:val="0"/>
              <w:snapToGrid w:val="0"/>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4.提交时限：合同签订前按规定提交履约保证金，若中标人在规定时限内未提交保证金的，招标人将书面通知中标人，5日内不能办理的，招标人将有权取消其中标资格。</w:t>
            </w:r>
          </w:p>
          <w:p>
            <w:pPr>
              <w:spacing w:line="440" w:lineRule="exact"/>
              <w:rPr>
                <w:rFonts w:ascii="宋体" w:hAnsi="宋体"/>
                <w:color w:val="000000" w:themeColor="text1"/>
                <w:sz w:val="24"/>
                <w:szCs w:val="24"/>
                <w:highlight w:val="none"/>
                <w:u w:val="single"/>
              </w:rPr>
            </w:pPr>
            <w:r>
              <w:rPr>
                <w:rFonts w:hint="eastAsia" w:ascii="宋体" w:hAnsi="宋体"/>
                <w:color w:val="000000" w:themeColor="text1"/>
                <w:sz w:val="24"/>
                <w:szCs w:val="24"/>
                <w:highlight w:val="none"/>
              </w:rPr>
              <w:t>5.退还：</w:t>
            </w:r>
            <w:r>
              <w:rPr>
                <w:rFonts w:hint="eastAsia" w:ascii="宋体" w:hAnsi="宋体"/>
                <w:color w:val="000000" w:themeColor="text1"/>
                <w:sz w:val="24"/>
                <w:szCs w:val="24"/>
                <w:highlight w:val="none"/>
                <w:u w:val="single"/>
              </w:rPr>
              <w:t>合同签订后若双方无任何争议的情况下满三个月招标人一次性退还（无息）。</w:t>
            </w:r>
          </w:p>
          <w:p>
            <w:pPr>
              <w:adjustRightInd w:val="0"/>
              <w:snapToGrid w:val="0"/>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6.如采用银行保函，银行保函由合肥本地银行或在合肥具有分支机构的银行出具的见索即付无条件保函。</w:t>
            </w:r>
          </w:p>
          <w:p>
            <w:pPr>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投标保证金金额</w:t>
            </w:r>
          </w:p>
        </w:tc>
        <w:tc>
          <w:tcPr>
            <w:tcW w:w="75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u w:val="single"/>
              </w:rPr>
              <w:t>人民币大写：壹万壹仟元整（¥11000.00），</w:t>
            </w:r>
            <w:r>
              <w:rPr>
                <w:rFonts w:hint="eastAsia" w:ascii="宋体" w:hAnsi="宋体"/>
                <w:color w:val="000000" w:themeColor="text1"/>
                <w:sz w:val="24"/>
                <w:szCs w:val="24"/>
                <w:highlight w:val="none"/>
              </w:rPr>
              <w:t>投标保证金应当在报名截止时间前足额到达本次招标公告指定账号（项目多标的，应向所投标的对应账号交纳），且应当从投标人本单位账号转出。</w:t>
            </w:r>
          </w:p>
          <w:p>
            <w:pPr>
              <w:widowControl/>
              <w:spacing w:line="440" w:lineRule="exact"/>
              <w:jc w:val="left"/>
              <w:rPr>
                <w:color w:val="000000" w:themeColor="text1"/>
                <w:spacing w:val="-5"/>
                <w:sz w:val="24"/>
                <w:szCs w:val="24"/>
                <w:highlight w:val="none"/>
              </w:rPr>
            </w:pPr>
            <w:r>
              <w:rPr>
                <w:rFonts w:hint="eastAsia" w:ascii="宋体" w:hAnsi="宋体"/>
                <w:color w:val="000000" w:themeColor="text1"/>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投标保证金交纳账号</w:t>
            </w:r>
          </w:p>
        </w:tc>
        <w:tc>
          <w:tcPr>
            <w:tcW w:w="75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sz w:val="24"/>
                <w:szCs w:val="24"/>
              </w:rPr>
            </w:pPr>
            <w:r>
              <w:rPr>
                <w:rFonts w:hint="eastAsia" w:ascii="宋体" w:hAnsi="宋体"/>
                <w:color w:val="000000" w:themeColor="text1"/>
                <w:sz w:val="24"/>
                <w:szCs w:val="24"/>
              </w:rPr>
              <w:t>单位名称：合肥文旅博览集团有限公司</w:t>
            </w:r>
          </w:p>
          <w:p>
            <w:pPr>
              <w:spacing w:line="440" w:lineRule="exact"/>
              <w:rPr>
                <w:rFonts w:ascii="宋体" w:hAnsi="宋体"/>
                <w:color w:val="000000" w:themeColor="text1"/>
                <w:sz w:val="24"/>
                <w:szCs w:val="24"/>
              </w:rPr>
            </w:pPr>
            <w:r>
              <w:rPr>
                <w:rFonts w:hint="eastAsia" w:ascii="宋体" w:hAnsi="宋体"/>
                <w:color w:val="000000" w:themeColor="text1"/>
                <w:sz w:val="24"/>
                <w:szCs w:val="24"/>
              </w:rPr>
              <w:t>开户银行账号：1302010509200182305</w:t>
            </w:r>
          </w:p>
          <w:p>
            <w:pPr>
              <w:spacing w:line="440" w:lineRule="exact"/>
              <w:rPr>
                <w:rFonts w:ascii="宋体" w:hAnsi="宋体"/>
                <w:color w:val="000000" w:themeColor="text1"/>
                <w:sz w:val="24"/>
                <w:szCs w:val="24"/>
              </w:rPr>
            </w:pPr>
            <w:r>
              <w:rPr>
                <w:rFonts w:hint="eastAsia" w:ascii="宋体" w:hAnsi="宋体"/>
                <w:color w:val="000000" w:themeColor="text1"/>
                <w:sz w:val="24"/>
                <w:szCs w:val="24"/>
              </w:rPr>
              <w:t>开户银行：中国工商银行合肥望江路支行</w:t>
            </w:r>
          </w:p>
          <w:p>
            <w:pPr>
              <w:widowControl/>
              <w:spacing w:line="440" w:lineRule="exact"/>
              <w:jc w:val="left"/>
              <w:rPr>
                <w:rFonts w:ascii="宋体" w:hAnsi="宋体"/>
                <w:color w:val="000000" w:themeColor="text1"/>
                <w:sz w:val="24"/>
                <w:szCs w:val="24"/>
              </w:rPr>
            </w:pPr>
            <w:r>
              <w:rPr>
                <w:rFonts w:hint="eastAsia" w:ascii="宋体" w:hAnsi="宋体"/>
                <w:color w:val="000000" w:themeColor="text1"/>
                <w:sz w:val="24"/>
                <w:szCs w:val="24"/>
              </w:rPr>
              <w:t>备注：</w:t>
            </w:r>
          </w:p>
          <w:p>
            <w:pPr>
              <w:widowControl/>
              <w:spacing w:line="440" w:lineRule="exact"/>
              <w:jc w:val="left"/>
              <w:rPr>
                <w:rFonts w:ascii="宋体" w:hAnsi="宋体"/>
                <w:color w:val="000000" w:themeColor="text1"/>
                <w:sz w:val="24"/>
                <w:szCs w:val="24"/>
              </w:rPr>
            </w:pPr>
            <w:r>
              <w:rPr>
                <w:rFonts w:hint="eastAsia" w:ascii="宋体" w:hAnsi="宋体"/>
                <w:color w:val="000000" w:themeColor="text1"/>
                <w:sz w:val="24"/>
                <w:szCs w:val="24"/>
              </w:rPr>
              <w:t>（1）转帐时请备注“××项目投标保证金，并将转账凭证扫描件发送至361923526@qq.com邮箱；</w:t>
            </w:r>
          </w:p>
          <w:p>
            <w:pPr>
              <w:widowControl/>
              <w:spacing w:line="440" w:lineRule="exact"/>
              <w:jc w:val="left"/>
              <w:rPr>
                <w:color w:val="000000" w:themeColor="text1"/>
                <w:spacing w:val="-5"/>
                <w:sz w:val="24"/>
                <w:szCs w:val="24"/>
              </w:rPr>
            </w:pPr>
            <w:r>
              <w:rPr>
                <w:rFonts w:hint="eastAsia" w:ascii="宋体" w:hAnsi="宋体"/>
                <w:color w:val="000000" w:themeColor="text1"/>
                <w:sz w:val="24"/>
                <w:szCs w:val="24"/>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r>
              <w:rPr>
                <w:rFonts w:hint="eastAsia" w:ascii="宋体" w:hAnsi="宋体"/>
                <w:color w:val="000000"/>
                <w:sz w:val="24"/>
                <w:szCs w:val="24"/>
              </w:rPr>
              <w:t>投标人信用记录</w:t>
            </w:r>
          </w:p>
        </w:tc>
        <w:tc>
          <w:tcPr>
            <w:tcW w:w="75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sz w:val="24"/>
                <w:szCs w:val="24"/>
              </w:rPr>
            </w:pPr>
            <w:r>
              <w:rPr>
                <w:rFonts w:hint="eastAsia" w:ascii="宋体" w:hAnsi="宋体"/>
                <w:color w:val="000000"/>
                <w:sz w:val="24"/>
                <w:szCs w:val="24"/>
              </w:rPr>
              <w:t>投标文件中须提供投标人信用承诺（格式见第七章“投标人信用承诺”）“投标人信用承诺”须盖投标人公章。</w:t>
            </w:r>
            <w:r>
              <w:rPr>
                <w:rFonts w:hint="eastAsia" w:ascii="宋体" w:hAnsi="宋体"/>
                <w:b/>
                <w:color w:val="000000"/>
                <w:sz w:val="24"/>
                <w:szCs w:val="24"/>
              </w:rPr>
              <w:t>（未提供或提供不符合的，投标无效）</w:t>
            </w:r>
          </w:p>
        </w:tc>
      </w:tr>
    </w:tbl>
    <w:p>
      <w:pPr>
        <w:rPr>
          <w:color w:val="000000" w:themeColor="text1"/>
        </w:rPr>
      </w:pPr>
      <w:bookmarkStart w:id="7" w:name="_Hlt509649678"/>
      <w:bookmarkEnd w:id="7"/>
      <w:bookmarkStart w:id="8" w:name="_Hlt509649645"/>
      <w:bookmarkEnd w:id="8"/>
      <w:bookmarkStart w:id="9" w:name="_Hlt509650961"/>
      <w:bookmarkEnd w:id="9"/>
      <w:bookmarkStart w:id="10" w:name="_Hlt509650929"/>
      <w:bookmarkEnd w:id="10"/>
      <w:bookmarkStart w:id="11" w:name="_Hlt509649330"/>
      <w:bookmarkEnd w:id="11"/>
      <w:bookmarkStart w:id="12" w:name="_Hlt509650936"/>
      <w:bookmarkEnd w:id="12"/>
      <w:bookmarkStart w:id="13" w:name="_Hlt509649669"/>
      <w:bookmarkEnd w:id="13"/>
      <w:bookmarkStart w:id="14" w:name="_Hlt509650116"/>
      <w:bookmarkEnd w:id="14"/>
      <w:bookmarkStart w:id="15" w:name="_Hlt509650932"/>
      <w:bookmarkEnd w:id="15"/>
      <w:bookmarkStart w:id="16" w:name="_Hlt509649795"/>
      <w:bookmarkEnd w:id="16"/>
      <w:bookmarkStart w:id="17" w:name="_Hlt509650103"/>
      <w:bookmarkEnd w:id="17"/>
      <w:bookmarkStart w:id="18" w:name="_Hlt526418153"/>
      <w:bookmarkEnd w:id="18"/>
      <w:bookmarkStart w:id="19" w:name="_Hlt509650027"/>
      <w:bookmarkEnd w:id="19"/>
      <w:bookmarkStart w:id="20" w:name="_Hlt509650690"/>
      <w:bookmarkEnd w:id="20"/>
      <w:bookmarkStart w:id="21" w:name="_Hlt509650333"/>
      <w:bookmarkEnd w:id="21"/>
      <w:bookmarkStart w:id="22" w:name="_Hlt519045778"/>
      <w:bookmarkEnd w:id="22"/>
      <w:bookmarkStart w:id="23" w:name="_Toc508363589"/>
      <w:bookmarkStart w:id="24" w:name="_Toc459990137"/>
    </w:p>
    <w:p>
      <w:pPr>
        <w:rPr>
          <w:color w:val="000000" w:themeColor="text1"/>
        </w:rPr>
      </w:pPr>
    </w:p>
    <w:p>
      <w:pPr>
        <w:rPr>
          <w:color w:val="000000" w:themeColor="text1"/>
        </w:rPr>
      </w:pPr>
    </w:p>
    <w:p>
      <w:pPr>
        <w:pStyle w:val="4"/>
        <w:spacing w:before="0" w:line="500" w:lineRule="exact"/>
        <w:ind w:firstLine="0"/>
        <w:rPr>
          <w:rFonts w:ascii="宋体" w:hAnsi="宋体" w:eastAsia="宋体"/>
          <w:color w:val="000000" w:themeColor="text1"/>
        </w:rPr>
      </w:pPr>
      <w:bookmarkStart w:id="25" w:name="_Toc6059"/>
      <w:r>
        <w:rPr>
          <w:rFonts w:hint="eastAsia" w:ascii="宋体" w:hAnsi="宋体" w:eastAsia="宋体"/>
          <w:color w:val="000000" w:themeColor="text1"/>
        </w:rPr>
        <w:t>第三章 投标人须知</w:t>
      </w:r>
      <w:bookmarkEnd w:id="25"/>
      <w:bookmarkStart w:id="26" w:name="_Toc459990138"/>
    </w:p>
    <w:p>
      <w:pPr>
        <w:pStyle w:val="5"/>
        <w:spacing w:line="360" w:lineRule="auto"/>
        <w:ind w:firstLine="628"/>
        <w:rPr>
          <w:rFonts w:hAnsi="宋体"/>
          <w:color w:val="000000" w:themeColor="text1"/>
          <w:sz w:val="28"/>
        </w:rPr>
      </w:pPr>
      <w:bookmarkStart w:id="27" w:name="_Toc10171"/>
      <w:r>
        <w:rPr>
          <w:rFonts w:hint="eastAsia" w:hAnsi="宋体"/>
          <w:color w:val="000000" w:themeColor="text1"/>
          <w:sz w:val="28"/>
        </w:rPr>
        <w:t>一．投标文件的编制</w:t>
      </w:r>
      <w:bookmarkEnd w:id="26"/>
      <w:bookmarkEnd w:id="27"/>
    </w:p>
    <w:p>
      <w:pPr>
        <w:spacing w:line="360" w:lineRule="auto"/>
        <w:ind w:firstLine="482" w:firstLineChars="200"/>
        <w:rPr>
          <w:rFonts w:ascii="宋体" w:hAnsi="宋体"/>
          <w:b/>
          <w:color w:val="000000" w:themeColor="text1"/>
          <w:kern w:val="0"/>
          <w:sz w:val="24"/>
        </w:rPr>
      </w:pPr>
      <w:r>
        <w:rPr>
          <w:rFonts w:hint="eastAsia" w:ascii="宋体" w:hAnsi="宋体"/>
          <w:b/>
          <w:color w:val="000000" w:themeColor="text1"/>
          <w:kern w:val="0"/>
          <w:sz w:val="24"/>
        </w:rPr>
        <w:t>1.投标文件的编写要求</w:t>
      </w:r>
    </w:p>
    <w:p>
      <w:pPr>
        <w:spacing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1.1投标人须以招标人正式发布的《招标文件》为制作《投标文件》的依据；</w:t>
      </w:r>
    </w:p>
    <w:p>
      <w:pPr>
        <w:spacing w:line="360" w:lineRule="auto"/>
        <w:ind w:firstLine="480" w:firstLineChars="200"/>
        <w:rPr>
          <w:rFonts w:ascii="宋体" w:hAnsi="宋体"/>
          <w:color w:val="000000" w:themeColor="text1"/>
          <w:kern w:val="0"/>
          <w:sz w:val="24"/>
        </w:rPr>
      </w:pPr>
      <w:r>
        <w:rPr>
          <w:rFonts w:hint="eastAsia" w:ascii="宋体" w:hAnsi="宋体" w:cs="宋体"/>
          <w:color w:val="000000" w:themeColor="text1"/>
          <w:kern w:val="0"/>
          <w:sz w:val="24"/>
        </w:rPr>
        <w:t>1.2</w:t>
      </w:r>
      <w:r>
        <w:rPr>
          <w:rFonts w:hint="eastAsia" w:ascii="宋体" w:hAnsi="宋体"/>
          <w:color w:val="000000" w:themeColor="text1"/>
          <w:kern w:val="0"/>
          <w:sz w:val="24"/>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themeColor="text1"/>
          <w:kern w:val="0"/>
          <w:sz w:val="24"/>
        </w:rPr>
      </w:pPr>
      <w:r>
        <w:rPr>
          <w:rFonts w:hint="eastAsia" w:ascii="宋体" w:hAnsi="宋体" w:cs="宋体"/>
          <w:color w:val="000000" w:themeColor="text1"/>
          <w:kern w:val="0"/>
          <w:sz w:val="24"/>
        </w:rPr>
        <w:t>1.3</w:t>
      </w:r>
      <w:r>
        <w:rPr>
          <w:rFonts w:hint="eastAsia" w:ascii="宋体" w:hAnsi="宋体"/>
          <w:color w:val="000000" w:themeColor="text1"/>
          <w:kern w:val="0"/>
          <w:sz w:val="24"/>
        </w:rPr>
        <w:t>投标文件的书面内容不得涂抹或改写；</w:t>
      </w:r>
    </w:p>
    <w:p>
      <w:pPr>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1.4满足本招标文件规定的其它要求。</w:t>
      </w:r>
    </w:p>
    <w:p>
      <w:pPr>
        <w:spacing w:line="360" w:lineRule="auto"/>
        <w:ind w:firstLine="482" w:firstLineChars="200"/>
        <w:rPr>
          <w:rFonts w:ascii="宋体" w:hAnsi="宋体"/>
          <w:b/>
          <w:color w:val="000000" w:themeColor="text1"/>
          <w:kern w:val="0"/>
          <w:sz w:val="24"/>
        </w:rPr>
      </w:pPr>
      <w:r>
        <w:rPr>
          <w:rFonts w:hint="eastAsia" w:ascii="宋体" w:hAnsi="宋体"/>
          <w:b/>
          <w:color w:val="000000" w:themeColor="text1"/>
          <w:kern w:val="0"/>
          <w:sz w:val="24"/>
        </w:rPr>
        <w:t>2.投标文件由以下部分构成</w:t>
      </w:r>
    </w:p>
    <w:p>
      <w:pPr>
        <w:spacing w:line="360" w:lineRule="auto"/>
        <w:ind w:firstLine="480" w:firstLineChars="200"/>
        <w:rPr>
          <w:rFonts w:ascii="宋体" w:hAnsi="宋体"/>
          <w:color w:val="000000" w:themeColor="text1"/>
          <w:kern w:val="0"/>
          <w:sz w:val="24"/>
        </w:rPr>
      </w:pPr>
      <w:r>
        <w:rPr>
          <w:rFonts w:hint="eastAsia" w:ascii="宋体" w:hAnsi="宋体" w:cs="宋体"/>
          <w:color w:val="000000" w:themeColor="text1"/>
          <w:kern w:val="0"/>
          <w:sz w:val="24"/>
        </w:rPr>
        <w:t>2.1</w:t>
      </w:r>
      <w:r>
        <w:rPr>
          <w:rFonts w:hint="eastAsia" w:ascii="宋体" w:hAnsi="宋体"/>
          <w:color w:val="000000" w:themeColor="text1"/>
          <w:kern w:val="0"/>
          <w:sz w:val="24"/>
        </w:rPr>
        <w:t>投标承诺书、开标一览表、分项报价表、投标事项承诺原件等；</w:t>
      </w:r>
    </w:p>
    <w:p>
      <w:pPr>
        <w:spacing w:line="360" w:lineRule="auto"/>
        <w:ind w:firstLine="480" w:firstLineChars="200"/>
        <w:rPr>
          <w:rFonts w:ascii="宋体" w:hAnsi="宋体"/>
          <w:color w:val="000000" w:themeColor="text1"/>
          <w:kern w:val="0"/>
          <w:sz w:val="24"/>
        </w:rPr>
      </w:pPr>
      <w:r>
        <w:rPr>
          <w:rFonts w:hint="eastAsia" w:ascii="宋体" w:hAnsi="宋体" w:cs="宋体"/>
          <w:color w:val="000000" w:themeColor="text1"/>
          <w:kern w:val="0"/>
          <w:sz w:val="24"/>
        </w:rPr>
        <w:t>2.2</w:t>
      </w:r>
      <w:r>
        <w:rPr>
          <w:rFonts w:hint="eastAsia" w:ascii="宋体" w:hAnsi="宋体"/>
          <w:color w:val="000000" w:themeColor="text1"/>
          <w:kern w:val="0"/>
          <w:sz w:val="24"/>
        </w:rPr>
        <w:t>投标人资质证明文件复印件、法人和授权代表人身份证复印件；</w:t>
      </w:r>
    </w:p>
    <w:p>
      <w:pPr>
        <w:spacing w:line="360" w:lineRule="auto"/>
        <w:ind w:firstLine="480" w:firstLineChars="200"/>
        <w:rPr>
          <w:rFonts w:ascii="宋体" w:hAnsi="宋体"/>
          <w:color w:val="000000" w:themeColor="text1"/>
          <w:kern w:val="0"/>
          <w:sz w:val="24"/>
        </w:rPr>
      </w:pPr>
      <w:r>
        <w:rPr>
          <w:rFonts w:hint="eastAsia" w:ascii="宋体" w:hAnsi="宋体" w:cs="宋体"/>
          <w:color w:val="000000" w:themeColor="text1"/>
          <w:kern w:val="0"/>
          <w:sz w:val="24"/>
        </w:rPr>
        <w:t>2.3投标人</w:t>
      </w:r>
      <w:r>
        <w:rPr>
          <w:rFonts w:hint="eastAsia" w:ascii="宋体" w:hAnsi="宋体"/>
          <w:color w:val="000000" w:themeColor="text1"/>
          <w:kern w:val="0"/>
          <w:sz w:val="24"/>
        </w:rPr>
        <w:t>同类项目合同及投标人其它说明文件等；</w:t>
      </w:r>
    </w:p>
    <w:p>
      <w:pPr>
        <w:spacing w:line="360" w:lineRule="auto"/>
        <w:ind w:firstLine="482" w:firstLineChars="200"/>
        <w:rPr>
          <w:rFonts w:ascii="宋体" w:hAnsi="宋体"/>
          <w:b/>
          <w:color w:val="000000" w:themeColor="text1"/>
          <w:kern w:val="0"/>
          <w:sz w:val="24"/>
        </w:rPr>
      </w:pPr>
      <w:r>
        <w:rPr>
          <w:rFonts w:hint="eastAsia" w:ascii="宋体" w:hAnsi="宋体"/>
          <w:b/>
          <w:color w:val="000000" w:themeColor="text1"/>
          <w:kern w:val="0"/>
          <w:sz w:val="24"/>
        </w:rPr>
        <w:t>3.投标报价说明及依据</w:t>
      </w:r>
    </w:p>
    <w:p>
      <w:pPr>
        <w:spacing w:line="360" w:lineRule="auto"/>
        <w:ind w:firstLine="480" w:firstLineChars="200"/>
        <w:rPr>
          <w:rFonts w:ascii="宋体" w:hAnsi="宋体"/>
          <w:b/>
          <w:color w:val="000000" w:themeColor="text1"/>
          <w:kern w:val="0"/>
          <w:sz w:val="24"/>
        </w:rPr>
      </w:pPr>
      <w:r>
        <w:rPr>
          <w:rFonts w:hint="eastAsia" w:ascii="宋体" w:hAnsi="宋体" w:cs="宋体"/>
          <w:color w:val="000000" w:themeColor="text1"/>
          <w:kern w:val="0"/>
          <w:sz w:val="24"/>
        </w:rPr>
        <w:t>3.1招标内容、采购清单及有关文件等；</w:t>
      </w:r>
    </w:p>
    <w:p>
      <w:pPr>
        <w:widowControl/>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3.2国家、行业、地方有关技术标准规范；</w:t>
      </w:r>
    </w:p>
    <w:p>
      <w:pPr>
        <w:widowControl/>
        <w:spacing w:line="360" w:lineRule="auto"/>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3.3投标方需按照《投标分项报价表》格式做报价清单，所有价格均为到达项目所在工地含税（增值税专用发票）报价。</w:t>
      </w:r>
    </w:p>
    <w:p>
      <w:pPr>
        <w:widowControl/>
        <w:spacing w:line="360" w:lineRule="auto"/>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rPr>
      </w:pPr>
      <w:bookmarkStart w:id="28" w:name="_Toc19773335"/>
      <w:bookmarkStart w:id="29" w:name="_Toc22888331"/>
      <w:r>
        <w:rPr>
          <w:rFonts w:hint="eastAsia" w:ascii="宋体" w:hAnsi="宋体"/>
          <w:b/>
          <w:bCs/>
          <w:color w:val="000000" w:themeColor="text1"/>
          <w:sz w:val="28"/>
          <w:szCs w:val="32"/>
        </w:rPr>
        <w:t>二．投标保证金的缴纳</w:t>
      </w:r>
      <w:bookmarkEnd w:id="28"/>
      <w:bookmarkEnd w:id="29"/>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1投标前，投标人应向文旅博览集团提交投标人须知前附表规定金额的投标保证金，作为投标的一部分，投标保证金应当从投标人账户转出，并在报名截止时间前足额到达招标公告指定账号。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 投标保证金可采取下列任何一种形式：</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2.1异地电汇；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2.2本地转帐。</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4未按要求提交投标保证金的投标，将被视为非响应性投标而导致投标无效。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6有下列情形之一的，招标人不予退还投标保证金：</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6.1投标人在规定的投标有效期内撤回或修改其投标；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widowControl/>
        <w:spacing w:line="360" w:lineRule="auto"/>
        <w:ind w:firstLine="465"/>
        <w:jc w:val="left"/>
        <w:rPr>
          <w:rFonts w:ascii="宋体" w:hAnsi="宋体" w:cs="宋体"/>
          <w:color w:val="000000" w:themeColor="text1"/>
          <w:kern w:val="0"/>
          <w:sz w:val="24"/>
        </w:rPr>
      </w:pPr>
      <w:r>
        <w:rPr>
          <w:rFonts w:hint="eastAsia" w:ascii="宋体" w:hAnsi="宋体"/>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000000" w:themeColor="text1"/>
          <w:sz w:val="28"/>
        </w:rPr>
      </w:pPr>
      <w:bookmarkStart w:id="30" w:name="_Toc459990139"/>
      <w:bookmarkStart w:id="31" w:name="_Toc31972"/>
      <w:r>
        <w:rPr>
          <w:rFonts w:hint="eastAsia" w:hAnsi="宋体"/>
          <w:color w:val="000000" w:themeColor="text1"/>
          <w:sz w:val="28"/>
        </w:rPr>
        <w:t>三．投标文件的递交</w:t>
      </w:r>
      <w:bookmarkEnd w:id="30"/>
      <w:bookmarkEnd w:id="31"/>
      <w:bookmarkStart w:id="32" w:name="_Hlt509649414"/>
      <w:bookmarkEnd w:id="32"/>
    </w:p>
    <w:bookmarkEnd w:id="23"/>
    <w:bookmarkEnd w:id="24"/>
    <w:p>
      <w:pPr>
        <w:widowControl/>
        <w:spacing w:line="360" w:lineRule="auto"/>
        <w:rPr>
          <w:rFonts w:ascii="宋体" w:hAnsi="宋体" w:cs="宋体"/>
          <w:b/>
          <w:color w:val="000000" w:themeColor="text1"/>
          <w:kern w:val="0"/>
          <w:sz w:val="24"/>
        </w:rPr>
      </w:pPr>
      <w:bookmarkStart w:id="33" w:name="_Toc459990140"/>
      <w:bookmarkStart w:id="34" w:name="_Toc516969091"/>
      <w:bookmarkStart w:id="35" w:name="_Toc459990141"/>
      <w:r>
        <w:rPr>
          <w:rFonts w:hint="eastAsia" w:ascii="宋体" w:hAnsi="宋体" w:cs="宋体"/>
          <w:b/>
          <w:color w:val="000000" w:themeColor="text1"/>
          <w:kern w:val="0"/>
          <w:sz w:val="24"/>
        </w:rPr>
        <w:t xml:space="preserve">    1、投标文件的密封和标记</w:t>
      </w:r>
    </w:p>
    <w:p>
      <w:pPr>
        <w:widowControl/>
        <w:spacing w:line="360" w:lineRule="auto"/>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1.1投标文件应装订成册、密封，并在封面注明招标编号、投标项目等，同时在密封处加盖骑缝章；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rPr>
      </w:pPr>
      <w:r>
        <w:rPr>
          <w:rFonts w:hint="eastAsia" w:ascii="宋体" w:hAnsi="宋体" w:cs="宋体"/>
          <w:color w:val="000000" w:themeColor="text1"/>
          <w:kern w:val="0"/>
          <w:sz w:val="24"/>
        </w:rPr>
        <w:t xml:space="preserve">    1.2投标文件要求：</w:t>
      </w:r>
      <w:r>
        <w:rPr>
          <w:rFonts w:hint="eastAsia" w:ascii="宋体" w:hAnsi="宋体" w:cs="宋体"/>
          <w:bCs/>
          <w:color w:val="000000" w:themeColor="text1"/>
          <w:kern w:val="0"/>
          <w:sz w:val="24"/>
        </w:rPr>
        <w:t>正、副本各一份。</w:t>
      </w:r>
    </w:p>
    <w:p>
      <w:pPr>
        <w:spacing w:line="360" w:lineRule="auto"/>
        <w:rPr>
          <w:rFonts w:ascii="宋体" w:hAnsi="宋体"/>
          <w:b/>
          <w:bCs/>
          <w:color w:val="000000" w:themeColor="text1"/>
          <w:kern w:val="0"/>
          <w:sz w:val="24"/>
        </w:rPr>
      </w:pPr>
      <w:r>
        <w:rPr>
          <w:rFonts w:hint="eastAsia" w:ascii="宋体" w:hAnsi="宋体"/>
          <w:b/>
          <w:bCs/>
          <w:color w:val="000000" w:themeColor="text1"/>
          <w:kern w:val="0"/>
          <w:sz w:val="24"/>
        </w:rPr>
        <w:t xml:space="preserve">    2、投标文件的递交、修改和撤回</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2.1</w:t>
      </w:r>
      <w:r>
        <w:rPr>
          <w:rFonts w:hint="eastAsia" w:ascii="宋体" w:hAnsi="宋体"/>
          <w:color w:val="000000" w:themeColor="text1"/>
          <w:kern w:val="0"/>
          <w:sz w:val="24"/>
        </w:rPr>
        <w:t>投标人应在投标截止时间前将密封合格的投标文件送达开标现场；</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2.2</w:t>
      </w:r>
      <w:r>
        <w:rPr>
          <w:rFonts w:hint="eastAsia" w:ascii="宋体" w:hAnsi="宋体"/>
          <w:color w:val="000000" w:themeColor="text1"/>
          <w:kern w:val="0"/>
          <w:sz w:val="24"/>
        </w:rPr>
        <w:t>投标人递交投标文件后，可修改或撤回投标文件，但必须在投标截止时间前书面通知招标人；投标截止后不得修改或撤回投标文件。</w:t>
      </w:r>
    </w:p>
    <w:p>
      <w:pPr>
        <w:pStyle w:val="5"/>
        <w:spacing w:line="360" w:lineRule="auto"/>
        <w:rPr>
          <w:rFonts w:hAnsi="宋体"/>
          <w:color w:val="000000" w:themeColor="text1"/>
          <w:sz w:val="28"/>
        </w:rPr>
      </w:pPr>
      <w:bookmarkStart w:id="36" w:name="_Toc21138"/>
      <w:r>
        <w:rPr>
          <w:rFonts w:hint="eastAsia" w:hAnsi="宋体"/>
          <w:color w:val="000000" w:themeColor="text1"/>
          <w:sz w:val="28"/>
        </w:rPr>
        <w:t>四．</w:t>
      </w:r>
      <w:bookmarkEnd w:id="33"/>
      <w:r>
        <w:rPr>
          <w:rFonts w:hint="eastAsia" w:hAnsi="宋体"/>
          <w:color w:val="000000" w:themeColor="text1"/>
          <w:sz w:val="28"/>
        </w:rPr>
        <w:t>开标、评标及定标</w:t>
      </w:r>
      <w:bookmarkEnd w:id="36"/>
    </w:p>
    <w:p>
      <w:pPr>
        <w:spacing w:line="360" w:lineRule="auto"/>
        <w:ind w:firstLine="482" w:firstLineChars="200"/>
        <w:rPr>
          <w:rFonts w:ascii="宋体" w:hAnsi="宋体" w:cs="宋体"/>
          <w:b/>
          <w:color w:val="000000" w:themeColor="text1"/>
          <w:kern w:val="0"/>
          <w:sz w:val="24"/>
        </w:rPr>
      </w:pPr>
      <w:r>
        <w:rPr>
          <w:rFonts w:hint="eastAsia" w:ascii="宋体" w:hAnsi="宋体" w:cs="宋体"/>
          <w:b/>
          <w:color w:val="000000" w:themeColor="text1"/>
          <w:kern w:val="0"/>
          <w:sz w:val="24"/>
        </w:rPr>
        <w:t xml:space="preserve"> 1.开标</w:t>
      </w:r>
    </w:p>
    <w:p>
      <w:pPr>
        <w:spacing w:line="360" w:lineRule="auto"/>
        <w:ind w:firstLine="550"/>
        <w:rPr>
          <w:rFonts w:ascii="宋体" w:hAnsi="宋体"/>
          <w:color w:val="000000" w:themeColor="text1"/>
          <w:sz w:val="24"/>
          <w:szCs w:val="24"/>
        </w:rPr>
      </w:pPr>
      <w:r>
        <w:rPr>
          <w:rFonts w:hint="eastAsia" w:ascii="宋体" w:hAnsi="宋体" w:cs="宋体"/>
          <w:color w:val="000000" w:themeColor="text1"/>
          <w:kern w:val="0"/>
          <w:sz w:val="24"/>
        </w:rPr>
        <w:t>1.1</w:t>
      </w:r>
      <w:r>
        <w:rPr>
          <w:rFonts w:hint="eastAsia" w:ascii="宋体" w:hAnsi="宋体"/>
          <w:color w:val="000000" w:themeColor="text1"/>
          <w:sz w:val="24"/>
          <w:szCs w:val="24"/>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rPr>
      </w:pPr>
      <w:r>
        <w:rPr>
          <w:rFonts w:hint="eastAsia" w:ascii="宋体" w:hAnsi="宋体"/>
          <w:color w:val="000000" w:themeColor="text1"/>
          <w:sz w:val="24"/>
          <w:szCs w:val="24"/>
        </w:rPr>
        <w:t>1.</w:t>
      </w:r>
      <w:r>
        <w:rPr>
          <w:rFonts w:hint="eastAsia" w:ascii="宋体" w:hAnsi="宋体" w:cs="宋体"/>
          <w:color w:val="000000" w:themeColor="text1"/>
          <w:kern w:val="0"/>
          <w:sz w:val="24"/>
        </w:rPr>
        <w:t>2</w:t>
      </w:r>
      <w:r>
        <w:rPr>
          <w:rFonts w:hint="eastAsia" w:ascii="宋体" w:hAnsi="宋体"/>
          <w:color w:val="000000" w:themeColor="text1"/>
          <w:kern w:val="0"/>
          <w:sz w:val="24"/>
        </w:rPr>
        <w:t>投标人一名授权代表参加商务标的开标</w:t>
      </w:r>
      <w:r>
        <w:rPr>
          <w:rFonts w:hint="eastAsia" w:ascii="宋体" w:hAnsi="宋体" w:cs="宋体"/>
          <w:color w:val="000000" w:themeColor="text1"/>
          <w:kern w:val="0"/>
          <w:sz w:val="24"/>
        </w:rPr>
        <w:t>。（授权代表须出示身份证原件）</w:t>
      </w:r>
    </w:p>
    <w:p>
      <w:pPr>
        <w:widowControl/>
        <w:spacing w:line="360" w:lineRule="auto"/>
        <w:ind w:firstLine="600" w:firstLineChars="250"/>
        <w:jc w:val="left"/>
        <w:rPr>
          <w:rFonts w:ascii="宋体" w:hAnsi="宋体"/>
          <w:color w:val="000000" w:themeColor="text1"/>
          <w:sz w:val="24"/>
        </w:rPr>
      </w:pPr>
      <w:r>
        <w:rPr>
          <w:rFonts w:hint="eastAsia" w:ascii="宋体" w:hAnsi="宋体"/>
          <w:color w:val="000000" w:themeColor="text1"/>
          <w:sz w:val="24"/>
          <w:szCs w:val="24"/>
        </w:rPr>
        <w:t>1.3</w:t>
      </w:r>
      <w:r>
        <w:rPr>
          <w:rFonts w:hint="eastAsia" w:ascii="宋体" w:hAnsi="宋体"/>
          <w:bCs/>
          <w:color w:val="000000" w:themeColor="text1"/>
          <w:sz w:val="24"/>
          <w:szCs w:val="24"/>
        </w:rPr>
        <w:t>开标时</w:t>
      </w:r>
      <w:r>
        <w:rPr>
          <w:rFonts w:hint="eastAsia" w:ascii="宋体" w:hAnsi="宋体"/>
          <w:color w:val="000000" w:themeColor="text1"/>
          <w:sz w:val="24"/>
        </w:rPr>
        <w:t>，</w:t>
      </w:r>
      <w:r>
        <w:rPr>
          <w:rFonts w:hint="eastAsia" w:ascii="宋体" w:hAnsi="宋体"/>
          <w:bCs/>
          <w:color w:val="000000" w:themeColor="text1"/>
          <w:sz w:val="24"/>
          <w:szCs w:val="24"/>
        </w:rPr>
        <w:t>文旅博览集团</w:t>
      </w:r>
      <w:r>
        <w:rPr>
          <w:rFonts w:hint="eastAsia" w:ascii="宋体" w:hAnsi="宋体"/>
          <w:color w:val="000000" w:themeColor="text1"/>
          <w:sz w:val="24"/>
        </w:rPr>
        <w:t>查验投标文件的密封状况，确认无误后拆封唱标。</w:t>
      </w:r>
      <w:r>
        <w:rPr>
          <w:rFonts w:hint="eastAsia" w:ascii="宋体" w:hAnsi="宋体"/>
          <w:bCs/>
          <w:color w:val="000000" w:themeColor="text1"/>
          <w:sz w:val="24"/>
          <w:szCs w:val="24"/>
        </w:rPr>
        <w:t>文旅博览集团将当众宣读</w:t>
      </w:r>
      <w:r>
        <w:rPr>
          <w:rFonts w:hint="eastAsia" w:ascii="宋体" w:hAnsi="宋体"/>
          <w:color w:val="000000" w:themeColor="text1"/>
          <w:sz w:val="24"/>
          <w:szCs w:val="24"/>
        </w:rPr>
        <w:t>投标人名称、投标价格以及文旅博览集团认为合适的其它详细内容。</w:t>
      </w:r>
    </w:p>
    <w:p>
      <w:pPr>
        <w:spacing w:line="360" w:lineRule="auto"/>
        <w:ind w:firstLine="549"/>
        <w:rPr>
          <w:rFonts w:ascii="宋体" w:hAnsi="宋体"/>
          <w:b/>
          <w:color w:val="000000" w:themeColor="text1"/>
          <w:sz w:val="24"/>
          <w:szCs w:val="24"/>
        </w:rPr>
      </w:pPr>
      <w:r>
        <w:rPr>
          <w:rFonts w:hint="eastAsia" w:ascii="宋体" w:hAnsi="宋体"/>
          <w:b/>
          <w:color w:val="000000" w:themeColor="text1"/>
          <w:sz w:val="24"/>
        </w:rPr>
        <w:t>2</w:t>
      </w:r>
      <w:r>
        <w:rPr>
          <w:rFonts w:hint="eastAsia" w:ascii="宋体" w:hAnsi="宋体"/>
          <w:b/>
          <w:color w:val="000000" w:themeColor="text1"/>
          <w:sz w:val="24"/>
          <w:szCs w:val="24"/>
        </w:rPr>
        <w:t>.投标文件的澄清、说明或补正</w:t>
      </w:r>
    </w:p>
    <w:p>
      <w:pPr>
        <w:spacing w:line="360" w:lineRule="auto"/>
        <w:ind w:firstLine="549"/>
        <w:rPr>
          <w:rFonts w:ascii="宋体" w:hAnsi="宋体"/>
          <w:bCs/>
          <w:color w:val="000000" w:themeColor="text1"/>
          <w:sz w:val="24"/>
          <w:szCs w:val="24"/>
        </w:rPr>
      </w:pPr>
      <w:r>
        <w:rPr>
          <w:rFonts w:hint="eastAsia" w:ascii="宋体" w:hAnsi="宋体"/>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.3开标一览表内容与投标文件中明细表内容不一致的，以开标一览表为准。</w:t>
      </w:r>
      <w:r>
        <w:rPr>
          <w:rFonts w:hint="eastAsia" w:ascii="宋体" w:hAnsi="宋体"/>
          <w:bCs/>
          <w:color w:val="000000" w:themeColor="text1"/>
          <w:sz w:val="24"/>
          <w:szCs w:val="24"/>
        </w:rPr>
        <w:t>开标一览表内容与唱标信息内容不一致的，以开标一览表为准。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.4.1 项目以投标总价结算的，以开标一览表中投标总价为准。</w:t>
      </w:r>
    </w:p>
    <w:p>
      <w:pPr>
        <w:spacing w:line="360" w:lineRule="auto"/>
        <w:ind w:firstLine="549"/>
        <w:rPr>
          <w:rFonts w:ascii="宋体" w:hAnsi="宋体"/>
          <w:b/>
          <w:color w:val="000000" w:themeColor="text1"/>
          <w:sz w:val="24"/>
          <w:szCs w:val="24"/>
        </w:rPr>
      </w:pPr>
      <w:r>
        <w:rPr>
          <w:rFonts w:hint="eastAsia" w:ascii="宋体" w:hAnsi="宋体"/>
          <w:color w:val="000000" w:themeColor="text1"/>
          <w:sz w:val="24"/>
        </w:rPr>
        <w:t>3.</w:t>
      </w:r>
      <w:r>
        <w:rPr>
          <w:rFonts w:hint="eastAsia" w:ascii="宋体" w:hAnsi="宋体"/>
          <w:b/>
          <w:color w:val="000000" w:themeColor="text1"/>
          <w:sz w:val="24"/>
          <w:szCs w:val="24"/>
        </w:rPr>
        <w:t>评标</w:t>
      </w:r>
    </w:p>
    <w:p>
      <w:pPr>
        <w:widowControl/>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3.1评标原则：</w:t>
      </w:r>
      <w:r>
        <w:rPr>
          <w:rFonts w:hint="eastAsia" w:ascii="宋体" w:hAnsi="宋体" w:cs="宋体"/>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540" w:firstLineChars="224"/>
        <w:rPr>
          <w:rFonts w:ascii="宋体" w:hAnsi="宋体"/>
          <w:bCs/>
          <w:color w:val="000000" w:themeColor="text1"/>
          <w:sz w:val="24"/>
          <w:szCs w:val="24"/>
        </w:rPr>
      </w:pPr>
      <w:r>
        <w:rPr>
          <w:rFonts w:hint="eastAsia" w:ascii="宋体" w:hAnsi="宋体"/>
          <w:b/>
          <w:color w:val="000000" w:themeColor="text1"/>
          <w:sz w:val="24"/>
          <w:szCs w:val="24"/>
        </w:rPr>
        <w:t>3.</w:t>
      </w:r>
      <w:r>
        <w:rPr>
          <w:rFonts w:hint="eastAsia" w:ascii="宋体" w:hAnsi="宋体"/>
          <w:b/>
          <w:color w:val="000000" w:themeColor="text1"/>
          <w:sz w:val="24"/>
        </w:rPr>
        <w:t>2评标方法：</w:t>
      </w:r>
      <w:r>
        <w:rPr>
          <w:rFonts w:hint="eastAsia" w:ascii="宋体" w:hAnsi="宋体"/>
          <w:bCs/>
          <w:color w:val="000000" w:themeColor="text1"/>
          <w:sz w:val="24"/>
          <w:szCs w:val="24"/>
        </w:rPr>
        <w:t>本次项目评标采用综合评分法作为对投标人标书的比较方法</w:t>
      </w:r>
      <w:r>
        <w:rPr>
          <w:rFonts w:hint="eastAsia" w:ascii="宋体" w:hAnsi="宋体"/>
          <w:color w:val="000000" w:themeColor="text1"/>
          <w:sz w:val="24"/>
        </w:rPr>
        <w:t>。</w:t>
      </w:r>
    </w:p>
    <w:p>
      <w:pPr>
        <w:spacing w:line="360" w:lineRule="auto"/>
        <w:ind w:firstLine="600" w:firstLineChars="250"/>
        <w:rPr>
          <w:rFonts w:ascii="宋体" w:hAnsi="宋体"/>
          <w:color w:val="000000" w:themeColor="text1"/>
          <w:sz w:val="24"/>
        </w:rPr>
      </w:pPr>
      <w:r>
        <w:rPr>
          <w:rFonts w:hint="eastAsia" w:ascii="宋体" w:hAnsi="宋体"/>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pPr>
        <w:spacing w:line="360" w:lineRule="auto"/>
        <w:ind w:firstLine="640" w:firstLineChars="267"/>
        <w:rPr>
          <w:rFonts w:ascii="宋体" w:hAnsi="宋体"/>
          <w:color w:val="000000" w:themeColor="text1"/>
          <w:sz w:val="24"/>
          <w:szCs w:val="24"/>
        </w:rPr>
      </w:pPr>
      <w:r>
        <w:rPr>
          <w:rFonts w:hint="eastAsia" w:ascii="宋体" w:hAnsi="宋体"/>
          <w:color w:val="000000" w:themeColor="text1"/>
          <w:sz w:val="24"/>
          <w:szCs w:val="24"/>
        </w:rPr>
        <w:t>3.4 评标委员会将按照招标文件规定的评标办法对投标人独立进行评审。</w:t>
      </w:r>
    </w:p>
    <w:p>
      <w:pPr>
        <w:spacing w:line="360" w:lineRule="auto"/>
        <w:ind w:firstLine="549"/>
        <w:rPr>
          <w:rFonts w:ascii="宋体" w:hAnsi="宋体" w:cs="Tahoma"/>
          <w:color w:val="000000" w:themeColor="text1"/>
          <w:sz w:val="24"/>
          <w:szCs w:val="24"/>
        </w:rPr>
      </w:pPr>
      <w:r>
        <w:rPr>
          <w:rFonts w:hint="eastAsia" w:ascii="宋体" w:hAnsi="宋体"/>
          <w:color w:val="000000" w:themeColor="text1"/>
          <w:sz w:val="24"/>
          <w:szCs w:val="24"/>
        </w:rPr>
        <w:t>3.5</w:t>
      </w:r>
      <w:r>
        <w:rPr>
          <w:rFonts w:hint="eastAsia" w:ascii="宋体" w:hAnsi="宋体" w:cs="Tahom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有下列情形之一的，评标委员会应当否决其投标</w:t>
      </w:r>
      <w:r>
        <w:rPr>
          <w:rFonts w:hint="eastAsia" w:ascii="宋体" w:hAnsi="宋体"/>
          <w:color w:val="000000" w:themeColor="text1"/>
          <w:sz w:val="24"/>
        </w:rPr>
        <w:t>：</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3.6.1投标文件未经投标单位盖章和单位负责人签字；</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3.6.2投标联合体没有提交共同投标协议；</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3.6.3投标人不符合国家或者招标文件规定的资格条件；</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3.6.5投标报价低于成本或者高于招标文件设定的最高投标限价；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3.6.6投标文件没有对招标文件的实质性要求和条件作出响应；</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3.6.7投标人有串通投标、弄虚作假、行贿等违法行为；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szCs w:val="24"/>
        </w:rPr>
        <w:t>3.6.8</w:t>
      </w:r>
      <w:r>
        <w:rPr>
          <w:rFonts w:hint="eastAsia" w:ascii="宋体" w:hAnsi="宋体"/>
          <w:color w:val="000000" w:themeColor="text1"/>
          <w:sz w:val="24"/>
        </w:rPr>
        <w:t>评委委员会评议认为构成废标的其他情况；</w:t>
      </w:r>
    </w:p>
    <w:p>
      <w:pPr>
        <w:widowControl/>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szCs w:val="24"/>
        </w:rPr>
        <w:t>3.6</w:t>
      </w:r>
      <w:r>
        <w:rPr>
          <w:rFonts w:hint="eastAsia" w:ascii="宋体" w:hAnsi="宋体"/>
          <w:color w:val="000000" w:themeColor="text1"/>
          <w:sz w:val="24"/>
        </w:rPr>
        <w:t>.9其他未实质性响应招标文件要求的。</w:t>
      </w:r>
    </w:p>
    <w:p>
      <w:pPr>
        <w:spacing w:line="360" w:lineRule="auto"/>
        <w:ind w:firstLine="600" w:firstLineChars="250"/>
        <w:rPr>
          <w:rFonts w:ascii="宋体" w:hAnsi="宋体"/>
          <w:color w:val="000000" w:themeColor="text1"/>
          <w:sz w:val="24"/>
          <w:szCs w:val="24"/>
        </w:rPr>
      </w:pPr>
      <w:r>
        <w:rPr>
          <w:rFonts w:hint="eastAsia" w:ascii="宋体" w:hAnsi="宋体"/>
          <w:color w:val="000000" w:themeColor="text1"/>
          <w:sz w:val="24"/>
          <w:szCs w:val="24"/>
        </w:rPr>
        <w:t>3.7评审时，评标委员会将审查投标文件是否符合招标文件的评审指标要求。</w:t>
      </w:r>
    </w:p>
    <w:p>
      <w:pPr>
        <w:spacing w:line="360" w:lineRule="auto"/>
        <w:ind w:firstLine="549"/>
        <w:rPr>
          <w:rFonts w:ascii="宋体" w:hAnsi="宋体"/>
          <w:color w:val="000000" w:themeColor="text1"/>
          <w:sz w:val="24"/>
        </w:rPr>
      </w:pPr>
      <w:r>
        <w:rPr>
          <w:rFonts w:hint="eastAsia" w:ascii="宋体" w:hAnsi="宋体"/>
          <w:color w:val="000000" w:themeColor="text1"/>
          <w:sz w:val="24"/>
          <w:szCs w:val="24"/>
        </w:rPr>
        <w:t>3.8</w:t>
      </w:r>
      <w:r>
        <w:rPr>
          <w:rFonts w:hint="eastAsia" w:ascii="宋体" w:hAnsi="宋体"/>
          <w:color w:val="000000" w:themeColor="text1"/>
          <w:sz w:val="24"/>
        </w:rPr>
        <w:t>如果投标文件未通过投标有效性评审，投标无效。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rPr>
      </w:pPr>
      <w:r>
        <w:rPr>
          <w:rFonts w:hint="eastAsia" w:ascii="宋体" w:hAnsi="宋体" w:cs="宋体"/>
          <w:b/>
          <w:color w:val="000000" w:themeColor="text1"/>
          <w:kern w:val="0"/>
          <w:sz w:val="24"/>
        </w:rPr>
        <w:t>4.定标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4.1评标委员会应当按招标文件规定的标准和方法提出独立评审意见，推荐中标候选人。</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000000" w:themeColor="text1"/>
          <w:kern w:val="0"/>
          <w:sz w:val="24"/>
        </w:rPr>
      </w:pPr>
      <w:r>
        <w:rPr>
          <w:rFonts w:hint="eastAsia" w:ascii="宋体" w:hAnsi="宋体"/>
          <w:color w:val="000000" w:themeColor="text1"/>
          <w:sz w:val="24"/>
          <w:szCs w:val="24"/>
        </w:rPr>
        <w:t>4.4</w:t>
      </w:r>
      <w:r>
        <w:rPr>
          <w:rFonts w:hint="eastAsia" w:ascii="宋体" w:hAnsi="宋体" w:cs="宋体"/>
          <w:color w:val="000000" w:themeColor="text1"/>
          <w:kern w:val="0"/>
          <w:sz w:val="24"/>
        </w:rPr>
        <w:t>招标人不承诺报价最低者能够中标。</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5.招标人一律不予退还投标人的投标文件。</w:t>
      </w:r>
    </w:p>
    <w:p>
      <w:pPr>
        <w:spacing w:line="360" w:lineRule="auto"/>
        <w:ind w:firstLine="525" w:firstLineChars="218"/>
        <w:rPr>
          <w:rFonts w:ascii="宋体" w:hAnsi="宋体"/>
          <w:color w:val="000000" w:themeColor="text1"/>
          <w:sz w:val="24"/>
          <w:szCs w:val="24"/>
        </w:rPr>
      </w:pPr>
      <w:r>
        <w:rPr>
          <w:rFonts w:hint="eastAsia" w:ascii="宋体" w:hAnsi="宋体"/>
          <w:b/>
          <w:color w:val="000000" w:themeColor="text1"/>
          <w:sz w:val="24"/>
        </w:rPr>
        <w:t>6.</w:t>
      </w:r>
      <w:r>
        <w:rPr>
          <w:rFonts w:hint="eastAsia" w:ascii="宋体" w:hAnsi="宋体"/>
          <w:color w:val="000000" w:themeColor="text1"/>
          <w:sz w:val="24"/>
          <w:szCs w:val="24"/>
        </w:rPr>
        <w:t xml:space="preserve"> 本招标文件所要求的证书、认证、资质，均应当是有权机构颁发，且在有效期内的。</w:t>
      </w:r>
    </w:p>
    <w:p>
      <w:pPr>
        <w:pStyle w:val="5"/>
        <w:spacing w:line="360" w:lineRule="auto"/>
        <w:rPr>
          <w:rFonts w:hint="eastAsia" w:hAnsi="宋体"/>
          <w:color w:val="000000" w:themeColor="text1"/>
          <w:sz w:val="28"/>
        </w:rPr>
      </w:pPr>
      <w:r>
        <w:rPr>
          <w:rFonts w:hint="eastAsia" w:hAnsi="宋体"/>
          <w:color w:val="000000" w:themeColor="text1"/>
          <w:sz w:val="28"/>
        </w:rPr>
        <w:t xml:space="preserve"> </w:t>
      </w:r>
      <w:bookmarkStart w:id="37" w:name="_Toc25212"/>
      <w:r>
        <w:rPr>
          <w:rFonts w:hint="eastAsia" w:hAnsi="宋体"/>
          <w:color w:val="000000" w:themeColor="text1"/>
          <w:sz w:val="28"/>
        </w:rPr>
        <w:t>五. 投标信息发布</w:t>
      </w:r>
      <w:bookmarkEnd w:id="37"/>
    </w:p>
    <w:p>
      <w:pPr>
        <w:spacing w:line="360" w:lineRule="auto"/>
        <w:ind w:firstLine="550"/>
        <w:rPr>
          <w:rFonts w:ascii="宋体" w:hAnsi="宋体"/>
          <w:color w:val="000000" w:themeColor="text1"/>
          <w:sz w:val="24"/>
        </w:rPr>
      </w:pPr>
      <w:r>
        <w:rPr>
          <w:rFonts w:hint="eastAsia" w:ascii="宋体" w:hAnsi="宋体"/>
          <w:color w:val="000000" w:themeColor="text1"/>
          <w:sz w:val="24"/>
        </w:rPr>
        <w:t>1.与本次招标活动相关的信息，将在合肥文旅博览集团有限公司网(</w:t>
      </w:r>
      <w:r>
        <w:rPr>
          <w:rFonts w:hint="eastAsia" w:ascii="宋体" w:hAnsi="宋体"/>
          <w:color w:val="000000" w:themeColor="text1"/>
          <w:sz w:val="24"/>
          <w:szCs w:val="24"/>
          <w:u w:val="single"/>
        </w:rPr>
        <w:t>http://www.zwzcgl.com</w:t>
      </w:r>
      <w:r>
        <w:rPr>
          <w:rFonts w:hint="eastAsia" w:ascii="宋体" w:hAnsi="宋体"/>
          <w:color w:val="000000" w:themeColor="text1"/>
          <w:sz w:val="24"/>
        </w:rPr>
        <w:t>)发布。</w:t>
      </w:r>
    </w:p>
    <w:p>
      <w:pPr>
        <w:spacing w:line="360" w:lineRule="auto"/>
        <w:ind w:firstLine="550"/>
        <w:rPr>
          <w:rFonts w:ascii="宋体" w:hAnsi="宋体"/>
          <w:color w:val="000000" w:themeColor="text1"/>
          <w:sz w:val="24"/>
        </w:rPr>
      </w:pPr>
      <w:r>
        <w:rPr>
          <w:rFonts w:hint="eastAsia" w:ascii="宋体" w:hAnsi="宋体"/>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000000" w:themeColor="text1"/>
          <w:sz w:val="28"/>
        </w:rPr>
      </w:pPr>
      <w:bookmarkStart w:id="38" w:name="_Toc3730"/>
      <w:r>
        <w:rPr>
          <w:rFonts w:hint="eastAsia" w:hAnsi="宋体"/>
          <w:color w:val="000000" w:themeColor="text1"/>
          <w:sz w:val="28"/>
        </w:rPr>
        <w:t>六．投标文件的澄清</w:t>
      </w:r>
      <w:bookmarkEnd w:id="38"/>
    </w:p>
    <w:p>
      <w:pPr>
        <w:spacing w:line="360" w:lineRule="auto"/>
        <w:ind w:firstLine="549"/>
        <w:rPr>
          <w:rFonts w:ascii="宋体" w:hAnsi="宋体"/>
          <w:bCs/>
          <w:color w:val="000000" w:themeColor="text1"/>
          <w:sz w:val="24"/>
        </w:rPr>
      </w:pPr>
      <w:r>
        <w:rPr>
          <w:rFonts w:hint="eastAsia" w:ascii="宋体" w:hAnsi="宋体"/>
          <w:bCs/>
          <w:color w:val="000000" w:themeColor="text1"/>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rPr>
      </w:pPr>
      <w:r>
        <w:rPr>
          <w:rFonts w:hint="eastAsia" w:ascii="宋体" w:hAnsi="宋体"/>
          <w:bCs/>
          <w:color w:val="000000" w:themeColor="text1"/>
          <w:sz w:val="24"/>
        </w:rPr>
        <w:t>2.重要的澄清应是书面的，但不得对投标内容进行实质性修改。</w:t>
      </w:r>
    </w:p>
    <w:p>
      <w:pPr>
        <w:pStyle w:val="5"/>
        <w:spacing w:line="360" w:lineRule="auto"/>
        <w:ind w:firstLine="628"/>
        <w:rPr>
          <w:rFonts w:hAnsi="宋体"/>
          <w:color w:val="000000" w:themeColor="text1"/>
          <w:sz w:val="28"/>
        </w:rPr>
      </w:pPr>
      <w:bookmarkStart w:id="39" w:name="_Toc2755"/>
      <w:r>
        <w:rPr>
          <w:rFonts w:hint="eastAsia" w:hAnsi="宋体"/>
          <w:color w:val="000000" w:themeColor="text1"/>
          <w:sz w:val="28"/>
        </w:rPr>
        <w:t>七.中标通知书</w:t>
      </w:r>
      <w:bookmarkEnd w:id="39"/>
    </w:p>
    <w:p>
      <w:pPr>
        <w:pStyle w:val="84"/>
        <w:numPr>
          <w:ilvl w:val="0"/>
          <w:numId w:val="0"/>
        </w:numPr>
        <w:adjustRightInd/>
        <w:snapToGrid w:val="0"/>
        <w:spacing w:line="360" w:lineRule="auto"/>
        <w:ind w:firstLine="600" w:firstLineChars="250"/>
        <w:rPr>
          <w:color w:val="000000" w:themeColor="text1"/>
          <w:sz w:val="24"/>
        </w:rPr>
      </w:pPr>
      <w:r>
        <w:rPr>
          <w:rFonts w:hint="eastAsia"/>
          <w:bCs/>
          <w:color w:val="000000" w:themeColor="text1"/>
          <w:sz w:val="24"/>
        </w:rPr>
        <w:t>1.</w:t>
      </w:r>
      <w:r>
        <w:rPr>
          <w:rFonts w:hint="eastAsia"/>
          <w:color w:val="000000" w:themeColor="text1"/>
          <w:sz w:val="24"/>
        </w:rPr>
        <w:t>文旅博览集团将以中标通知书形式通知中标人，其投标已被接受。</w:t>
      </w:r>
    </w:p>
    <w:p>
      <w:pPr>
        <w:pStyle w:val="84"/>
        <w:numPr>
          <w:ilvl w:val="0"/>
          <w:numId w:val="0"/>
        </w:numPr>
        <w:adjustRightInd/>
        <w:snapToGrid w:val="0"/>
        <w:spacing w:line="360" w:lineRule="auto"/>
        <w:ind w:left="566"/>
        <w:rPr>
          <w:color w:val="000000" w:themeColor="text1"/>
          <w:sz w:val="24"/>
        </w:rPr>
      </w:pPr>
      <w:r>
        <w:rPr>
          <w:rFonts w:hint="eastAsia"/>
          <w:bCs/>
          <w:color w:val="000000" w:themeColor="text1"/>
          <w:sz w:val="24"/>
        </w:rPr>
        <w:t>2.</w:t>
      </w:r>
      <w:r>
        <w:rPr>
          <w:rFonts w:hint="eastAsia"/>
          <w:color w:val="000000" w:themeColor="text1"/>
          <w:sz w:val="24"/>
        </w:rPr>
        <w:t>文旅博览集团对未中标的投标人不做未中标原因的解释。</w:t>
      </w:r>
    </w:p>
    <w:p>
      <w:pPr>
        <w:spacing w:line="360" w:lineRule="auto"/>
        <w:ind w:firstLine="549"/>
        <w:rPr>
          <w:rFonts w:ascii="宋体" w:hAnsi="宋体"/>
          <w:color w:val="000000" w:themeColor="text1"/>
          <w:sz w:val="24"/>
        </w:rPr>
      </w:pPr>
      <w:r>
        <w:rPr>
          <w:rFonts w:hint="eastAsia" w:ascii="宋体" w:hAnsi="宋体"/>
          <w:color w:val="000000" w:themeColor="text1"/>
          <w:sz w:val="24"/>
        </w:rPr>
        <w:t>3.中标公示期满后，中标人请在3个工作日内委派专人凭介绍信或公司授权书（须同时携带有效身份证明）领取中标通知书（联系人及联系方式：胡工  0551-63530687，地址：</w:t>
      </w:r>
      <w:r>
        <w:rPr>
          <w:rFonts w:hint="eastAsia" w:ascii="宋体" w:hAnsi="宋体"/>
          <w:bCs/>
          <w:color w:val="000000" w:themeColor="text1"/>
          <w:sz w:val="24"/>
          <w:szCs w:val="18"/>
        </w:rPr>
        <w:t>合肥市蜀山区习友路与茂荫路交口投资大厦2楼招标采购部</w:t>
      </w:r>
      <w:r>
        <w:rPr>
          <w:rFonts w:hint="eastAsia" w:ascii="宋体" w:hAnsi="宋体"/>
          <w:color w:val="000000" w:themeColor="text1"/>
          <w:sz w:val="24"/>
        </w:rPr>
        <w:t>）。</w:t>
      </w:r>
      <w:bookmarkEnd w:id="34"/>
      <w:bookmarkEnd w:id="35"/>
    </w:p>
    <w:p>
      <w:pPr>
        <w:pStyle w:val="5"/>
        <w:spacing w:line="360" w:lineRule="auto"/>
        <w:ind w:firstLine="628"/>
        <w:rPr>
          <w:rFonts w:hAnsi="宋体"/>
          <w:color w:val="000000" w:themeColor="text1"/>
          <w:sz w:val="28"/>
        </w:rPr>
      </w:pPr>
      <w:bookmarkStart w:id="40" w:name="_Toc6406"/>
      <w:r>
        <w:rPr>
          <w:rFonts w:hint="eastAsia" w:hAnsi="宋体"/>
          <w:color w:val="000000" w:themeColor="text1"/>
          <w:sz w:val="28"/>
        </w:rPr>
        <w:t>八.异议处理</w:t>
      </w:r>
      <w:bookmarkEnd w:id="40"/>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1.投标人或者其他利害关系人对依法必须进行招标的项目的评标结果有异议的，应当在中标候选人公示期间，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2.异议书内容应包括异议的详细理由和依据，并提供有关证明资料。</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3.有以下情形之一的，视为无效异议：</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3.1 未按规定时间或规定手续提交异议的；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3.2异议内容含糊不清、没有提供详细理由和依据，无法进行核查的；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3.3其他不符合异议程序和有关规定的。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000000" w:themeColor="text1"/>
          <w:sz w:val="28"/>
        </w:rPr>
      </w:pPr>
      <w:bookmarkStart w:id="41" w:name="_Toc6443"/>
      <w:r>
        <w:rPr>
          <w:rFonts w:hint="eastAsia" w:hAnsi="宋体"/>
          <w:color w:val="000000" w:themeColor="text1"/>
          <w:sz w:val="28"/>
        </w:rPr>
        <w:t>九．签订合同</w:t>
      </w:r>
      <w:bookmarkEnd w:id="41"/>
    </w:p>
    <w:p>
      <w:pPr>
        <w:spacing w:line="420" w:lineRule="exact"/>
        <w:ind w:firstLine="549"/>
        <w:rPr>
          <w:rFonts w:ascii="宋体" w:hAnsi="宋体"/>
          <w:b/>
          <w:color w:val="000000" w:themeColor="text1"/>
          <w:sz w:val="24"/>
        </w:rPr>
      </w:pPr>
      <w:r>
        <w:rPr>
          <w:rFonts w:hint="eastAsia" w:ascii="宋体" w:hAnsi="宋体"/>
          <w:b/>
          <w:color w:val="000000" w:themeColor="text1"/>
          <w:sz w:val="24"/>
        </w:rPr>
        <w:t>1.履约保证金</w:t>
      </w:r>
    </w:p>
    <w:p>
      <w:pPr>
        <w:spacing w:line="420" w:lineRule="exact"/>
        <w:ind w:firstLine="549"/>
        <w:rPr>
          <w:rFonts w:ascii="宋体" w:hAnsi="宋体"/>
          <w:dstrike/>
          <w:color w:val="000000" w:themeColor="text1"/>
          <w:sz w:val="24"/>
        </w:rPr>
      </w:pPr>
      <w:r>
        <w:rPr>
          <w:rFonts w:hint="eastAsia" w:ascii="宋体" w:hAnsi="宋体"/>
          <w:color w:val="000000" w:themeColor="text1"/>
          <w:sz w:val="24"/>
        </w:rPr>
        <w:t>2.1签订合同前，投标人应提交履约保证金。履约保证金金额、收受方式及收受人见投标人须知前附表规定。</w:t>
      </w:r>
    </w:p>
    <w:p>
      <w:pPr>
        <w:spacing w:line="420" w:lineRule="exact"/>
        <w:ind w:firstLine="549"/>
        <w:rPr>
          <w:rFonts w:ascii="宋体" w:hAnsi="宋体"/>
          <w:color w:val="000000" w:themeColor="text1"/>
          <w:sz w:val="24"/>
        </w:rPr>
      </w:pPr>
      <w:r>
        <w:rPr>
          <w:rFonts w:hint="eastAsia" w:ascii="宋体" w:hAnsi="宋体"/>
          <w:color w:val="000000" w:themeColor="text1"/>
          <w:sz w:val="24"/>
        </w:rPr>
        <w:t>2.2投标人须知前附表约定收取履约保证金或免收履约保证金的，从其规定。</w:t>
      </w:r>
    </w:p>
    <w:p>
      <w:pPr>
        <w:spacing w:line="420" w:lineRule="exact"/>
        <w:ind w:firstLine="549"/>
        <w:rPr>
          <w:rFonts w:ascii="宋体" w:hAnsi="宋体"/>
          <w:color w:val="000000" w:themeColor="text1"/>
          <w:sz w:val="24"/>
        </w:rPr>
      </w:pPr>
      <w:r>
        <w:rPr>
          <w:rFonts w:hint="eastAsia" w:ascii="宋体" w:hAnsi="宋体"/>
          <w:color w:val="000000" w:themeColor="text1"/>
          <w:sz w:val="24"/>
        </w:rPr>
        <w:t>2.3如果中标人未按规定交纳履约保证金，招标人有权取消该授标，在此情况下招标人可将该标授予其下一个中标候选人，或重新招标。</w:t>
      </w:r>
    </w:p>
    <w:p>
      <w:pPr>
        <w:spacing w:line="420" w:lineRule="exact"/>
        <w:ind w:firstLine="549"/>
        <w:rPr>
          <w:rFonts w:ascii="宋体" w:hAnsi="宋体"/>
          <w:b/>
          <w:color w:val="000000" w:themeColor="text1"/>
          <w:sz w:val="24"/>
        </w:rPr>
      </w:pPr>
      <w:r>
        <w:rPr>
          <w:rFonts w:hint="eastAsia" w:ascii="宋体" w:hAnsi="宋体" w:cs="宋体"/>
          <w:b/>
          <w:color w:val="000000" w:themeColor="text1"/>
          <w:kern w:val="0"/>
          <w:sz w:val="24"/>
        </w:rPr>
        <w:t>2.</w:t>
      </w:r>
      <w:r>
        <w:rPr>
          <w:rFonts w:hint="eastAsia" w:ascii="宋体" w:hAnsi="宋体"/>
          <w:b/>
          <w:color w:val="000000" w:themeColor="text1"/>
          <w:sz w:val="24"/>
        </w:rPr>
        <w:t>签订合同</w:t>
      </w:r>
    </w:p>
    <w:p>
      <w:pPr>
        <w:spacing w:line="420" w:lineRule="exact"/>
        <w:ind w:firstLine="549"/>
        <w:rPr>
          <w:rFonts w:ascii="宋体" w:hAnsi="宋体"/>
          <w:color w:val="000000" w:themeColor="text1"/>
          <w:sz w:val="24"/>
        </w:rPr>
      </w:pPr>
      <w:r>
        <w:rPr>
          <w:rFonts w:hint="eastAsia" w:ascii="宋体" w:hAnsi="宋体"/>
          <w:color w:val="000000" w:themeColor="text1"/>
          <w:sz w:val="24"/>
        </w:rPr>
        <w:t>2.1中标人应在中标通知书发出之日起7日内（具体时间、地点见中标通知书）与委托人签订合同。招标文件、中标人的投标文件及澄清文件等，均作为合同的附件。</w:t>
      </w:r>
    </w:p>
    <w:p>
      <w:pPr>
        <w:spacing w:line="420" w:lineRule="exact"/>
        <w:ind w:firstLine="549"/>
        <w:rPr>
          <w:rFonts w:ascii="宋体" w:hAnsi="宋体"/>
          <w:color w:val="000000" w:themeColor="text1"/>
          <w:sz w:val="24"/>
        </w:rPr>
      </w:pPr>
      <w:r>
        <w:rPr>
          <w:rFonts w:hint="eastAsia" w:ascii="宋体" w:hAnsi="宋体"/>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420" w:lineRule="exact"/>
        <w:ind w:firstLine="523" w:firstLineChars="218"/>
        <w:rPr>
          <w:rFonts w:ascii="宋体" w:hAnsi="宋体"/>
          <w:color w:val="000000" w:themeColor="text1"/>
          <w:sz w:val="24"/>
        </w:rPr>
      </w:pPr>
      <w:r>
        <w:rPr>
          <w:rFonts w:hint="eastAsia" w:ascii="宋体" w:hAnsi="宋体"/>
          <w:color w:val="000000" w:themeColor="text1"/>
          <w:sz w:val="24"/>
        </w:rPr>
        <w:t>2.3招标人保留以书面形式要求合同的卖方对其所投货物的装运方式、交货地点及服务细则等作适当调整的权利。</w:t>
      </w:r>
    </w:p>
    <w:p>
      <w:pPr>
        <w:spacing w:line="420" w:lineRule="exact"/>
        <w:ind w:firstLine="523" w:firstLineChars="218"/>
        <w:rPr>
          <w:rFonts w:ascii="宋体" w:hAnsi="宋体"/>
          <w:color w:val="000000" w:themeColor="text1"/>
          <w:sz w:val="24"/>
        </w:rPr>
      </w:pPr>
      <w:r>
        <w:rPr>
          <w:rFonts w:hint="eastAsia" w:ascii="宋体" w:hAnsi="宋体"/>
          <w:color w:val="000000" w:themeColor="text1"/>
          <w:sz w:val="24"/>
        </w:rPr>
        <w:t>2.4</w:t>
      </w:r>
      <w:r>
        <w:rPr>
          <w:rFonts w:hint="eastAsia" w:ascii="宋体" w:hAnsi="宋体" w:cs="宋体"/>
          <w:color w:val="000000" w:themeColor="text1"/>
          <w:kern w:val="0"/>
          <w:sz w:val="24"/>
        </w:rPr>
        <w:t>招标人在授予合同时有权对标的物的数量予以适当的增加或减少；</w:t>
      </w:r>
    </w:p>
    <w:p>
      <w:pPr>
        <w:spacing w:line="420" w:lineRule="exact"/>
        <w:ind w:firstLine="549"/>
        <w:rPr>
          <w:rFonts w:ascii="宋体" w:hAnsi="宋体"/>
          <w:color w:val="000000" w:themeColor="text1"/>
          <w:sz w:val="24"/>
        </w:rPr>
      </w:pPr>
      <w:r>
        <w:rPr>
          <w:rFonts w:hint="eastAsia" w:ascii="宋体" w:hAnsi="宋体"/>
          <w:color w:val="000000" w:themeColor="text1"/>
          <w:sz w:val="24"/>
        </w:rPr>
        <w:t>2.5中标人不与委托人签订合同的，招标人可单方面取消其中标资格，并追究其责任。</w:t>
      </w:r>
    </w:p>
    <w:p>
      <w:pPr>
        <w:spacing w:line="420" w:lineRule="exact"/>
        <w:ind w:firstLine="549"/>
        <w:rPr>
          <w:rFonts w:ascii="宋体" w:hAnsi="宋体"/>
          <w:color w:val="000000" w:themeColor="text1"/>
          <w:sz w:val="24"/>
        </w:rPr>
      </w:pPr>
      <w:r>
        <w:rPr>
          <w:rFonts w:hint="eastAsia" w:ascii="宋体" w:hAnsi="宋体"/>
          <w:color w:val="000000" w:themeColor="text1"/>
          <w:sz w:val="24"/>
        </w:rPr>
        <w:t>2.6 合同履行完毕后，经委托人考核合格，双方可续签合同。</w:t>
      </w:r>
    </w:p>
    <w:p>
      <w:pPr>
        <w:rPr>
          <w:rFonts w:ascii="宋体" w:hAnsi="宋体"/>
          <w:color w:val="000000" w:themeColor="text1"/>
        </w:rPr>
      </w:pPr>
      <w:bookmarkStart w:id="42" w:name="_Hlt516969057"/>
      <w:bookmarkEnd w:id="42"/>
      <w:bookmarkStart w:id="43" w:name="_Hlt509650351"/>
      <w:bookmarkEnd w:id="43"/>
      <w:bookmarkStart w:id="44" w:name="_Hlt204508754"/>
      <w:bookmarkEnd w:id="44"/>
    </w:p>
    <w:p>
      <w:pPr>
        <w:rPr>
          <w:rFonts w:ascii="宋体" w:hAnsi="宋体"/>
          <w:color w:val="000000" w:themeColor="text1"/>
        </w:rPr>
      </w:pPr>
    </w:p>
    <w:p>
      <w:pPr>
        <w:pStyle w:val="4"/>
        <w:spacing w:line="500" w:lineRule="exact"/>
        <w:rPr>
          <w:rFonts w:ascii="宋体" w:hAnsi="宋体" w:eastAsia="宋体"/>
          <w:color w:val="000000" w:themeColor="text1"/>
          <w:szCs w:val="36"/>
        </w:rPr>
      </w:pPr>
      <w:bookmarkStart w:id="45" w:name="_Toc15777"/>
      <w:r>
        <w:rPr>
          <w:rFonts w:hint="eastAsia" w:ascii="宋体" w:hAnsi="宋体" w:eastAsia="宋体"/>
          <w:color w:val="000000" w:themeColor="text1"/>
        </w:rPr>
        <w:t>第</w:t>
      </w:r>
      <w:bookmarkStart w:id="46" w:name="_Hlt240110027"/>
      <w:bookmarkEnd w:id="46"/>
      <w:r>
        <w:rPr>
          <w:rFonts w:hint="eastAsia" w:ascii="宋体" w:hAnsi="宋体" w:eastAsia="宋体"/>
          <w:color w:val="000000" w:themeColor="text1"/>
        </w:rPr>
        <w:t>四章</w:t>
      </w:r>
      <w:bookmarkStart w:id="47" w:name="_Hlt509716920"/>
      <w:bookmarkEnd w:id="47"/>
      <w:r>
        <w:rPr>
          <w:rFonts w:hint="eastAsia" w:ascii="宋体" w:hAnsi="宋体" w:eastAsia="宋体"/>
          <w:color w:val="000000" w:themeColor="text1"/>
          <w:szCs w:val="36"/>
        </w:rPr>
        <w:t>招标需求</w:t>
      </w:r>
      <w:bookmarkEnd w:id="45"/>
    </w:p>
    <w:p>
      <w:pPr>
        <w:spacing w:line="360" w:lineRule="auto"/>
        <w:ind w:firstLine="480" w:firstLineChars="200"/>
        <w:rPr>
          <w:rFonts w:ascii="宋体" w:hAnsi="宋体"/>
          <w:color w:val="000000" w:themeColor="text1"/>
          <w:sz w:val="24"/>
          <w:szCs w:val="28"/>
        </w:rPr>
      </w:pPr>
      <w:r>
        <w:rPr>
          <w:rFonts w:hint="eastAsia" w:ascii="宋体" w:hAnsi="宋体"/>
          <w:color w:val="000000" w:themeColor="text1"/>
          <w:sz w:val="24"/>
          <w:szCs w:val="28"/>
        </w:rPr>
        <w:t>前注：</w:t>
      </w:r>
    </w:p>
    <w:p>
      <w:pPr>
        <w:spacing w:line="360" w:lineRule="auto"/>
        <w:ind w:firstLine="480" w:firstLineChars="200"/>
        <w:rPr>
          <w:rFonts w:ascii="宋体" w:hAnsi="宋体"/>
          <w:color w:val="000000" w:themeColor="text1"/>
          <w:sz w:val="24"/>
          <w:szCs w:val="28"/>
        </w:rPr>
      </w:pPr>
      <w:r>
        <w:rPr>
          <w:rFonts w:hint="eastAsia" w:ascii="宋体" w:hAnsi="宋体"/>
          <w:color w:val="000000" w:themeColor="text1"/>
          <w:sz w:val="24"/>
          <w:szCs w:val="28"/>
        </w:rPr>
        <w:t>1.投标人自行考虑“营改增”税收费用及风险，中标后须按国家相关规定缴纳税金并按委托人要求提供发票，费用含在本次投标总价中，中标后不作调整。</w:t>
      </w:r>
    </w:p>
    <w:p>
      <w:pPr>
        <w:spacing w:line="360" w:lineRule="auto"/>
        <w:ind w:firstLine="480" w:firstLineChars="200"/>
        <w:rPr>
          <w:rFonts w:ascii="宋体" w:hAnsi="宋体"/>
          <w:color w:val="000000" w:themeColor="text1"/>
          <w:sz w:val="24"/>
          <w:szCs w:val="28"/>
        </w:rPr>
      </w:pPr>
      <w:r>
        <w:rPr>
          <w:rFonts w:hint="eastAsia" w:ascii="宋体" w:hAnsi="宋体"/>
          <w:color w:val="000000" w:themeColor="text1"/>
          <w:sz w:val="24"/>
          <w:szCs w:val="28"/>
        </w:rPr>
        <w:t>2.如对本招标文件有任何疑问或澄清要求，请按本招标文件“投标人须知前附表”中的约定方式联系文旅博览集团，或接受答疑截止时间前联系招标人。否则视同理解和接受。</w:t>
      </w:r>
    </w:p>
    <w:p>
      <w:pPr>
        <w:spacing w:line="360" w:lineRule="auto"/>
        <w:ind w:firstLine="482" w:firstLineChars="200"/>
        <w:rPr>
          <w:rFonts w:ascii="宋体" w:hAnsi="宋体"/>
          <w:b/>
          <w:color w:val="000000"/>
          <w:sz w:val="24"/>
          <w:szCs w:val="28"/>
        </w:rPr>
      </w:pPr>
      <w:bookmarkStart w:id="48" w:name="_Toc508363595"/>
      <w:r>
        <w:rPr>
          <w:rFonts w:hint="eastAsia" w:ascii="宋体" w:hAnsi="宋体"/>
          <w:b/>
          <w:color w:val="000000" w:themeColor="text1"/>
          <w:sz w:val="24"/>
          <w:szCs w:val="28"/>
        </w:rPr>
        <w:t>一、服务范围及内容：</w:t>
      </w:r>
      <w:r>
        <w:rPr>
          <w:rFonts w:hint="eastAsia" w:ascii="宋体" w:hAnsi="宋体"/>
          <w:b/>
          <w:color w:val="000000"/>
          <w:sz w:val="24"/>
          <w:szCs w:val="28"/>
        </w:rPr>
        <w:t>具体工作内容包括，但不限于以下几个方面：</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（1）负责保安服务人员的招聘、培训、行政人事管理等；</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（2）根据招标人的要求制定管理区域的秩序治安、消防、车辆、物品人员、门岗、防盗防偷等保安管理方案及保安管理制度；</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（3）全力配合招标人项目日常物业管理服务工作；</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（4）负责服务区域24小时的安全保卫事务；</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（5）负责外来人员出入服务区域的询问、登记事务；</w:t>
      </w:r>
    </w:p>
    <w:p>
      <w:pPr>
        <w:spacing w:line="360" w:lineRule="auto"/>
        <w:ind w:firstLine="480" w:firstLineChars="200"/>
        <w:jc w:val="left"/>
        <w:rPr>
          <w:rFonts w:ascii="宋体" w:hAnsi="宋体"/>
          <w:color w:val="000000"/>
          <w:sz w:val="24"/>
          <w:szCs w:val="28"/>
        </w:rPr>
      </w:pPr>
      <w:r>
        <w:rPr>
          <w:rFonts w:hint="eastAsia" w:ascii="宋体" w:hAnsi="宋体"/>
          <w:color w:val="000000"/>
          <w:sz w:val="24"/>
          <w:szCs w:val="28"/>
        </w:rPr>
        <w:t>（6）负责维护服务区域的正常秩序；</w:t>
      </w:r>
    </w:p>
    <w:p>
      <w:pPr>
        <w:spacing w:line="360" w:lineRule="auto"/>
        <w:ind w:firstLine="480" w:firstLineChars="200"/>
        <w:jc w:val="left"/>
        <w:rPr>
          <w:rFonts w:ascii="宋体" w:hAnsi="宋体"/>
          <w:color w:val="000000"/>
          <w:sz w:val="24"/>
          <w:szCs w:val="28"/>
        </w:rPr>
      </w:pPr>
      <w:r>
        <w:rPr>
          <w:rFonts w:hint="eastAsia" w:ascii="宋体" w:hAnsi="宋体"/>
          <w:color w:val="000000"/>
          <w:sz w:val="24"/>
          <w:szCs w:val="28"/>
        </w:rPr>
        <w:t>（7）负责预防服务区域内刑事、治安案件的发生；</w:t>
      </w:r>
    </w:p>
    <w:p>
      <w:pPr>
        <w:spacing w:line="360" w:lineRule="auto"/>
        <w:ind w:firstLine="480" w:firstLineChars="200"/>
        <w:jc w:val="left"/>
        <w:rPr>
          <w:rFonts w:ascii="宋体" w:hAnsi="宋体"/>
          <w:color w:val="000000"/>
          <w:sz w:val="24"/>
          <w:szCs w:val="28"/>
        </w:rPr>
      </w:pPr>
      <w:r>
        <w:rPr>
          <w:rFonts w:hint="eastAsia" w:ascii="宋体" w:hAnsi="宋体"/>
          <w:color w:val="000000"/>
          <w:sz w:val="24"/>
          <w:szCs w:val="28"/>
        </w:rPr>
        <w:t>（8）负责预防服务区域内水、电、火等破坏性事故的发生；</w:t>
      </w:r>
    </w:p>
    <w:p>
      <w:pPr>
        <w:spacing w:line="360" w:lineRule="auto"/>
        <w:ind w:firstLine="480" w:firstLineChars="200"/>
        <w:jc w:val="left"/>
        <w:rPr>
          <w:rFonts w:ascii="宋体" w:hAnsi="宋体"/>
          <w:color w:val="000000"/>
          <w:sz w:val="24"/>
          <w:szCs w:val="28"/>
        </w:rPr>
      </w:pPr>
      <w:r>
        <w:rPr>
          <w:rFonts w:hint="eastAsia" w:ascii="宋体" w:hAnsi="宋体"/>
          <w:color w:val="000000"/>
          <w:sz w:val="24"/>
          <w:szCs w:val="28"/>
        </w:rPr>
        <w:t>（9）负责保护服务区域财产、人身的安全；</w:t>
      </w:r>
    </w:p>
    <w:p>
      <w:pPr>
        <w:spacing w:line="360" w:lineRule="auto"/>
        <w:ind w:firstLine="480" w:firstLineChars="200"/>
        <w:jc w:val="left"/>
        <w:rPr>
          <w:rFonts w:ascii="宋体" w:hAnsi="宋体" w:cs="宋体"/>
          <w:kern w:val="0"/>
          <w:sz w:val="24"/>
        </w:rPr>
      </w:pPr>
      <w:r>
        <w:rPr>
          <w:rFonts w:hint="eastAsia" w:ascii="宋体" w:hAnsi="宋体" w:cs="宋体"/>
          <w:kern w:val="0"/>
          <w:sz w:val="24"/>
        </w:rPr>
        <w:t>（10）各类应急预案的制定、演练及实际应用；</w:t>
      </w:r>
    </w:p>
    <w:p>
      <w:pPr>
        <w:spacing w:line="360" w:lineRule="auto"/>
        <w:ind w:firstLine="480" w:firstLineChars="200"/>
        <w:jc w:val="left"/>
        <w:rPr>
          <w:rFonts w:ascii="宋体" w:hAnsi="宋体" w:cs="宋体"/>
          <w:kern w:val="0"/>
          <w:sz w:val="24"/>
        </w:rPr>
      </w:pPr>
      <w:r>
        <w:rPr>
          <w:rFonts w:hint="eastAsia" w:ascii="宋体" w:hAnsi="宋体" w:cs="宋体"/>
          <w:kern w:val="0"/>
          <w:sz w:val="24"/>
        </w:rPr>
        <w:t>（11）配合项目完成突发事件的处置。</w:t>
      </w:r>
    </w:p>
    <w:p>
      <w:pPr>
        <w:spacing w:line="480" w:lineRule="exact"/>
        <w:ind w:firstLine="482" w:firstLineChars="200"/>
        <w:rPr>
          <w:rFonts w:ascii="宋体" w:hAnsi="宋体" w:cs="宋体"/>
          <w:color w:val="000000"/>
          <w:sz w:val="24"/>
        </w:rPr>
      </w:pPr>
      <w:r>
        <w:rPr>
          <w:rFonts w:hint="eastAsia" w:ascii="宋体" w:hAnsi="宋体"/>
          <w:b/>
          <w:color w:val="000000"/>
          <w:sz w:val="24"/>
        </w:rPr>
        <w:t>二、服务要求：</w:t>
      </w:r>
    </w:p>
    <w:p>
      <w:pPr>
        <w:spacing w:line="480" w:lineRule="exact"/>
        <w:ind w:firstLine="482" w:firstLineChars="200"/>
        <w:jc w:val="left"/>
        <w:rPr>
          <w:rFonts w:ascii="宋体" w:hAnsi="宋体"/>
          <w:b/>
          <w:color w:val="000000"/>
          <w:sz w:val="24"/>
        </w:rPr>
      </w:pPr>
      <w:r>
        <w:rPr>
          <w:rFonts w:hint="eastAsia" w:ascii="宋体" w:hAnsi="宋体"/>
          <w:b/>
          <w:color w:val="000000"/>
          <w:sz w:val="24"/>
        </w:rPr>
        <w:t>（一）项目岗位配置要求</w:t>
      </w:r>
    </w:p>
    <w:tbl>
      <w:tblPr>
        <w:tblStyle w:val="51"/>
        <w:tblW w:w="8866" w:type="dxa"/>
        <w:tblInd w:w="534" w:type="dxa"/>
        <w:tblLayout w:type="autofit"/>
        <w:tblCellMar>
          <w:top w:w="0" w:type="dxa"/>
          <w:left w:w="108" w:type="dxa"/>
          <w:bottom w:w="0" w:type="dxa"/>
          <w:right w:w="108" w:type="dxa"/>
        </w:tblCellMar>
      </w:tblPr>
      <w:tblGrid>
        <w:gridCol w:w="871"/>
        <w:gridCol w:w="2411"/>
        <w:gridCol w:w="2209"/>
        <w:gridCol w:w="1934"/>
        <w:gridCol w:w="1441"/>
      </w:tblGrid>
      <w:tr>
        <w:tblPrEx>
          <w:tblCellMar>
            <w:top w:w="0" w:type="dxa"/>
            <w:left w:w="108" w:type="dxa"/>
            <w:bottom w:w="0" w:type="dxa"/>
            <w:right w:w="108" w:type="dxa"/>
          </w:tblCellMar>
        </w:tblPrEx>
        <w:trPr>
          <w:trHeight w:val="591" w:hRule="atLeast"/>
        </w:trPr>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4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保安服务岗位 </w:t>
            </w:r>
          </w:p>
        </w:tc>
        <w:tc>
          <w:tcPr>
            <w:tcW w:w="22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岗位数（个）</w:t>
            </w:r>
          </w:p>
        </w:tc>
        <w:tc>
          <w:tcPr>
            <w:tcW w:w="1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岗位时间</w:t>
            </w:r>
          </w:p>
        </w:tc>
        <w:tc>
          <w:tcPr>
            <w:tcW w:w="14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保安领班</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1#楼A区门岗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1#楼B区1号门门岗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1#楼B区2号门门岗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1#楼B区3号门门岗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4"/>
              </w:rPr>
              <w:t>白班</w:t>
            </w: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2#楼门岗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1#楼A区消防分控室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2#楼消防分控室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2"/>
              </w:rPr>
              <w:t>9</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1#楼B区消防总控室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巡逻岗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64" w:hRule="atLeast"/>
        </w:trPr>
        <w:tc>
          <w:tcPr>
            <w:tcW w:w="3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9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4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bl>
    <w:p>
      <w:pPr>
        <w:spacing w:line="460" w:lineRule="exact"/>
        <w:ind w:firstLine="480" w:firstLineChars="200"/>
        <w:rPr>
          <w:rFonts w:ascii="宋体" w:hAnsi="宋体"/>
          <w:sz w:val="24"/>
        </w:rPr>
      </w:pPr>
      <w:r>
        <w:rPr>
          <w:rFonts w:hint="eastAsia" w:ascii="宋体" w:hAnsi="宋体"/>
          <w:sz w:val="24"/>
        </w:rPr>
        <w:t>保安实行24小时岗位工作制，负责服务区域每天24小时的秩序维护和安全保卫事务，</w:t>
      </w:r>
      <w:r>
        <w:rPr>
          <w:rFonts w:hint="eastAsia" w:ascii="宋体" w:hAnsi="宋体"/>
          <w:b/>
          <w:sz w:val="24"/>
        </w:rPr>
        <w:t>确保白班保安人员不少于12人，夜班保安人员不少于11人。</w:t>
      </w:r>
      <w:r>
        <w:rPr>
          <w:rFonts w:hint="eastAsia" w:ascii="宋体" w:hAnsi="宋体"/>
          <w:sz w:val="24"/>
        </w:rPr>
        <w:t>派驻人员在服务过程中，如需更换，应征得招标人同意。</w:t>
      </w:r>
    </w:p>
    <w:p>
      <w:pPr>
        <w:spacing w:line="460" w:lineRule="exact"/>
        <w:ind w:firstLine="482" w:firstLineChars="200"/>
        <w:jc w:val="left"/>
        <w:rPr>
          <w:rFonts w:ascii="宋体" w:hAnsi="宋体"/>
          <w:b/>
          <w:sz w:val="24"/>
        </w:rPr>
      </w:pPr>
      <w:r>
        <w:rPr>
          <w:rFonts w:hint="eastAsia" w:ascii="宋体" w:hAnsi="宋体"/>
          <w:b/>
          <w:sz w:val="24"/>
        </w:rPr>
        <w:t>（二）人员管理要求：</w:t>
      </w:r>
    </w:p>
    <w:p>
      <w:pPr>
        <w:spacing w:line="460" w:lineRule="exact"/>
        <w:ind w:firstLine="480" w:firstLineChars="200"/>
        <w:jc w:val="left"/>
        <w:rPr>
          <w:rFonts w:ascii="宋体" w:hAnsi="宋体"/>
          <w:sz w:val="24"/>
        </w:rPr>
      </w:pPr>
      <w:r>
        <w:rPr>
          <w:rFonts w:hint="eastAsia" w:ascii="宋体" w:hAnsi="宋体"/>
          <w:sz w:val="24"/>
        </w:rPr>
        <w:t>1、人员素质：</w:t>
      </w:r>
    </w:p>
    <w:p>
      <w:pPr>
        <w:spacing w:line="460" w:lineRule="exact"/>
        <w:ind w:firstLine="480" w:firstLineChars="200"/>
        <w:rPr>
          <w:rFonts w:hint="eastAsia" w:ascii="宋体" w:hAnsi="宋体"/>
          <w:sz w:val="24"/>
        </w:rPr>
      </w:pPr>
      <w:r>
        <w:rPr>
          <w:rFonts w:hint="eastAsia" w:ascii="宋体" w:hAnsi="宋体"/>
          <w:sz w:val="24"/>
        </w:rPr>
        <w:t>（1）领班及保安人员有一年以上相关任职经历。</w:t>
      </w:r>
    </w:p>
    <w:p>
      <w:pPr>
        <w:spacing w:line="460" w:lineRule="exact"/>
        <w:ind w:firstLine="480" w:firstLineChars="200"/>
        <w:rPr>
          <w:rFonts w:hint="eastAsia" w:ascii="宋体" w:hAnsi="宋体"/>
          <w:sz w:val="24"/>
        </w:rPr>
      </w:pPr>
      <w:r>
        <w:rPr>
          <w:rFonts w:hint="eastAsia" w:ascii="宋体" w:hAnsi="宋体"/>
          <w:sz w:val="24"/>
        </w:rPr>
        <w:t>（2）男性员工年龄须在20—55周岁</w:t>
      </w:r>
      <w:r>
        <w:rPr>
          <w:rFonts w:hint="eastAsia" w:ascii="宋体" w:hAnsi="宋体"/>
          <w:b/>
          <w:sz w:val="24"/>
        </w:rPr>
        <w:t>（其中白班岗位45岁以下不少于5人）</w:t>
      </w:r>
      <w:r>
        <w:rPr>
          <w:rFonts w:hint="eastAsia" w:ascii="宋体" w:hAnsi="宋体"/>
          <w:sz w:val="24"/>
        </w:rPr>
        <w:t>。身高165米以上，工作认真负责并定期接受专业培训。</w:t>
      </w:r>
    </w:p>
    <w:p>
      <w:pPr>
        <w:spacing w:line="460" w:lineRule="exact"/>
        <w:ind w:firstLine="480" w:firstLineChars="200"/>
        <w:rPr>
          <w:rFonts w:hint="eastAsia" w:ascii="宋体" w:hAnsi="宋体"/>
          <w:sz w:val="24"/>
        </w:rPr>
      </w:pPr>
      <w:r>
        <w:rPr>
          <w:rFonts w:hint="eastAsia" w:ascii="宋体" w:hAnsi="宋体"/>
          <w:sz w:val="24"/>
        </w:rPr>
        <w:t>（3）身体健康（无高血压、心脏病、哮喘等急性病症，视线良好），初中以上文化程度，无犯罪记录，无纹身，具有服务意识，退伍军人和有安全员工作经历者优先，入职前需经甲方面试通过后方可录用，</w:t>
      </w:r>
      <w:r>
        <w:rPr>
          <w:rFonts w:hint="eastAsia" w:ascii="宋体" w:hAnsi="宋体"/>
          <w:b/>
          <w:sz w:val="24"/>
        </w:rPr>
        <w:t>消防监控人员必须持证上岗（中级证）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（4）热爱本职工作，认真履行职责，忠于职守，在紧急关头能够挺身而出，保护业主安全。</w:t>
      </w:r>
    </w:p>
    <w:p>
      <w:pPr>
        <w:spacing w:line="460" w:lineRule="exact"/>
        <w:ind w:firstLine="480" w:firstLineChars="200"/>
        <w:rPr>
          <w:rFonts w:ascii="宋体" w:hAnsi="宋体"/>
          <w:sz w:val="24"/>
        </w:rPr>
      </w:pPr>
      <w:r>
        <w:rPr>
          <w:rFonts w:hint="eastAsia" w:ascii="宋体" w:hAnsi="宋体"/>
          <w:sz w:val="24"/>
        </w:rPr>
        <w:t>2、日常管理与服务：</w:t>
      </w:r>
    </w:p>
    <w:p>
      <w:pPr>
        <w:spacing w:line="460" w:lineRule="exact"/>
        <w:ind w:firstLine="480" w:firstLineChars="200"/>
        <w:rPr>
          <w:rFonts w:ascii="宋体" w:hAnsi="宋体"/>
          <w:sz w:val="24"/>
        </w:rPr>
      </w:pPr>
      <w:r>
        <w:rPr>
          <w:rFonts w:hint="eastAsia" w:ascii="宋体" w:hAnsi="宋体"/>
          <w:sz w:val="24"/>
        </w:rPr>
        <w:t>（1）遵守国家法律法规和我公司规章制度；</w:t>
      </w:r>
    </w:p>
    <w:p>
      <w:pPr>
        <w:spacing w:line="460" w:lineRule="exact"/>
        <w:ind w:firstLine="480" w:firstLineChars="200"/>
        <w:rPr>
          <w:rFonts w:ascii="宋体" w:hAnsi="宋体"/>
          <w:sz w:val="24"/>
        </w:rPr>
      </w:pPr>
      <w:r>
        <w:rPr>
          <w:rFonts w:hint="eastAsia" w:ascii="宋体" w:hAnsi="宋体"/>
          <w:sz w:val="24"/>
        </w:rPr>
        <w:t>（2）具有完善的内部管理制度和考核制度，服务符合规范要求；</w:t>
      </w:r>
    </w:p>
    <w:p>
      <w:pPr>
        <w:spacing w:line="460" w:lineRule="exact"/>
        <w:ind w:firstLine="480" w:firstLineChars="200"/>
        <w:rPr>
          <w:rFonts w:ascii="宋体" w:hAnsi="宋体"/>
          <w:sz w:val="24"/>
        </w:rPr>
      </w:pPr>
      <w:r>
        <w:rPr>
          <w:rFonts w:hint="eastAsia" w:ascii="宋体" w:hAnsi="宋体"/>
          <w:sz w:val="24"/>
        </w:rPr>
        <w:t>（3）遵守和执行保安行业制度及招标方及业主单位内部相关管理制度。</w:t>
      </w:r>
      <w:r>
        <w:rPr>
          <w:rFonts w:ascii="宋体" w:hAnsi="宋体"/>
          <w:sz w:val="24"/>
        </w:rPr>
        <w:t> </w:t>
      </w:r>
    </w:p>
    <w:p>
      <w:pPr>
        <w:spacing w:line="460" w:lineRule="exact"/>
        <w:ind w:firstLine="480" w:firstLineChars="200"/>
        <w:rPr>
          <w:rFonts w:ascii="宋体" w:hAnsi="宋体"/>
          <w:sz w:val="24"/>
        </w:rPr>
      </w:pPr>
      <w:r>
        <w:rPr>
          <w:rFonts w:hint="eastAsia" w:ascii="宋体" w:hAnsi="宋体"/>
          <w:sz w:val="24"/>
        </w:rPr>
        <w:t>（4）制定保安服务工作计划及实施规范，并组织执行检查考核。</w:t>
      </w:r>
    </w:p>
    <w:p>
      <w:pPr>
        <w:spacing w:line="460" w:lineRule="exact"/>
        <w:ind w:firstLine="480" w:firstLineChars="200"/>
        <w:jc w:val="left"/>
        <w:rPr>
          <w:rFonts w:ascii="宋体" w:hAnsi="宋体"/>
          <w:color w:val="000000"/>
          <w:sz w:val="24"/>
        </w:rPr>
      </w:pPr>
      <w:r>
        <w:rPr>
          <w:rFonts w:hint="eastAsia" w:ascii="宋体" w:hAnsi="宋体"/>
          <w:color w:val="000000"/>
          <w:sz w:val="24"/>
        </w:rPr>
        <w:t>3、人员变动的要求</w:t>
      </w:r>
    </w:p>
    <w:p>
      <w:pPr>
        <w:spacing w:line="460" w:lineRule="exact"/>
        <w:ind w:firstLine="480" w:firstLineChars="200"/>
        <w:jc w:val="left"/>
        <w:rPr>
          <w:rFonts w:ascii="宋体" w:hAnsi="宋体"/>
          <w:color w:val="000000"/>
          <w:sz w:val="24"/>
        </w:rPr>
      </w:pPr>
      <w:r>
        <w:rPr>
          <w:rFonts w:hint="eastAsia" w:ascii="宋体" w:hAnsi="宋体"/>
          <w:color w:val="000000"/>
          <w:sz w:val="24"/>
        </w:rPr>
        <w:t>1）投标人如在合同执行期内需更换保安人员应向招标人备案，并及时补充合格的新员工到岗，将新员工的相关资料报招标人审查、备案通过后方可上岗。</w:t>
      </w:r>
    </w:p>
    <w:p>
      <w:pPr>
        <w:spacing w:line="460" w:lineRule="exact"/>
        <w:ind w:firstLine="480" w:firstLineChars="200"/>
        <w:jc w:val="left"/>
        <w:rPr>
          <w:rFonts w:ascii="宋体" w:hAnsi="宋体"/>
          <w:color w:val="000000"/>
          <w:sz w:val="24"/>
        </w:rPr>
      </w:pPr>
      <w:r>
        <w:rPr>
          <w:rFonts w:hint="eastAsia" w:ascii="宋体" w:hAnsi="宋体"/>
          <w:color w:val="000000"/>
          <w:sz w:val="24"/>
        </w:rPr>
        <w:t>2）招标人对不符合岗位要求的保安，有权向投标人提出更换要求；投标人须响应招标人的要求，及时更换相关岗位人员。</w:t>
      </w:r>
    </w:p>
    <w:p>
      <w:pPr>
        <w:spacing w:line="460" w:lineRule="exact"/>
        <w:ind w:firstLine="482" w:firstLineChars="200"/>
        <w:jc w:val="left"/>
        <w:rPr>
          <w:rFonts w:ascii="宋体" w:hAnsi="宋体"/>
          <w:b/>
          <w:color w:val="000000"/>
          <w:sz w:val="24"/>
        </w:rPr>
      </w:pPr>
      <w:r>
        <w:rPr>
          <w:rFonts w:hint="eastAsia" w:ascii="宋体" w:hAnsi="宋体"/>
          <w:b/>
          <w:color w:val="000000"/>
          <w:sz w:val="24"/>
        </w:rPr>
        <w:t>（三）服务规范和管理要求</w:t>
      </w:r>
    </w:p>
    <w:p>
      <w:pPr>
        <w:spacing w:line="460" w:lineRule="exact"/>
        <w:ind w:firstLine="480" w:firstLineChars="200"/>
        <w:jc w:val="left"/>
        <w:rPr>
          <w:rFonts w:ascii="宋体" w:hAnsi="宋体"/>
          <w:color w:val="000000"/>
          <w:sz w:val="24"/>
        </w:rPr>
      </w:pPr>
      <w:r>
        <w:rPr>
          <w:rFonts w:hint="eastAsia" w:ascii="宋体" w:hAnsi="宋体"/>
          <w:color w:val="000000"/>
          <w:sz w:val="24"/>
        </w:rPr>
        <w:t>1、根据采购人要求完成指定的保安服务工作。</w:t>
      </w:r>
    </w:p>
    <w:p>
      <w:pPr>
        <w:spacing w:line="460" w:lineRule="exact"/>
        <w:ind w:firstLine="480" w:firstLineChars="200"/>
        <w:jc w:val="left"/>
        <w:rPr>
          <w:rFonts w:ascii="宋体" w:hAnsi="宋体"/>
          <w:color w:val="000000"/>
          <w:sz w:val="24"/>
        </w:rPr>
      </w:pPr>
      <w:r>
        <w:rPr>
          <w:rFonts w:hint="eastAsia" w:ascii="宋体" w:hAnsi="宋体"/>
          <w:color w:val="000000"/>
          <w:sz w:val="24"/>
        </w:rPr>
        <w:t>2、对保安人员的纪律要求</w:t>
      </w:r>
    </w:p>
    <w:p>
      <w:pPr>
        <w:spacing w:line="460" w:lineRule="exact"/>
        <w:ind w:firstLine="480" w:firstLineChars="200"/>
        <w:jc w:val="left"/>
        <w:rPr>
          <w:rFonts w:ascii="宋体" w:hAnsi="宋体"/>
          <w:color w:val="000000"/>
          <w:sz w:val="24"/>
        </w:rPr>
      </w:pPr>
      <w:r>
        <w:rPr>
          <w:rFonts w:hint="eastAsia" w:ascii="宋体" w:hAnsi="宋体"/>
          <w:color w:val="000000"/>
          <w:sz w:val="24"/>
        </w:rPr>
        <w:t>（1）保安人员着装整齐整洁，应统一着装并佩带胸卡。服装、胸卡、保安装备按招标人指定要求配备。</w:t>
      </w:r>
    </w:p>
    <w:p>
      <w:pPr>
        <w:spacing w:line="460" w:lineRule="exact"/>
        <w:ind w:firstLine="480" w:firstLineChars="200"/>
        <w:jc w:val="left"/>
        <w:rPr>
          <w:rFonts w:ascii="宋体" w:hAnsi="宋体"/>
          <w:color w:val="000000"/>
          <w:sz w:val="24"/>
        </w:rPr>
      </w:pPr>
      <w:r>
        <w:rPr>
          <w:rFonts w:hint="eastAsia" w:ascii="宋体" w:hAnsi="宋体"/>
          <w:color w:val="000000"/>
          <w:sz w:val="24"/>
        </w:rPr>
        <w:t>（2）保安人员的操作装备应按招标人要求在指定地点整齐堆放。</w:t>
      </w:r>
    </w:p>
    <w:p>
      <w:pPr>
        <w:spacing w:line="460" w:lineRule="exact"/>
        <w:ind w:firstLine="480" w:firstLineChars="200"/>
        <w:jc w:val="left"/>
        <w:rPr>
          <w:rFonts w:ascii="宋体" w:hAnsi="宋体"/>
          <w:color w:val="000000"/>
          <w:sz w:val="24"/>
        </w:rPr>
      </w:pPr>
      <w:r>
        <w:rPr>
          <w:rFonts w:hint="eastAsia" w:ascii="宋体" w:hAnsi="宋体"/>
          <w:color w:val="000000"/>
          <w:sz w:val="24"/>
        </w:rPr>
        <w:t>（3）保安人员在规定的工作时间段内做好安保工作，不得迟到及早退。</w:t>
      </w:r>
    </w:p>
    <w:p>
      <w:pPr>
        <w:spacing w:line="460" w:lineRule="exact"/>
        <w:ind w:firstLine="480" w:firstLineChars="200"/>
        <w:jc w:val="left"/>
        <w:rPr>
          <w:rFonts w:ascii="宋体" w:hAnsi="宋体"/>
          <w:color w:val="000000"/>
          <w:sz w:val="24"/>
        </w:rPr>
      </w:pPr>
      <w:r>
        <w:rPr>
          <w:rFonts w:hint="eastAsia" w:ascii="宋体" w:hAnsi="宋体"/>
          <w:color w:val="000000"/>
          <w:sz w:val="24"/>
        </w:rPr>
        <w:t>（4）保安人员班次组合应保持相对稳定，保安人员上岗时未经许可不得相互替代，有事不能上岗者应提前一天向投标人管理人员请假，经批准方可离岗，同时投标人须向招标人汇报换岗情况。</w:t>
      </w:r>
    </w:p>
    <w:p>
      <w:pPr>
        <w:spacing w:line="460" w:lineRule="exact"/>
        <w:ind w:firstLine="480" w:firstLineChars="200"/>
        <w:jc w:val="left"/>
        <w:rPr>
          <w:rFonts w:ascii="宋体" w:hAnsi="宋体"/>
          <w:color w:val="000000"/>
          <w:sz w:val="24"/>
        </w:rPr>
      </w:pPr>
      <w:r>
        <w:rPr>
          <w:rFonts w:hint="eastAsia" w:ascii="宋体" w:hAnsi="宋体"/>
          <w:color w:val="000000"/>
          <w:sz w:val="24"/>
        </w:rPr>
        <w:t>（5）上岗时间不得进行与保安工作无关的事情。</w:t>
      </w:r>
    </w:p>
    <w:p>
      <w:pPr>
        <w:spacing w:line="460" w:lineRule="exact"/>
        <w:ind w:firstLine="480" w:firstLineChars="200"/>
        <w:jc w:val="left"/>
        <w:rPr>
          <w:rFonts w:ascii="宋体" w:hAnsi="宋体"/>
          <w:color w:val="000000"/>
          <w:sz w:val="24"/>
        </w:rPr>
      </w:pPr>
      <w:r>
        <w:rPr>
          <w:rFonts w:hint="eastAsia" w:ascii="宋体" w:hAnsi="宋体"/>
          <w:color w:val="000000"/>
          <w:sz w:val="24"/>
        </w:rPr>
        <w:t>（6）保安人员之间不得发生争吵、打骂事件。</w:t>
      </w:r>
    </w:p>
    <w:p>
      <w:pPr>
        <w:spacing w:line="460" w:lineRule="exact"/>
        <w:ind w:firstLine="480" w:firstLineChars="200"/>
        <w:jc w:val="left"/>
        <w:rPr>
          <w:rFonts w:ascii="宋体" w:hAnsi="宋体"/>
          <w:color w:val="000000"/>
          <w:sz w:val="24"/>
        </w:rPr>
      </w:pPr>
      <w:r>
        <w:rPr>
          <w:rFonts w:hint="eastAsia" w:ascii="宋体" w:hAnsi="宋体"/>
          <w:color w:val="000000"/>
          <w:sz w:val="24"/>
        </w:rPr>
        <w:t>3、规章制度要求</w:t>
      </w:r>
    </w:p>
    <w:p>
      <w:pPr>
        <w:spacing w:line="460" w:lineRule="exact"/>
        <w:ind w:firstLine="480" w:firstLineChars="200"/>
        <w:jc w:val="left"/>
        <w:rPr>
          <w:rFonts w:ascii="宋体" w:hAnsi="宋体"/>
          <w:color w:val="000000"/>
          <w:sz w:val="24"/>
        </w:rPr>
      </w:pPr>
      <w:r>
        <w:rPr>
          <w:rFonts w:hint="eastAsia" w:ascii="宋体" w:hAnsi="宋体"/>
          <w:color w:val="000000"/>
          <w:sz w:val="24"/>
        </w:rPr>
        <w:t>（1）投标人派驻项目的所有工作人员必须服从招标人内部相关规章制度、现场管理要求，以及其委托管理方制订的相关规定。</w:t>
      </w:r>
    </w:p>
    <w:p>
      <w:pPr>
        <w:spacing w:line="460" w:lineRule="exact"/>
        <w:ind w:firstLine="480" w:firstLineChars="200"/>
        <w:jc w:val="left"/>
        <w:rPr>
          <w:rFonts w:ascii="宋体" w:hAnsi="宋体"/>
          <w:color w:val="000000"/>
          <w:sz w:val="24"/>
        </w:rPr>
      </w:pPr>
      <w:r>
        <w:rPr>
          <w:rFonts w:hint="eastAsia" w:ascii="宋体" w:hAnsi="宋体"/>
          <w:color w:val="000000"/>
          <w:sz w:val="24"/>
        </w:rPr>
        <w:t>（2）投标人须制定并提供所需要的相关管理制度、作业流程等给招标人审查、备案。</w:t>
      </w:r>
    </w:p>
    <w:p>
      <w:pPr>
        <w:spacing w:line="460" w:lineRule="exact"/>
        <w:ind w:firstLine="480" w:firstLineChars="200"/>
        <w:jc w:val="left"/>
        <w:rPr>
          <w:rFonts w:ascii="宋体" w:hAnsi="宋体"/>
          <w:color w:val="000000"/>
          <w:sz w:val="24"/>
        </w:rPr>
      </w:pPr>
      <w:r>
        <w:rPr>
          <w:rFonts w:hint="eastAsia" w:ascii="宋体" w:hAnsi="宋体"/>
          <w:color w:val="000000"/>
          <w:sz w:val="24"/>
        </w:rPr>
        <w:t>4、安全要求</w:t>
      </w:r>
    </w:p>
    <w:p>
      <w:pPr>
        <w:spacing w:line="460" w:lineRule="exact"/>
        <w:ind w:firstLine="480" w:firstLineChars="200"/>
        <w:jc w:val="left"/>
        <w:rPr>
          <w:rFonts w:ascii="宋体" w:hAnsi="宋体"/>
          <w:color w:val="000000"/>
          <w:sz w:val="24"/>
        </w:rPr>
      </w:pPr>
      <w:r>
        <w:rPr>
          <w:rFonts w:hint="eastAsia" w:ascii="宋体" w:hAnsi="宋体"/>
          <w:color w:val="000000"/>
          <w:sz w:val="24"/>
        </w:rPr>
        <w:t>（1）投标人员工必须经过保安知识和技能培训，并提供培训记录给招标人备案。</w:t>
      </w:r>
    </w:p>
    <w:p>
      <w:pPr>
        <w:spacing w:line="460" w:lineRule="exact"/>
        <w:ind w:firstLine="480" w:firstLineChars="200"/>
        <w:jc w:val="left"/>
        <w:rPr>
          <w:rFonts w:ascii="宋体" w:hAnsi="宋体"/>
          <w:color w:val="000000"/>
          <w:sz w:val="24"/>
        </w:rPr>
      </w:pPr>
      <w:r>
        <w:rPr>
          <w:rFonts w:hint="eastAsia" w:ascii="宋体" w:hAnsi="宋体"/>
          <w:color w:val="000000"/>
          <w:sz w:val="24"/>
        </w:rPr>
        <w:t>（2）投标人员工在上岗前必须经过安全生产、消防安全和操作规程等培训，保证每个上岗员工熟知必要的安全规则、消防知识、行车安全规定等，并提供培训记录给招标人备案。</w:t>
      </w:r>
    </w:p>
    <w:p>
      <w:pPr>
        <w:spacing w:line="460" w:lineRule="exact"/>
        <w:ind w:firstLine="480" w:firstLineChars="200"/>
        <w:jc w:val="left"/>
        <w:rPr>
          <w:rFonts w:ascii="宋体" w:hAnsi="宋体"/>
          <w:color w:val="000000"/>
          <w:sz w:val="24"/>
        </w:rPr>
      </w:pPr>
      <w:r>
        <w:rPr>
          <w:rFonts w:hint="eastAsia" w:ascii="宋体" w:hAnsi="宋体"/>
          <w:color w:val="000000"/>
          <w:sz w:val="24"/>
        </w:rPr>
        <w:t>（3）保安人员培训考核合格后方可上岗，招标人有权对上岗员工进行检查。</w:t>
      </w:r>
    </w:p>
    <w:p>
      <w:pPr>
        <w:spacing w:line="460" w:lineRule="exact"/>
        <w:ind w:firstLine="480" w:firstLineChars="200"/>
        <w:jc w:val="left"/>
        <w:rPr>
          <w:rFonts w:ascii="宋体" w:hAnsi="宋体"/>
          <w:color w:val="000000"/>
          <w:sz w:val="24"/>
        </w:rPr>
      </w:pPr>
      <w:r>
        <w:rPr>
          <w:rFonts w:hint="eastAsia" w:ascii="宋体" w:hAnsi="宋体"/>
          <w:color w:val="000000"/>
          <w:sz w:val="24"/>
        </w:rPr>
        <w:t>5、当项目遇大型活动、接待或突发事件时，中标人须按招标人的通知要求配合进行保安工作。</w:t>
      </w:r>
    </w:p>
    <w:p>
      <w:pPr>
        <w:spacing w:line="460" w:lineRule="exact"/>
        <w:ind w:firstLine="482" w:firstLineChars="200"/>
        <w:jc w:val="left"/>
        <w:rPr>
          <w:rFonts w:ascii="宋体" w:hAnsi="宋体"/>
          <w:b/>
          <w:color w:val="000000"/>
          <w:sz w:val="24"/>
        </w:rPr>
      </w:pPr>
      <w:r>
        <w:rPr>
          <w:rFonts w:hint="eastAsia" w:ascii="宋体" w:hAnsi="宋体"/>
          <w:b/>
          <w:color w:val="000000"/>
          <w:sz w:val="24"/>
        </w:rPr>
        <w:t>（四）日常保安服务要求</w:t>
      </w:r>
    </w:p>
    <w:p>
      <w:pPr>
        <w:spacing w:line="460" w:lineRule="exact"/>
        <w:ind w:firstLine="480" w:firstLineChars="200"/>
        <w:jc w:val="left"/>
        <w:rPr>
          <w:rFonts w:ascii="宋体" w:hAnsi="宋体"/>
          <w:color w:val="000000"/>
          <w:sz w:val="24"/>
        </w:rPr>
      </w:pPr>
      <w:r>
        <w:rPr>
          <w:rFonts w:hint="eastAsia" w:ascii="宋体" w:hAnsi="宋体"/>
          <w:color w:val="000000"/>
          <w:sz w:val="24"/>
        </w:rPr>
        <w:t>（1）按规定着装和佩带装备，举止文明大方，保持良好的精神面貌和姿态，上岗采用定位跨立动作，不得随意走动。</w:t>
      </w:r>
    </w:p>
    <w:p>
      <w:pPr>
        <w:spacing w:line="460" w:lineRule="exact"/>
        <w:ind w:firstLine="480" w:firstLineChars="200"/>
        <w:jc w:val="left"/>
        <w:rPr>
          <w:rFonts w:ascii="宋体" w:hAnsi="宋体"/>
          <w:color w:val="000000"/>
          <w:sz w:val="24"/>
        </w:rPr>
      </w:pPr>
      <w:r>
        <w:rPr>
          <w:rFonts w:hint="eastAsia" w:ascii="宋体" w:hAnsi="宋体"/>
          <w:color w:val="000000"/>
          <w:sz w:val="24"/>
        </w:rPr>
        <w:t>（2）熟悉项目情况，说话和气、礼貌待人，热情耐心为业主服务，不得与业主及工作人员发生争吵、打斗事件。</w:t>
      </w:r>
    </w:p>
    <w:p>
      <w:pPr>
        <w:spacing w:line="460" w:lineRule="exact"/>
        <w:ind w:firstLine="480" w:firstLineChars="200"/>
        <w:jc w:val="left"/>
        <w:rPr>
          <w:rFonts w:ascii="宋体" w:hAnsi="宋体"/>
          <w:color w:val="000000"/>
          <w:sz w:val="24"/>
        </w:rPr>
      </w:pPr>
      <w:r>
        <w:rPr>
          <w:rFonts w:hint="eastAsia" w:ascii="宋体" w:hAnsi="宋体"/>
          <w:color w:val="000000"/>
          <w:sz w:val="24"/>
        </w:rPr>
        <w:t>（3）维护好所在岗位服务范围内的秩序。</w:t>
      </w:r>
    </w:p>
    <w:p>
      <w:pPr>
        <w:spacing w:line="460" w:lineRule="exact"/>
        <w:ind w:firstLine="480" w:firstLineChars="200"/>
        <w:jc w:val="left"/>
        <w:rPr>
          <w:rFonts w:ascii="宋体" w:hAnsi="宋体"/>
          <w:color w:val="000000"/>
          <w:sz w:val="24"/>
        </w:rPr>
      </w:pPr>
      <w:r>
        <w:rPr>
          <w:rFonts w:hint="eastAsia" w:ascii="宋体" w:hAnsi="宋体"/>
          <w:color w:val="000000"/>
          <w:sz w:val="24"/>
        </w:rPr>
        <w:t>（4）要善于发现各种事故隐患和可疑人员，并做好及时报告，能正确处理各种突发事件。</w:t>
      </w:r>
    </w:p>
    <w:p>
      <w:pPr>
        <w:spacing w:line="460" w:lineRule="exact"/>
        <w:ind w:firstLine="480" w:firstLineChars="200"/>
        <w:jc w:val="left"/>
        <w:rPr>
          <w:rFonts w:ascii="宋体" w:hAnsi="宋体"/>
          <w:color w:val="000000"/>
          <w:sz w:val="24"/>
        </w:rPr>
      </w:pPr>
      <w:r>
        <w:rPr>
          <w:rFonts w:hint="eastAsia" w:ascii="宋体" w:hAnsi="宋体"/>
          <w:color w:val="000000"/>
          <w:sz w:val="24"/>
        </w:rPr>
        <w:t>（5）能熟练掌握报警、对讲、消防等设施、设备的操作程序、及使用方法。</w:t>
      </w:r>
    </w:p>
    <w:p>
      <w:pPr>
        <w:spacing w:line="460" w:lineRule="exact"/>
        <w:ind w:firstLine="480" w:firstLineChars="200"/>
        <w:rPr>
          <w:rFonts w:ascii="宋体" w:hAnsi="宋体"/>
          <w:color w:val="000000"/>
          <w:sz w:val="24"/>
        </w:rPr>
      </w:pPr>
      <w:r>
        <w:rPr>
          <w:rFonts w:hint="eastAsia" w:ascii="宋体" w:hAnsi="宋体"/>
          <w:color w:val="000000"/>
          <w:sz w:val="24"/>
        </w:rPr>
        <w:t>（6）按规定的动作要求进行换岗，服从领导，听从指挥，完成领导交办的其它工作任务。</w:t>
      </w:r>
    </w:p>
    <w:p>
      <w:pPr>
        <w:spacing w:line="360" w:lineRule="auto"/>
        <w:ind w:firstLine="723" w:firstLineChars="300"/>
        <w:rPr>
          <w:rFonts w:ascii="宋体" w:hAnsi="宋体"/>
          <w:b/>
          <w:color w:val="000000"/>
          <w:sz w:val="24"/>
        </w:rPr>
      </w:pPr>
      <w:r>
        <w:rPr>
          <w:rFonts w:hint="eastAsia" w:ascii="宋体" w:hAnsi="宋体"/>
          <w:b/>
          <w:color w:val="000000"/>
          <w:sz w:val="24"/>
          <w:szCs w:val="28"/>
        </w:rPr>
        <w:t>三、</w:t>
      </w:r>
      <w:r>
        <w:rPr>
          <w:rFonts w:hint="eastAsia" w:ascii="宋体" w:hAnsi="宋体"/>
          <w:b/>
          <w:color w:val="000000"/>
          <w:sz w:val="24"/>
        </w:rPr>
        <w:t>报价要求</w:t>
      </w:r>
    </w:p>
    <w:p>
      <w:pPr>
        <w:spacing w:line="360" w:lineRule="auto"/>
        <w:ind w:firstLine="482" w:firstLineChars="200"/>
        <w:rPr>
          <w:rFonts w:ascii="宋体" w:hAnsi="宋体"/>
          <w:color w:val="000000"/>
          <w:sz w:val="24"/>
          <w:szCs w:val="28"/>
        </w:rPr>
      </w:pPr>
      <w:r>
        <w:rPr>
          <w:rFonts w:hint="eastAsia" w:ascii="宋体" w:hAnsi="宋体"/>
          <w:b/>
          <w:color w:val="000000"/>
          <w:sz w:val="24"/>
          <w:szCs w:val="28"/>
        </w:rPr>
        <w:t>1.</w:t>
      </w:r>
      <w:r>
        <w:rPr>
          <w:rFonts w:hint="eastAsia" w:ascii="宋体" w:hAnsi="宋体"/>
          <w:color w:val="000000"/>
          <w:sz w:val="24"/>
          <w:szCs w:val="28"/>
        </w:rPr>
        <w:t>本项目报价采用总价计价方式，投标总价作为定标的依据。并在投标分项报价表中列明12小时岗位综合单价。中标后，按岗位12小时综合单价结算服务费用。</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2</w:t>
      </w:r>
      <w:r>
        <w:rPr>
          <w:rFonts w:ascii="宋体" w:hAnsi="宋体"/>
          <w:color w:val="000000"/>
          <w:sz w:val="24"/>
          <w:szCs w:val="28"/>
        </w:rPr>
        <w:t>.</w:t>
      </w:r>
      <w:r>
        <w:rPr>
          <w:rFonts w:hint="eastAsia" w:ascii="宋体" w:hAnsi="宋体"/>
          <w:color w:val="000000"/>
          <w:sz w:val="24"/>
          <w:szCs w:val="28"/>
        </w:rPr>
        <w:t>除非合同另有规定，该投标总价包含但不限于服务人员工资、保险费、福利费、服装费、利润、税金等全部费用。投标报价总价不得高于项目概算。否则，作为废标处理。</w:t>
      </w:r>
    </w:p>
    <w:p>
      <w:pPr>
        <w:spacing w:line="360" w:lineRule="auto"/>
        <w:ind w:firstLine="480" w:firstLineChars="200"/>
        <w:rPr>
          <w:rFonts w:ascii="宋体" w:hAnsi="宋体"/>
          <w:color w:val="000000"/>
          <w:sz w:val="24"/>
        </w:rPr>
      </w:pPr>
      <w:r>
        <w:rPr>
          <w:rFonts w:ascii="宋体" w:hAnsi="宋体"/>
          <w:color w:val="000000"/>
          <w:sz w:val="24"/>
          <w:szCs w:val="28"/>
        </w:rPr>
        <w:t>3.</w:t>
      </w:r>
      <w:r>
        <w:rPr>
          <w:rFonts w:hint="eastAsia" w:ascii="宋体" w:hAnsi="宋体"/>
          <w:color w:val="000000"/>
          <w:sz w:val="24"/>
        </w:rPr>
        <w:t>不得有漏项，否则为无效投标。</w:t>
      </w:r>
    </w:p>
    <w:p>
      <w:pPr>
        <w:spacing w:line="360" w:lineRule="auto"/>
        <w:ind w:firstLine="480" w:firstLineChars="200"/>
        <w:rPr>
          <w:rFonts w:ascii="宋体" w:hAnsi="宋体"/>
          <w:bCs/>
          <w:color w:val="000000"/>
          <w:sz w:val="24"/>
        </w:rPr>
      </w:pPr>
      <w:r>
        <w:rPr>
          <w:rFonts w:ascii="宋体" w:hAnsi="宋体"/>
          <w:color w:val="000000"/>
          <w:sz w:val="24"/>
          <w:szCs w:val="28"/>
        </w:rPr>
        <w:t>4</w:t>
      </w:r>
      <w:r>
        <w:rPr>
          <w:rFonts w:hint="eastAsia" w:ascii="宋体" w:hAnsi="宋体"/>
          <w:color w:val="000000"/>
          <w:sz w:val="24"/>
          <w:szCs w:val="28"/>
        </w:rPr>
        <w:t>.</w:t>
      </w:r>
      <w:r>
        <w:rPr>
          <w:rFonts w:hint="eastAsia" w:ascii="宋体" w:hAnsi="宋体"/>
          <w:bCs/>
          <w:color w:val="000000"/>
          <w:sz w:val="24"/>
        </w:rPr>
        <w:t>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80" w:firstLineChars="200"/>
        <w:rPr>
          <w:rFonts w:ascii="宋体" w:hAnsi="宋体"/>
          <w:bCs/>
          <w:color w:val="000000"/>
          <w:sz w:val="24"/>
        </w:rPr>
      </w:pPr>
      <w:r>
        <w:rPr>
          <w:rFonts w:hint="eastAsia" w:ascii="宋体" w:hAnsi="宋体"/>
          <w:bCs/>
          <w:color w:val="000000"/>
          <w:sz w:val="24"/>
        </w:rPr>
        <w:t>（1）若各项报价累计之和小于最终投标报价，则以综合单价为准；</w:t>
      </w:r>
    </w:p>
    <w:p>
      <w:pPr>
        <w:spacing w:line="360" w:lineRule="auto"/>
        <w:ind w:firstLine="481"/>
        <w:rPr>
          <w:rFonts w:ascii="宋体" w:hAnsi="宋体"/>
          <w:color w:val="000000"/>
        </w:rPr>
      </w:pPr>
      <w:r>
        <w:rPr>
          <w:rFonts w:hint="eastAsia" w:ascii="宋体" w:hAnsi="宋体"/>
          <w:bCs/>
          <w:color w:val="000000"/>
          <w:sz w:val="24"/>
        </w:rPr>
        <w:t>（2）若各项报价累计之和大于最终投标报价，则以投标总价为准调整单价（各单价同比例调整）。</w:t>
      </w:r>
    </w:p>
    <w:p>
      <w:pPr>
        <w:spacing w:line="500" w:lineRule="exact"/>
        <w:ind w:firstLine="420" w:firstLineChars="200"/>
        <w:jc w:val="left"/>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50"/>
        <w:rPr>
          <w:color w:val="000000" w:themeColor="text1"/>
        </w:rPr>
      </w:pPr>
    </w:p>
    <w:p>
      <w:pPr>
        <w:pStyle w:val="4"/>
        <w:spacing w:line="500" w:lineRule="exact"/>
        <w:rPr>
          <w:rFonts w:hint="eastAsia" w:ascii="宋体" w:hAnsi="宋体" w:eastAsia="宋体"/>
          <w:color w:val="000000" w:themeColor="text1"/>
        </w:rPr>
      </w:pPr>
      <w:bookmarkStart w:id="49" w:name="_Toc12411"/>
      <w:r>
        <w:rPr>
          <w:rFonts w:hint="eastAsia" w:ascii="宋体" w:hAnsi="宋体" w:eastAsia="宋体"/>
          <w:color w:val="000000" w:themeColor="text1"/>
        </w:rPr>
        <w:t>第五章 评标办法</w:t>
      </w:r>
      <w:bookmarkEnd w:id="48"/>
      <w:bookmarkEnd w:id="49"/>
    </w:p>
    <w:p>
      <w:pPr>
        <w:autoSpaceDE w:val="0"/>
        <w:autoSpaceDN w:val="0"/>
        <w:adjustRightInd w:val="0"/>
        <w:spacing w:line="360" w:lineRule="auto"/>
        <w:ind w:firstLine="241" w:firstLineChars="100"/>
        <w:jc w:val="left"/>
        <w:rPr>
          <w:rFonts w:ascii="宋体" w:hAnsi="宋体"/>
          <w:b/>
          <w:color w:val="000000" w:themeColor="text1"/>
          <w:sz w:val="24"/>
          <w:szCs w:val="24"/>
          <w:u w:val="single"/>
        </w:rPr>
      </w:pPr>
      <w:r>
        <w:rPr>
          <w:rFonts w:hint="eastAsia" w:ascii="宋体" w:hAnsi="宋体"/>
          <w:b/>
          <w:bCs/>
          <w:color w:val="000000" w:themeColor="text1"/>
          <w:sz w:val="24"/>
        </w:rPr>
        <w:t>1.</w:t>
      </w:r>
      <w:r>
        <w:rPr>
          <w:rFonts w:hint="eastAsia" w:ascii="宋体" w:hAnsi="宋体"/>
          <w:color w:val="000000" w:themeColor="text1"/>
          <w:sz w:val="24"/>
        </w:rPr>
        <w:t>为了做好</w:t>
      </w:r>
      <w:r>
        <w:rPr>
          <w:rFonts w:hint="eastAsia" w:ascii="宋体" w:hAnsi="宋体" w:cs="宋体"/>
          <w:b/>
          <w:color w:val="000000" w:themeColor="text1"/>
          <w:sz w:val="24"/>
          <w:szCs w:val="24"/>
          <w:u w:val="single"/>
        </w:rPr>
        <w:t>合肥市服务中心保安外包服务</w:t>
      </w:r>
      <w:r>
        <w:rPr>
          <w:rFonts w:hint="eastAsia" w:ascii="宋体" w:hAnsi="宋体"/>
          <w:b/>
          <w:color w:val="000000" w:themeColor="text1"/>
          <w:sz w:val="24"/>
          <w:szCs w:val="24"/>
          <w:u w:val="single"/>
        </w:rPr>
        <w:t>项目（</w:t>
      </w:r>
      <w:r>
        <w:rPr>
          <w:rFonts w:hint="eastAsia" w:ascii="宋体" w:hAnsi="宋体"/>
          <w:color w:val="000000" w:themeColor="text1"/>
          <w:sz w:val="24"/>
          <w:szCs w:val="24"/>
          <w:u w:val="single"/>
        </w:rPr>
        <w:t>编号：</w:t>
      </w:r>
      <w:r>
        <w:rPr>
          <w:rFonts w:hint="eastAsia" w:ascii="宋体" w:hAnsi="宋体" w:cs="宋体"/>
          <w:color w:val="000000" w:themeColor="text1"/>
          <w:sz w:val="24"/>
          <w:szCs w:val="24"/>
          <w:u w:val="single"/>
        </w:rPr>
        <w:t>2023WLBLZB00044号</w:t>
      </w:r>
      <w:r>
        <w:rPr>
          <w:rFonts w:hint="eastAsia" w:ascii="宋体" w:hAnsi="宋体"/>
          <w:color w:val="000000" w:themeColor="text1"/>
          <w:sz w:val="24"/>
          <w:szCs w:val="24"/>
          <w:u w:val="single"/>
        </w:rPr>
        <w:t>）</w:t>
      </w:r>
      <w:r>
        <w:rPr>
          <w:rFonts w:hint="eastAsia" w:ascii="宋体" w:hAnsi="宋体"/>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bCs/>
          <w:color w:val="000000" w:themeColor="text1"/>
          <w:sz w:val="24"/>
          <w:szCs w:val="24"/>
        </w:rPr>
      </w:pPr>
      <w:r>
        <w:rPr>
          <w:rFonts w:hint="eastAsia" w:ascii="宋体" w:hAnsi="宋体"/>
          <w:b/>
          <w:bCs/>
          <w:color w:val="000000" w:themeColor="text1"/>
          <w:sz w:val="24"/>
        </w:rPr>
        <w:t>2.</w:t>
      </w:r>
      <w:r>
        <w:rPr>
          <w:rFonts w:hint="eastAsia" w:ascii="宋体" w:hAnsi="宋体"/>
          <w:bCs/>
          <w:color w:val="000000" w:themeColor="text1"/>
          <w:sz w:val="24"/>
          <w:szCs w:val="24"/>
        </w:rPr>
        <w:t xml:space="preserve"> 本次项目评标采用</w:t>
      </w:r>
      <w:r>
        <w:rPr>
          <w:rFonts w:hint="eastAsia" w:ascii="宋体" w:hAnsi="宋体"/>
          <w:bCs/>
          <w:color w:val="000000" w:themeColor="text1"/>
          <w:sz w:val="24"/>
          <w:szCs w:val="24"/>
          <w:u w:val="single"/>
        </w:rPr>
        <w:t>综合评分法</w:t>
      </w:r>
      <w:r>
        <w:rPr>
          <w:rFonts w:hint="eastAsia" w:ascii="宋体" w:hAnsi="宋体"/>
          <w:bCs/>
          <w:color w:val="000000" w:themeColor="text1"/>
          <w:sz w:val="24"/>
          <w:szCs w:val="24"/>
        </w:rPr>
        <w:t>作为对投标人标书的比较方法</w:t>
      </w:r>
      <w:r>
        <w:rPr>
          <w:rFonts w:hint="eastAsia" w:ascii="宋体" w:hAnsi="宋体"/>
          <w:color w:val="000000" w:themeColor="text1"/>
          <w:sz w:val="24"/>
        </w:rPr>
        <w:t>。</w:t>
      </w:r>
    </w:p>
    <w:p>
      <w:pPr>
        <w:adjustRightInd w:val="0"/>
        <w:snapToGrid w:val="0"/>
        <w:spacing w:line="360" w:lineRule="auto"/>
        <w:ind w:left="-61" w:leftChars="-29" w:firstLine="482" w:firstLineChars="200"/>
        <w:rPr>
          <w:rFonts w:ascii="宋体" w:hAnsi="宋体"/>
          <w:color w:val="000000" w:themeColor="text1"/>
          <w:sz w:val="24"/>
        </w:rPr>
      </w:pPr>
      <w:r>
        <w:rPr>
          <w:rFonts w:hint="eastAsia" w:ascii="宋体" w:hAnsi="宋体"/>
          <w:b/>
          <w:bCs/>
          <w:color w:val="000000" w:themeColor="text1"/>
          <w:sz w:val="24"/>
        </w:rPr>
        <w:t>3.</w:t>
      </w:r>
      <w:r>
        <w:rPr>
          <w:rFonts w:hint="eastAsia" w:ascii="宋体" w:hAnsi="宋体"/>
          <w:color w:val="000000" w:themeColor="text1"/>
          <w:sz w:val="24"/>
        </w:rPr>
        <w:t>本项目将依法组建不少于</w:t>
      </w:r>
      <w:r>
        <w:rPr>
          <w:rFonts w:hint="eastAsia" w:ascii="宋体" w:hAnsi="宋体"/>
          <w:b/>
          <w:color w:val="000000" w:themeColor="text1"/>
          <w:sz w:val="24"/>
          <w:u w:val="single"/>
        </w:rPr>
        <w:t>5</w:t>
      </w:r>
      <w:r>
        <w:rPr>
          <w:rFonts w:hint="eastAsia" w:ascii="宋体" w:hAnsi="宋体"/>
          <w:color w:val="000000" w:themeColor="text1"/>
          <w:sz w:val="24"/>
        </w:rPr>
        <w:t>人的评标委员会，负责本项目的评标工作。</w:t>
      </w:r>
    </w:p>
    <w:p>
      <w:pPr>
        <w:adjustRightInd w:val="0"/>
        <w:snapToGrid w:val="0"/>
        <w:spacing w:line="360" w:lineRule="auto"/>
        <w:ind w:left="-61" w:leftChars="-29" w:firstLine="482" w:firstLineChars="200"/>
        <w:rPr>
          <w:rFonts w:ascii="宋体" w:hAnsi="宋体"/>
          <w:color w:val="000000" w:themeColor="text1"/>
          <w:sz w:val="24"/>
        </w:rPr>
      </w:pPr>
      <w:r>
        <w:rPr>
          <w:rFonts w:hint="eastAsia" w:ascii="宋体" w:hAnsi="宋体"/>
          <w:b/>
          <w:color w:val="000000" w:themeColor="text1"/>
          <w:sz w:val="24"/>
        </w:rPr>
        <w:t>4.</w:t>
      </w:r>
      <w:r>
        <w:rPr>
          <w:rFonts w:hint="eastAsia" w:ascii="宋体" w:hAnsi="宋体"/>
          <w:color w:val="000000" w:themeColor="text1"/>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000000" w:themeColor="text1"/>
          <w:sz w:val="24"/>
        </w:rPr>
      </w:pPr>
      <w:r>
        <w:rPr>
          <w:rFonts w:hint="eastAsia" w:ascii="宋体" w:hAnsi="宋体"/>
          <w:b/>
          <w:color w:val="000000" w:themeColor="text1"/>
          <w:sz w:val="24"/>
        </w:rPr>
        <w:t>5.</w:t>
      </w:r>
      <w:r>
        <w:rPr>
          <w:rFonts w:hint="eastAsia" w:ascii="宋体" w:hAnsi="宋体"/>
          <w:color w:val="000000" w:themeColor="text1"/>
          <w:sz w:val="24"/>
        </w:rPr>
        <w:t>有效投标应符合以下原则：</w:t>
      </w:r>
    </w:p>
    <w:p>
      <w:pPr>
        <w:spacing w:line="360" w:lineRule="auto"/>
        <w:ind w:left="480" w:right="-10"/>
        <w:rPr>
          <w:rFonts w:ascii="宋体" w:hAnsi="宋体"/>
          <w:color w:val="000000" w:themeColor="text1"/>
          <w:sz w:val="24"/>
        </w:rPr>
      </w:pPr>
      <w:r>
        <w:rPr>
          <w:rFonts w:hint="eastAsia" w:ascii="宋体" w:hAnsi="宋体"/>
          <w:color w:val="000000" w:themeColor="text1"/>
          <w:sz w:val="24"/>
        </w:rPr>
        <w:t>5.1满足招标文件的实质性要求；</w:t>
      </w:r>
    </w:p>
    <w:p>
      <w:pPr>
        <w:spacing w:line="360" w:lineRule="auto"/>
        <w:ind w:left="480" w:right="-10"/>
        <w:rPr>
          <w:rFonts w:ascii="宋体" w:hAnsi="宋体"/>
          <w:color w:val="000000" w:themeColor="text1"/>
          <w:sz w:val="24"/>
        </w:rPr>
      </w:pPr>
      <w:r>
        <w:rPr>
          <w:rFonts w:hint="eastAsia" w:ascii="宋体" w:hAnsi="宋体"/>
          <w:color w:val="000000" w:themeColor="text1"/>
          <w:sz w:val="24"/>
        </w:rPr>
        <w:t>5.2无重大偏离、保留或招标人不能接受的附加条件；</w:t>
      </w:r>
    </w:p>
    <w:p>
      <w:pPr>
        <w:spacing w:line="360" w:lineRule="auto"/>
        <w:ind w:left="480" w:right="-10"/>
        <w:rPr>
          <w:rFonts w:ascii="宋体" w:hAnsi="宋体"/>
          <w:color w:val="000000" w:themeColor="text1"/>
          <w:sz w:val="24"/>
        </w:rPr>
      </w:pPr>
      <w:r>
        <w:rPr>
          <w:rFonts w:hint="eastAsia" w:ascii="宋体" w:hAnsi="宋体"/>
          <w:color w:val="000000" w:themeColor="text1"/>
          <w:sz w:val="24"/>
        </w:rPr>
        <w:t>5.3通过初审；</w:t>
      </w:r>
    </w:p>
    <w:p>
      <w:pPr>
        <w:adjustRightInd w:val="0"/>
        <w:snapToGrid w:val="0"/>
        <w:spacing w:line="360" w:lineRule="auto"/>
        <w:ind w:right="-10" w:firstLine="480" w:firstLineChars="200"/>
        <w:rPr>
          <w:rFonts w:ascii="宋体" w:hAnsi="宋体"/>
          <w:color w:val="000000" w:themeColor="text1"/>
          <w:sz w:val="24"/>
        </w:rPr>
      </w:pPr>
      <w:r>
        <w:rPr>
          <w:rFonts w:hint="eastAsia" w:ascii="宋体" w:hAnsi="宋体"/>
          <w:color w:val="000000" w:themeColor="text1"/>
          <w:sz w:val="24"/>
        </w:rPr>
        <w:t>5.4评标委员会依据招标文件认定的其他原则。</w:t>
      </w:r>
    </w:p>
    <w:p>
      <w:pPr>
        <w:adjustRightInd w:val="0"/>
        <w:snapToGrid w:val="0"/>
        <w:spacing w:line="360" w:lineRule="auto"/>
        <w:ind w:right="-10" w:firstLine="482" w:firstLineChars="200"/>
        <w:rPr>
          <w:rFonts w:ascii="宋体" w:hAnsi="宋体" w:cs="宋体-18030"/>
          <w:color w:val="000000" w:themeColor="text1"/>
          <w:sz w:val="24"/>
        </w:rPr>
      </w:pPr>
      <w:r>
        <w:rPr>
          <w:rFonts w:hint="eastAsia" w:ascii="宋体" w:hAnsi="宋体"/>
          <w:b/>
          <w:color w:val="000000" w:themeColor="text1"/>
          <w:sz w:val="24"/>
        </w:rPr>
        <w:t>6.</w:t>
      </w:r>
      <w:r>
        <w:rPr>
          <w:rFonts w:hint="eastAsia" w:ascii="宋体" w:hAnsi="宋体" w:cs="宋体-18030"/>
          <w:color w:val="000000" w:themeColor="text1"/>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000000" w:themeColor="text1"/>
          <w:sz w:val="24"/>
          <w:szCs w:val="24"/>
        </w:rPr>
      </w:pPr>
      <w:r>
        <w:rPr>
          <w:rFonts w:hint="eastAsia" w:ascii="宋体" w:hAnsi="宋体" w:cs="宋体-18030"/>
          <w:b/>
          <w:color w:val="000000" w:themeColor="text1"/>
          <w:sz w:val="24"/>
        </w:rPr>
        <w:t>7.</w:t>
      </w:r>
      <w:r>
        <w:rPr>
          <w:rFonts w:hint="eastAsia" w:ascii="宋体" w:hAnsi="宋体"/>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000000" w:themeColor="text1"/>
          <w:sz w:val="24"/>
          <w:szCs w:val="24"/>
        </w:rPr>
      </w:pPr>
      <w:r>
        <w:rPr>
          <w:rFonts w:hint="eastAsia" w:ascii="宋体" w:hAnsi="宋体"/>
          <w:color w:val="000000" w:themeColor="text1"/>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bCs/>
          <w:color w:val="000000" w:themeColor="text1"/>
          <w:sz w:val="24"/>
          <w:szCs w:val="24"/>
        </w:rPr>
      </w:pPr>
      <w:r>
        <w:rPr>
          <w:rFonts w:hint="eastAsia" w:ascii="宋体" w:hAnsi="宋体"/>
          <w:bCs/>
          <w:color w:val="000000" w:themeColor="text1"/>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22" w:firstLineChars="175"/>
        <w:rPr>
          <w:rFonts w:ascii="宋体" w:hAnsi="宋体"/>
          <w:bCs/>
          <w:color w:val="000000" w:themeColor="text1"/>
          <w:sz w:val="24"/>
        </w:rPr>
      </w:pPr>
      <w:r>
        <w:rPr>
          <w:rFonts w:hint="eastAsia" w:ascii="宋体" w:hAnsi="宋体"/>
          <w:b/>
          <w:bCs/>
          <w:color w:val="000000" w:themeColor="text1"/>
          <w:sz w:val="24"/>
        </w:rPr>
        <w:t>8.</w:t>
      </w:r>
      <w:r>
        <w:rPr>
          <w:rFonts w:hint="eastAsia" w:ascii="宋体" w:hAnsi="宋体"/>
          <w:bCs/>
          <w:color w:val="000000" w:themeColor="text1"/>
          <w:sz w:val="24"/>
        </w:rPr>
        <w:t>评审程序</w:t>
      </w:r>
    </w:p>
    <w:p>
      <w:pPr>
        <w:spacing w:line="360" w:lineRule="auto"/>
        <w:ind w:firstLine="549"/>
        <w:rPr>
          <w:rFonts w:ascii="宋体" w:hAnsi="宋体"/>
          <w:bCs/>
          <w:color w:val="000000" w:themeColor="text1"/>
          <w:sz w:val="24"/>
        </w:rPr>
      </w:pPr>
      <w:r>
        <w:rPr>
          <w:rFonts w:hint="eastAsia" w:ascii="宋体" w:hAnsi="宋体"/>
          <w:bCs/>
          <w:color w:val="000000" w:themeColor="text1"/>
          <w:sz w:val="24"/>
          <w:szCs w:val="24"/>
        </w:rPr>
        <w:t>本项目采用</w:t>
      </w:r>
      <w:r>
        <w:rPr>
          <w:rFonts w:hint="eastAsia" w:ascii="宋体" w:hAnsi="宋体"/>
          <w:bCs/>
          <w:color w:val="000000" w:themeColor="text1"/>
          <w:sz w:val="24"/>
        </w:rPr>
        <w:t>综合评分法</w:t>
      </w:r>
      <w:r>
        <w:rPr>
          <w:rFonts w:hint="eastAsia" w:ascii="宋体" w:hAnsi="宋体"/>
          <w:bCs/>
          <w:color w:val="000000" w:themeColor="text1"/>
          <w:sz w:val="24"/>
          <w:szCs w:val="24"/>
        </w:rPr>
        <w:t>进行评审，</w:t>
      </w:r>
      <w:r>
        <w:rPr>
          <w:rFonts w:hint="eastAsia" w:ascii="宋体" w:hAnsi="宋体"/>
          <w:bCs/>
          <w:color w:val="000000" w:themeColor="text1"/>
          <w:sz w:val="24"/>
        </w:rPr>
        <w:t>在最大限度地满足招标文件实质性要求前提下，按照招标文件中规定的各项因素进行综合评审。综合评分法的主要因素是：技术部分、商务部分以及相应的比重。</w:t>
      </w:r>
    </w:p>
    <w:p>
      <w:pPr>
        <w:spacing w:line="360" w:lineRule="auto"/>
        <w:ind w:firstLine="549"/>
        <w:rPr>
          <w:rFonts w:ascii="宋体" w:hAnsi="宋体"/>
          <w:bCs/>
          <w:color w:val="000000" w:themeColor="text1"/>
          <w:sz w:val="24"/>
          <w:szCs w:val="24"/>
        </w:rPr>
      </w:pPr>
      <w:r>
        <w:rPr>
          <w:rFonts w:hint="eastAsia" w:ascii="宋体" w:hAnsi="宋体"/>
          <w:bCs/>
          <w:color w:val="000000" w:themeColor="text1"/>
          <w:sz w:val="24"/>
          <w:szCs w:val="24"/>
        </w:rPr>
        <w:t>评标委员会遵循规定评标原则，对投标人进行初审、详细评审、商务部分得分计算和确定中标候选人。</w:t>
      </w:r>
    </w:p>
    <w:p>
      <w:pPr>
        <w:spacing w:line="360" w:lineRule="auto"/>
        <w:ind w:firstLine="549"/>
        <w:rPr>
          <w:rFonts w:ascii="宋体" w:hAnsi="宋体"/>
          <w:b/>
          <w:color w:val="000000" w:themeColor="text1"/>
          <w:sz w:val="24"/>
          <w:szCs w:val="24"/>
        </w:rPr>
      </w:pPr>
      <w:r>
        <w:rPr>
          <w:rFonts w:hint="eastAsia" w:ascii="宋体" w:hAnsi="宋体"/>
          <w:b/>
          <w:color w:val="000000" w:themeColor="text1"/>
          <w:sz w:val="24"/>
          <w:szCs w:val="24"/>
        </w:rPr>
        <w:t>8.1初审</w:t>
      </w:r>
    </w:p>
    <w:p>
      <w:pPr>
        <w:adjustRightInd w:val="0"/>
        <w:snapToGrid w:val="0"/>
        <w:spacing w:line="360" w:lineRule="auto"/>
        <w:ind w:right="-10" w:firstLine="420" w:firstLineChars="175"/>
        <w:rPr>
          <w:rFonts w:ascii="宋体" w:hAnsi="宋体"/>
          <w:bCs/>
          <w:color w:val="000000" w:themeColor="text1"/>
          <w:sz w:val="24"/>
          <w:szCs w:val="24"/>
        </w:rPr>
      </w:pPr>
      <w:r>
        <w:rPr>
          <w:rFonts w:hint="eastAsia" w:ascii="宋体" w:hAnsi="宋体"/>
          <w:bCs/>
          <w:color w:val="000000" w:themeColor="text1"/>
          <w:sz w:val="24"/>
          <w:szCs w:val="24"/>
        </w:rPr>
        <w:t>评标委员会按下表内容对所有投标人进行初审：</w:t>
      </w:r>
    </w:p>
    <w:tbl>
      <w:tblPr>
        <w:tblStyle w:val="51"/>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417"/>
        <w:gridCol w:w="2261"/>
        <w:gridCol w:w="709"/>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206" w:type="dxa"/>
            <w:gridSpan w:val="5"/>
            <w:tcBorders>
              <w:top w:val="single" w:color="auto" w:sz="4" w:space="0"/>
              <w:left w:val="single" w:color="auto" w:sz="4" w:space="0"/>
              <w:bottom w:val="single" w:color="auto" w:sz="4" w:space="0"/>
              <w:right w:val="single" w:color="auto" w:sz="4" w:space="0"/>
            </w:tcBorders>
            <w:vAlign w:val="center"/>
          </w:tcPr>
          <w:p>
            <w:pPr>
              <w:pStyle w:val="110"/>
              <w:pBdr>
                <w:bottom w:val="none" w:color="auto" w:sz="0" w:space="0"/>
              </w:pBdr>
              <w:tabs>
                <w:tab w:val="left" w:pos="420"/>
              </w:tabs>
              <w:snapToGrid w:val="0"/>
              <w:spacing w:line="360" w:lineRule="auto"/>
              <w:ind w:right="-10"/>
              <w:rPr>
                <w:rFonts w:ascii="宋体" w:hAnsi="宋体"/>
                <w:color w:val="000000" w:themeColor="text1"/>
                <w:kern w:val="2"/>
                <w:szCs w:val="24"/>
              </w:rPr>
            </w:pPr>
            <w:r>
              <w:rPr>
                <w:rFonts w:hint="eastAsia" w:ascii="宋体" w:hAnsi="宋体"/>
                <w:b/>
                <w:color w:val="000000" w:themeColor="text1"/>
              </w:rPr>
              <w:t>项目评审表（废标指标一览表）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序号</w:t>
            </w:r>
          </w:p>
        </w:tc>
        <w:tc>
          <w:tcPr>
            <w:tcW w:w="2417" w:type="dxa"/>
            <w:tcBorders>
              <w:top w:val="single" w:color="auto" w:sz="4" w:space="0"/>
              <w:left w:val="single" w:color="auto" w:sz="4" w:space="0"/>
              <w:bottom w:val="single" w:color="auto" w:sz="4" w:space="0"/>
              <w:right w:val="single" w:color="auto" w:sz="4" w:space="0"/>
            </w:tcBorders>
            <w:vAlign w:val="center"/>
          </w:tcPr>
          <w:p>
            <w:pPr>
              <w:pStyle w:val="110"/>
              <w:pBdr>
                <w:bottom w:val="none" w:color="auto" w:sz="0" w:space="0"/>
              </w:pBdr>
              <w:tabs>
                <w:tab w:val="left" w:pos="420"/>
              </w:tabs>
              <w:snapToGrid w:val="0"/>
              <w:spacing w:line="360" w:lineRule="auto"/>
              <w:ind w:right="-10"/>
              <w:rPr>
                <w:rFonts w:ascii="宋体" w:hAnsi="宋体"/>
                <w:color w:val="000000" w:themeColor="text1"/>
                <w:kern w:val="2"/>
                <w:szCs w:val="24"/>
              </w:rPr>
            </w:pPr>
            <w:r>
              <w:rPr>
                <w:rFonts w:hint="eastAsia" w:ascii="宋体" w:hAnsi="宋体"/>
                <w:color w:val="000000" w:themeColor="text1"/>
                <w:kern w:val="2"/>
                <w:szCs w:val="24"/>
              </w:rPr>
              <w:t>指标名称</w:t>
            </w:r>
          </w:p>
        </w:tc>
        <w:tc>
          <w:tcPr>
            <w:tcW w:w="22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指标要求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是否通过</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w:t>
            </w:r>
          </w:p>
        </w:tc>
        <w:tc>
          <w:tcPr>
            <w:tcW w:w="2417" w:type="dxa"/>
            <w:tcBorders>
              <w:top w:val="single" w:color="auto" w:sz="4" w:space="0"/>
              <w:left w:val="single" w:color="auto" w:sz="4" w:space="0"/>
              <w:bottom w:val="single" w:color="auto" w:sz="4" w:space="0"/>
              <w:right w:val="single" w:color="auto" w:sz="4" w:space="0"/>
            </w:tcBorders>
            <w:vAlign w:val="center"/>
          </w:tcPr>
          <w:p>
            <w:pPr>
              <w:pStyle w:val="102"/>
              <w:spacing w:line="360" w:lineRule="auto"/>
              <w:jc w:val="center"/>
              <w:rPr>
                <w:rFonts w:ascii="宋体" w:hAnsi="宋体" w:eastAsia="宋体"/>
                <w:color w:val="000000" w:themeColor="text1"/>
                <w:kern w:val="2"/>
              </w:rPr>
            </w:pPr>
            <w:r>
              <w:rPr>
                <w:rFonts w:hint="eastAsia" w:ascii="宋体" w:hAnsi="宋体" w:eastAsia="宋体"/>
                <w:color w:val="000000" w:themeColor="text1"/>
                <w:kern w:val="2"/>
              </w:rPr>
              <w:t>投标人名称</w:t>
            </w:r>
          </w:p>
        </w:tc>
        <w:tc>
          <w:tcPr>
            <w:tcW w:w="2261" w:type="dxa"/>
            <w:tcBorders>
              <w:top w:val="single" w:color="auto" w:sz="4" w:space="0"/>
              <w:left w:val="single" w:color="auto" w:sz="4" w:space="0"/>
              <w:bottom w:val="single" w:color="auto" w:sz="4" w:space="0"/>
              <w:right w:val="single" w:color="auto" w:sz="4" w:space="0"/>
            </w:tcBorders>
            <w:vAlign w:val="center"/>
          </w:tcPr>
          <w:p>
            <w:pPr>
              <w:pStyle w:val="102"/>
              <w:spacing w:line="360" w:lineRule="auto"/>
              <w:rPr>
                <w:rFonts w:ascii="宋体" w:hAnsi="宋体" w:eastAsia="宋体"/>
                <w:color w:val="000000" w:themeColor="text1"/>
                <w:kern w:val="2"/>
              </w:rPr>
            </w:pPr>
            <w:r>
              <w:rPr>
                <w:rFonts w:hint="eastAsia" w:ascii="宋体" w:hAnsi="宋体" w:eastAsia="宋体"/>
                <w:color w:val="000000" w:themeColor="text1"/>
                <w:kern w:val="2"/>
              </w:rPr>
              <w:t>与营业执照一致</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rPr>
            </w:pPr>
            <w:r>
              <w:rPr>
                <w:rFonts w:hint="eastAsia" w:ascii="宋体" w:hAnsi="宋体"/>
                <w:color w:val="000000" w:themeColor="text1"/>
                <w:sz w:val="24"/>
                <w:szCs w:val="24"/>
              </w:rPr>
              <w:t>2</w:t>
            </w:r>
          </w:p>
        </w:tc>
        <w:tc>
          <w:tcPr>
            <w:tcW w:w="2417" w:type="dxa"/>
            <w:tcBorders>
              <w:top w:val="single" w:color="auto" w:sz="4" w:space="0"/>
              <w:left w:val="single" w:color="auto" w:sz="4" w:space="0"/>
              <w:bottom w:val="single" w:color="auto" w:sz="4" w:space="0"/>
              <w:right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营业执照或事业单位法人证书</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合法有效</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left"/>
              <w:rPr>
                <w:rFonts w:ascii="宋体" w:hAnsi="宋体"/>
                <w:color w:val="000000" w:themeColor="text1"/>
                <w:sz w:val="24"/>
                <w:szCs w:val="24"/>
              </w:rPr>
            </w:pPr>
            <w:r>
              <w:rPr>
                <w:rFonts w:hint="eastAsia" w:ascii="宋体" w:hAnsi="宋体"/>
                <w:color w:val="000000" w:themeColor="text1"/>
                <w:sz w:val="24"/>
                <w:szCs w:val="24"/>
              </w:rPr>
              <w:t>提供有效的营业执照（或事业单位法人证书）的扫描件</w:t>
            </w:r>
            <w:r>
              <w:rPr>
                <w:rFonts w:hint="eastAsia" w:ascii="宋体" w:hAnsi="宋体"/>
                <w:b/>
                <w:bCs/>
                <w:color w:val="000000" w:themeColor="text1"/>
                <w:sz w:val="24"/>
                <w:szCs w:val="24"/>
              </w:rPr>
              <w:t>，应完整的体现出营业执照</w:t>
            </w:r>
            <w:r>
              <w:rPr>
                <w:rFonts w:hint="eastAsia" w:ascii="宋体" w:hAnsi="宋体"/>
                <w:b/>
                <w:color w:val="000000" w:themeColor="text1"/>
                <w:sz w:val="24"/>
                <w:szCs w:val="24"/>
              </w:rPr>
              <w:t>（或事业单位法人证书）</w:t>
            </w:r>
            <w:r>
              <w:rPr>
                <w:rFonts w:hint="eastAsia" w:ascii="宋体" w:hAnsi="宋体"/>
                <w:b/>
                <w:bCs/>
                <w:color w:val="000000" w:themeColor="text1"/>
                <w:sz w:val="24"/>
                <w:szCs w:val="24"/>
              </w:rPr>
              <w:t>的全部内容。</w:t>
            </w:r>
            <w:r>
              <w:rPr>
                <w:rFonts w:hint="eastAsia" w:ascii="宋体" w:hAnsi="宋体"/>
                <w:bCs/>
                <w:color w:val="000000" w:themeColor="text1"/>
                <w:sz w:val="24"/>
                <w:szCs w:val="24"/>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3</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投标函</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4</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投标授权书</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5</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投标人信用记录证明材料</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具体详见</w:t>
            </w:r>
            <w:r>
              <w:rPr>
                <w:rFonts w:hint="eastAsia" w:ascii="宋体" w:hAnsi="宋体"/>
                <w:color w:val="000000" w:themeColor="text1"/>
                <w:sz w:val="24"/>
                <w:szCs w:val="24"/>
              </w:rPr>
              <w:t>第七章响应文件格式</w:t>
            </w:r>
            <w:r>
              <w:rPr>
                <w:rFonts w:hint="eastAsia" w:ascii="宋体" w:hAnsi="宋体"/>
                <w:color w:val="000000" w:themeColor="text1"/>
                <w:sz w:val="24"/>
              </w:rPr>
              <w:t>“</w:t>
            </w:r>
            <w:r>
              <w:rPr>
                <w:rFonts w:hint="eastAsia" w:ascii="宋体" w:hAnsi="宋体"/>
                <w:color w:val="000000" w:themeColor="text1"/>
                <w:sz w:val="24"/>
                <w:szCs w:val="24"/>
              </w:rPr>
              <w:t>投标人信用承诺</w:t>
            </w:r>
            <w:r>
              <w:rPr>
                <w:rFonts w:hint="eastAsia" w:ascii="宋体" w:hAnsi="宋体"/>
                <w:color w:val="000000" w:themeColor="text1"/>
                <w:sz w:val="24"/>
              </w:rPr>
              <w:t>”</w:t>
            </w:r>
            <w:r>
              <w:rPr>
                <w:rFonts w:hint="eastAsia" w:ascii="宋体" w:hAnsi="宋体"/>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6</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开标一览表</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7</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投标报价</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bCs/>
                <w:color w:val="000000" w:themeColor="text1"/>
                <w:sz w:val="24"/>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8</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投标人资格</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符合招标公告要求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left"/>
              <w:rPr>
                <w:rFonts w:ascii="宋体" w:hAnsi="宋体"/>
                <w:bCs/>
                <w:color w:val="000000" w:themeColor="text1"/>
                <w:sz w:val="24"/>
                <w:szCs w:val="24"/>
              </w:rPr>
            </w:pPr>
            <w:r>
              <w:rPr>
                <w:rFonts w:hint="eastAsia" w:ascii="宋体" w:hAnsi="宋体"/>
                <w:color w:val="000000" w:themeColor="text1"/>
                <w:sz w:val="24"/>
                <w:szCs w:val="24"/>
              </w:rPr>
              <w:t>1.详见第一章投标邀请</w:t>
            </w:r>
            <w:r>
              <w:rPr>
                <w:rFonts w:hint="eastAsia" w:ascii="宋体" w:hAnsi="宋体"/>
                <w:color w:val="000000" w:themeColor="text1"/>
                <w:sz w:val="24"/>
              </w:rPr>
              <w:t>“</w:t>
            </w:r>
            <w:r>
              <w:rPr>
                <w:rFonts w:hint="eastAsia" w:ascii="宋体" w:hAnsi="宋体"/>
                <w:color w:val="000000" w:themeColor="text1"/>
                <w:sz w:val="24"/>
                <w:szCs w:val="24"/>
              </w:rPr>
              <w:t>投标人资格</w:t>
            </w:r>
            <w:r>
              <w:rPr>
                <w:rFonts w:hint="eastAsia" w:ascii="宋体" w:hAnsi="宋体"/>
                <w:color w:val="000000" w:themeColor="text1"/>
                <w:sz w:val="24"/>
              </w:rPr>
              <w:t>”</w:t>
            </w:r>
            <w:r>
              <w:rPr>
                <w:rFonts w:hint="eastAsia" w:ascii="宋体" w:hAnsi="宋体"/>
                <w:bCs/>
                <w:color w:val="000000" w:themeColor="text1"/>
                <w:sz w:val="24"/>
                <w:szCs w:val="24"/>
              </w:rPr>
              <w:t>；</w:t>
            </w:r>
          </w:p>
          <w:p>
            <w:pPr>
              <w:adjustRightInd w:val="0"/>
              <w:snapToGrid w:val="0"/>
              <w:spacing w:line="360" w:lineRule="auto"/>
              <w:ind w:right="-10"/>
              <w:jc w:val="left"/>
              <w:rPr>
                <w:rFonts w:ascii="宋体" w:hAnsi="宋体"/>
                <w:color w:val="000000" w:themeColor="text1"/>
                <w:sz w:val="24"/>
              </w:rPr>
            </w:pPr>
            <w:r>
              <w:rPr>
                <w:rFonts w:hint="eastAsia" w:ascii="宋体" w:hAnsi="宋体"/>
                <w:color w:val="000000" w:themeColor="text1"/>
                <w:sz w:val="24"/>
              </w:rPr>
              <w:t>2.提供资质证书扫描件。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9</w:t>
            </w:r>
          </w:p>
        </w:tc>
        <w:tc>
          <w:tcPr>
            <w:tcW w:w="2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00"/>
              <w:jc w:val="left"/>
              <w:rPr>
                <w:rFonts w:ascii="宋体" w:hAnsi="宋体"/>
                <w:color w:val="000000" w:themeColor="text1"/>
                <w:sz w:val="24"/>
                <w:szCs w:val="24"/>
              </w:rPr>
            </w:pPr>
            <w:r>
              <w:rPr>
                <w:rFonts w:hint="eastAsia" w:ascii="宋体" w:hAnsi="宋体"/>
                <w:color w:val="000000" w:themeColor="text1"/>
                <w:sz w:val="24"/>
                <w:szCs w:val="24"/>
              </w:rPr>
              <w:t>投标保证金</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ind w:right="-11"/>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10</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标书响应情况</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付款响应、服务期限响应等</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szCs w:val="28"/>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11</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标书规范性</w:t>
            </w:r>
          </w:p>
        </w:tc>
        <w:tc>
          <w:tcPr>
            <w:tcW w:w="2261" w:type="dxa"/>
            <w:tcBorders>
              <w:top w:val="single" w:color="auto" w:sz="4" w:space="0"/>
              <w:left w:val="single" w:color="auto" w:sz="4" w:space="0"/>
              <w:bottom w:val="single" w:color="auto" w:sz="4" w:space="0"/>
              <w:right w:val="single" w:color="auto" w:sz="4" w:space="0"/>
            </w:tcBorders>
            <w:vAlign w:val="center"/>
          </w:tcPr>
          <w:p>
            <w:pPr>
              <w:pStyle w:val="110"/>
              <w:pBdr>
                <w:bottom w:val="none" w:color="auto" w:sz="0" w:space="0"/>
              </w:pBdr>
              <w:tabs>
                <w:tab w:val="left" w:pos="420"/>
              </w:tabs>
              <w:adjustRightInd/>
              <w:spacing w:after="50" w:line="360" w:lineRule="auto"/>
              <w:ind w:right="-10"/>
              <w:rPr>
                <w:rFonts w:ascii="宋体" w:hAnsi="宋体"/>
                <w:color w:val="000000" w:themeColor="text1"/>
                <w:kern w:val="2"/>
              </w:rPr>
            </w:pPr>
            <w:r>
              <w:rPr>
                <w:rFonts w:hint="eastAsia" w:ascii="宋体" w:hAnsi="宋体"/>
                <w:color w:val="000000" w:themeColor="text1"/>
              </w:rPr>
              <w:t>无严重的编排混乱、内容不全或字迹模糊辨认不清、前后矛盾情况，对评标无实质性影响的</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szCs w:val="28"/>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12</w:t>
            </w:r>
          </w:p>
        </w:tc>
        <w:tc>
          <w:tcPr>
            <w:tcW w:w="2417"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其他要求</w:t>
            </w:r>
          </w:p>
        </w:tc>
        <w:tc>
          <w:tcPr>
            <w:tcW w:w="2261" w:type="dxa"/>
            <w:tcBorders>
              <w:top w:val="single" w:color="auto" w:sz="4" w:space="0"/>
              <w:left w:val="single" w:color="auto" w:sz="4" w:space="0"/>
              <w:bottom w:val="single" w:color="auto" w:sz="4" w:space="0"/>
              <w:right w:val="single" w:color="auto" w:sz="4" w:space="0"/>
            </w:tcBorders>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上述指标中未列出，但国家相关法律法规或招标文件有明确规定的</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6" w:type="dxa"/>
            <w:gridSpan w:val="5"/>
            <w:tcBorders>
              <w:top w:val="single" w:color="auto" w:sz="4" w:space="0"/>
              <w:left w:val="single" w:color="auto" w:sz="4" w:space="0"/>
              <w:bottom w:val="single" w:color="auto" w:sz="4" w:space="0"/>
              <w:right w:val="single" w:color="auto" w:sz="4" w:space="0"/>
            </w:tcBorders>
            <w:vAlign w:val="center"/>
          </w:tcPr>
          <w:p>
            <w:pPr>
              <w:spacing w:before="139" w:line="400" w:lineRule="exact"/>
              <w:rPr>
                <w:rFonts w:ascii="宋体" w:hAnsi="宋体"/>
                <w:color w:val="000000" w:themeColor="text1"/>
                <w:sz w:val="24"/>
                <w:szCs w:val="28"/>
              </w:rPr>
            </w:pPr>
            <w:r>
              <w:rPr>
                <w:rFonts w:hint="eastAsia" w:ascii="宋体" w:hAnsi="宋体"/>
                <w:color w:val="000000" w:themeColor="text1"/>
                <w:sz w:val="24"/>
                <w:szCs w:val="20"/>
              </w:rPr>
              <w:t>评</w:t>
            </w:r>
            <w:r>
              <w:rPr>
                <w:rFonts w:hint="eastAsia" w:ascii="宋体" w:hAnsi="宋体"/>
                <w:color w:val="000000" w:themeColor="text1"/>
                <w:sz w:val="24"/>
                <w:szCs w:val="28"/>
              </w:rPr>
              <w:t>审指标通过标准：</w:t>
            </w:r>
          </w:p>
          <w:p>
            <w:pPr>
              <w:spacing w:before="139" w:line="360" w:lineRule="auto"/>
              <w:rPr>
                <w:rFonts w:ascii="宋体" w:hAnsi="宋体"/>
                <w:color w:val="000000" w:themeColor="text1"/>
                <w:sz w:val="24"/>
                <w:szCs w:val="28"/>
              </w:rPr>
            </w:pPr>
            <w:r>
              <w:rPr>
                <w:rFonts w:hint="eastAsia" w:ascii="宋体" w:hAnsi="宋体"/>
                <w:color w:val="000000" w:themeColor="text1"/>
                <w:sz w:val="24"/>
                <w:szCs w:val="28"/>
              </w:rPr>
              <w:t>（1）资格审查采用定性方法，符合性评审，所有评审选项必须全部通过方为合格。</w:t>
            </w:r>
          </w:p>
          <w:p>
            <w:pPr>
              <w:adjustRightInd w:val="0"/>
              <w:snapToGrid w:val="0"/>
              <w:spacing w:line="360" w:lineRule="auto"/>
              <w:ind w:right="-10"/>
              <w:rPr>
                <w:rFonts w:ascii="宋体" w:hAnsi="宋体"/>
                <w:color w:val="000000" w:themeColor="text1"/>
                <w:sz w:val="24"/>
                <w:szCs w:val="28"/>
              </w:rPr>
            </w:pPr>
            <w:r>
              <w:rPr>
                <w:rFonts w:hint="eastAsia" w:ascii="宋体" w:hAnsi="宋体"/>
                <w:color w:val="000000" w:themeColor="text1"/>
                <w:sz w:val="24"/>
                <w:szCs w:val="28"/>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rPr>
                <w:rFonts w:ascii="宋体" w:hAnsi="宋体"/>
                <w:color w:val="000000" w:themeColor="text1"/>
                <w:sz w:val="24"/>
                <w:szCs w:val="28"/>
              </w:rPr>
            </w:pPr>
            <w:r>
              <w:rPr>
                <w:rFonts w:hint="eastAsia" w:ascii="宋体" w:hAnsi="宋体"/>
                <w:color w:val="000000" w:themeColor="text1"/>
                <w:sz w:val="24"/>
                <w:szCs w:val="28"/>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000000" w:themeColor="text1"/>
                <w:sz w:val="24"/>
              </w:rPr>
            </w:pPr>
            <w:r>
              <w:rPr>
                <w:rFonts w:hint="eastAsia" w:ascii="宋体" w:hAnsi="宋体"/>
                <w:color w:val="000000" w:themeColor="text1"/>
                <w:sz w:val="24"/>
                <w:szCs w:val="28"/>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ascii="宋体" w:hAnsi="宋体"/>
          <w:bCs/>
          <w:color w:val="000000" w:themeColor="text1"/>
          <w:sz w:val="24"/>
        </w:rPr>
      </w:pPr>
    </w:p>
    <w:p>
      <w:pPr>
        <w:adjustRightInd w:val="0"/>
        <w:snapToGrid w:val="0"/>
        <w:spacing w:line="360" w:lineRule="auto"/>
        <w:ind w:right="-10" w:firstLine="420" w:firstLineChars="175"/>
        <w:rPr>
          <w:rFonts w:ascii="宋体" w:hAnsi="宋体"/>
          <w:bCs/>
          <w:color w:val="000000" w:themeColor="text1"/>
          <w:sz w:val="24"/>
        </w:rPr>
      </w:pPr>
      <w:bookmarkStart w:id="50" w:name="_Hlk514734618"/>
      <w:r>
        <w:rPr>
          <w:rFonts w:hint="eastAsia" w:ascii="宋体" w:hAnsi="宋体"/>
          <w:bCs/>
          <w:color w:val="000000" w:themeColor="text1"/>
          <w:sz w:val="24"/>
        </w:rPr>
        <w:t>8.2详细评审</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8.2.1</w:t>
      </w:r>
      <w:bookmarkStart w:id="51" w:name="_Hlk514734853"/>
      <w:r>
        <w:rPr>
          <w:rFonts w:hint="eastAsia" w:ascii="宋体" w:hAnsi="宋体"/>
          <w:bCs/>
          <w:color w:val="000000" w:themeColor="text1"/>
          <w:sz w:val="24"/>
        </w:rPr>
        <w:t>评标委员会将对所有通过初审的投标文件进行详细评审，具体如下：</w:t>
      </w:r>
      <w:bookmarkEnd w:id="51"/>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根据评分的细则，评委应对进入详细评审的所有投标文件进行评分，并分别填写打分表。</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将投标人每个分值项得分进行汇总并计算出平均值，得到该投标人该分值项的得分。</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szCs w:val="24"/>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8.2.2商务、</w:t>
      </w:r>
      <w:r>
        <w:rPr>
          <w:rFonts w:hint="eastAsia" w:ascii="宋体" w:hAnsi="宋体"/>
          <w:color w:val="000000" w:themeColor="text1"/>
          <w:sz w:val="24"/>
          <w:szCs w:val="24"/>
        </w:rPr>
        <w:t>技术部分详细评审</w:t>
      </w:r>
      <w:bookmarkStart w:id="52" w:name="_Hlk514734883"/>
      <w:r>
        <w:rPr>
          <w:rFonts w:hint="eastAsia" w:ascii="宋体" w:hAnsi="宋体"/>
          <w:bCs/>
          <w:color w:val="000000" w:themeColor="text1"/>
          <w:sz w:val="24"/>
        </w:rPr>
        <w:t>指标如下：</w:t>
      </w:r>
      <w:bookmarkEnd w:id="50"/>
      <w:bookmarkEnd w:id="52"/>
    </w:p>
    <w:p>
      <w:pPr>
        <w:pStyle w:val="50"/>
        <w:rPr>
          <w:color w:val="000000" w:themeColor="text1"/>
        </w:rPr>
      </w:pPr>
    </w:p>
    <w:tbl>
      <w:tblPr>
        <w:tblStyle w:val="51"/>
        <w:tblW w:w="51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1088"/>
        <w:gridCol w:w="645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5000" w:type="pct"/>
            <w:gridSpan w:val="4"/>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保安服务商务、技术部分详细评审表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0"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序号</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指标</w:t>
            </w:r>
          </w:p>
        </w:tc>
        <w:tc>
          <w:tcPr>
            <w:tcW w:w="3252" w:type="pct"/>
            <w:vAlign w:val="center"/>
          </w:tcPr>
          <w:p>
            <w:pPr>
              <w:adjustRightInd w:val="0"/>
              <w:snapToGrid w:val="0"/>
              <w:spacing w:line="0" w:lineRule="atLeast"/>
              <w:ind w:firstLine="482" w:firstLineChars="200"/>
              <w:jc w:val="center"/>
              <w:rPr>
                <w:rFonts w:ascii="宋体" w:hAnsi="宋体"/>
                <w:b/>
                <w:color w:val="000000" w:themeColor="text1"/>
                <w:sz w:val="24"/>
                <w:szCs w:val="24"/>
              </w:rPr>
            </w:pPr>
            <w:r>
              <w:rPr>
                <w:rFonts w:hint="eastAsia" w:ascii="宋体" w:hAnsi="宋体"/>
                <w:b/>
                <w:color w:val="000000" w:themeColor="text1"/>
                <w:sz w:val="24"/>
                <w:szCs w:val="24"/>
              </w:rPr>
              <w:t>评分标准</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1" w:hRule="atLeas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1</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投标人业绩</w:t>
            </w:r>
          </w:p>
        </w:tc>
        <w:tc>
          <w:tcPr>
            <w:tcW w:w="3252" w:type="pct"/>
            <w:vAlign w:val="center"/>
          </w:tcPr>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1、投标人自</w:t>
            </w:r>
            <w:r>
              <w:rPr>
                <w:rFonts w:ascii="宋体" w:hAnsi="宋体"/>
                <w:color w:val="000000" w:themeColor="text1"/>
                <w:sz w:val="24"/>
                <w:szCs w:val="24"/>
              </w:rPr>
              <w:t>201</w:t>
            </w:r>
            <w:r>
              <w:rPr>
                <w:rFonts w:hint="eastAsia" w:ascii="宋体" w:hAnsi="宋体"/>
                <w:color w:val="000000" w:themeColor="text1"/>
                <w:sz w:val="24"/>
                <w:szCs w:val="24"/>
              </w:rPr>
              <w:t>9年1月1日以来</w:t>
            </w:r>
            <w:r>
              <w:rPr>
                <w:rFonts w:hint="eastAsia" w:ascii="宋体" w:hAnsi="宋体" w:cs="宋体"/>
                <w:color w:val="000000" w:themeColor="text1"/>
                <w:sz w:val="24"/>
                <w:szCs w:val="24"/>
              </w:rPr>
              <w:t>（以合同签订时间为准）</w:t>
            </w:r>
            <w:r>
              <w:rPr>
                <w:rFonts w:hint="eastAsia" w:ascii="宋体" w:hAnsi="宋体"/>
                <w:color w:val="000000" w:themeColor="text1"/>
                <w:sz w:val="24"/>
                <w:szCs w:val="24"/>
              </w:rPr>
              <w:t>：</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1</w:t>
            </w:r>
            <w:r>
              <w:rPr>
                <w:rFonts w:hint="eastAsia" w:ascii="宋体" w:hAnsi="宋体"/>
                <w:color w:val="000000" w:themeColor="text1"/>
                <w:sz w:val="24"/>
                <w:szCs w:val="24"/>
              </w:rPr>
              <w:t>）具有单项非住宅类保安服务项目业绩年合同金额F≥50万元及以上的，每提供一份有效合同得</w:t>
            </w:r>
            <w:r>
              <w:rPr>
                <w:rFonts w:ascii="宋体" w:hAnsi="宋体"/>
                <w:color w:val="000000" w:themeColor="text1"/>
                <w:sz w:val="24"/>
                <w:szCs w:val="24"/>
              </w:rPr>
              <w:t>1</w:t>
            </w:r>
            <w:r>
              <w:rPr>
                <w:rFonts w:hint="eastAsia" w:ascii="宋体" w:hAnsi="宋体"/>
                <w:color w:val="000000" w:themeColor="text1"/>
                <w:sz w:val="24"/>
                <w:szCs w:val="24"/>
              </w:rPr>
              <w:t>分，本项最高得</w:t>
            </w:r>
            <w:r>
              <w:rPr>
                <w:rFonts w:ascii="宋体" w:hAnsi="宋体"/>
                <w:color w:val="000000" w:themeColor="text1"/>
                <w:sz w:val="24"/>
                <w:szCs w:val="24"/>
              </w:rPr>
              <w:t>3</w:t>
            </w:r>
            <w:r>
              <w:rPr>
                <w:rFonts w:hint="eastAsia" w:ascii="宋体" w:hAnsi="宋体"/>
                <w:color w:val="000000" w:themeColor="text1"/>
                <w:sz w:val="24"/>
                <w:szCs w:val="24"/>
              </w:rPr>
              <w:t>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2</w:t>
            </w:r>
            <w:r>
              <w:rPr>
                <w:rFonts w:hint="eastAsia" w:ascii="宋体" w:hAnsi="宋体"/>
                <w:color w:val="000000" w:themeColor="text1"/>
                <w:sz w:val="24"/>
                <w:szCs w:val="24"/>
              </w:rPr>
              <w:t>）具有2万平方米及以上的政府机关、企事业单位办公楼、医院、学校保安服务业绩的，每提供一份有效合同得2分，本项最高得6分；</w:t>
            </w:r>
          </w:p>
          <w:p>
            <w:pPr>
              <w:adjustRightInd w:val="0"/>
              <w:snapToGrid w:val="0"/>
              <w:spacing w:line="276" w:lineRule="auto"/>
              <w:jc w:val="left"/>
              <w:rPr>
                <w:rFonts w:ascii="宋体" w:hAnsi="宋体"/>
                <w:b/>
                <w:color w:val="000000" w:themeColor="text1"/>
                <w:sz w:val="24"/>
                <w:szCs w:val="24"/>
              </w:rPr>
            </w:pPr>
            <w:r>
              <w:rPr>
                <w:rFonts w:hint="eastAsia" w:ascii="宋体" w:hAnsi="宋体"/>
                <w:b/>
                <w:color w:val="000000" w:themeColor="text1"/>
                <w:sz w:val="24"/>
                <w:szCs w:val="24"/>
              </w:rPr>
              <w:t>本项满分9分。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2、上述业绩，每获得一个业主（合同甲方）服务（或履约）评价为优秀（或满意或良好）的另加1分，</w:t>
            </w:r>
            <w:r>
              <w:rPr>
                <w:rFonts w:hint="eastAsia" w:ascii="宋体" w:hAnsi="宋体"/>
                <w:b/>
                <w:color w:val="000000" w:themeColor="text1"/>
                <w:sz w:val="24"/>
                <w:szCs w:val="24"/>
              </w:rPr>
              <w:t>本项最高得</w:t>
            </w:r>
            <w:r>
              <w:rPr>
                <w:rFonts w:ascii="宋体" w:hAnsi="宋体"/>
                <w:b/>
                <w:color w:val="000000" w:themeColor="text1"/>
                <w:sz w:val="24"/>
                <w:szCs w:val="24"/>
              </w:rPr>
              <w:t>4</w:t>
            </w:r>
            <w:r>
              <w:rPr>
                <w:rFonts w:hint="eastAsia" w:ascii="宋体" w:hAnsi="宋体"/>
                <w:b/>
                <w:color w:val="000000" w:themeColor="text1"/>
                <w:sz w:val="24"/>
                <w:szCs w:val="24"/>
              </w:rPr>
              <w:t>分</w:t>
            </w:r>
            <w:r>
              <w:rPr>
                <w:rFonts w:hint="eastAsia" w:ascii="宋体" w:hAnsi="宋体"/>
                <w:color w:val="000000" w:themeColor="text1"/>
                <w:sz w:val="24"/>
                <w:szCs w:val="24"/>
              </w:rPr>
              <w:t xml:space="preserve">。 </w:t>
            </w:r>
          </w:p>
          <w:p>
            <w:pPr>
              <w:spacing w:line="276" w:lineRule="auto"/>
              <w:ind w:firstLine="482" w:firstLineChars="200"/>
              <w:rPr>
                <w:b/>
                <w:color w:val="000000" w:themeColor="text1"/>
                <w:sz w:val="24"/>
                <w:szCs w:val="24"/>
              </w:rPr>
            </w:pPr>
            <w:r>
              <w:rPr>
                <w:rFonts w:hint="eastAsia"/>
                <w:b/>
                <w:color w:val="000000" w:themeColor="text1"/>
                <w:sz w:val="24"/>
                <w:szCs w:val="24"/>
              </w:rPr>
              <w:t>注：1.初审业绩不得分，同一项目业绩仅以最高得分记取一次。</w:t>
            </w:r>
          </w:p>
          <w:p>
            <w:pPr>
              <w:spacing w:line="276" w:lineRule="auto"/>
              <w:ind w:firstLine="482" w:firstLineChars="200"/>
              <w:rPr>
                <w:b/>
                <w:color w:val="000000" w:themeColor="text1"/>
                <w:sz w:val="24"/>
                <w:szCs w:val="24"/>
              </w:rPr>
            </w:pPr>
            <w:r>
              <w:rPr>
                <w:rFonts w:hint="eastAsia"/>
                <w:b/>
                <w:color w:val="000000" w:themeColor="text1"/>
                <w:sz w:val="24"/>
                <w:szCs w:val="24"/>
              </w:rPr>
              <w:t>2.投标文件中须提供业绩合同扫描件（合同原件备查），以及业绩合同服务费银行转账证明，否则不得分；</w:t>
            </w:r>
          </w:p>
          <w:p>
            <w:pPr>
              <w:spacing w:line="276" w:lineRule="auto"/>
              <w:ind w:firstLine="482" w:firstLineChars="200"/>
              <w:rPr>
                <w:b/>
                <w:color w:val="000000" w:themeColor="text1"/>
                <w:sz w:val="24"/>
                <w:szCs w:val="24"/>
              </w:rPr>
            </w:pPr>
            <w:r>
              <w:rPr>
                <w:rFonts w:hint="eastAsia"/>
                <w:b/>
                <w:color w:val="000000" w:themeColor="text1"/>
                <w:sz w:val="24"/>
                <w:szCs w:val="24"/>
              </w:rPr>
              <w:t>3.以上涉及到的证明资料信息应完整或能充分反映评审因素。如未能明确反映评审因素的（如合同服务内容等），应另附业主（合同甲方）证明材料予以明确说明，须加盖项目业主单位（合同甲方）公章，否则评标委员会不予认可。</w:t>
            </w:r>
          </w:p>
          <w:p>
            <w:pPr>
              <w:spacing w:line="276" w:lineRule="auto"/>
              <w:ind w:firstLine="482" w:firstLineChars="200"/>
              <w:rPr>
                <w:rFonts w:ascii="宋体" w:hAnsi="宋体"/>
                <w:color w:val="000000" w:themeColor="text1"/>
                <w:sz w:val="24"/>
                <w:szCs w:val="24"/>
              </w:rPr>
            </w:pPr>
            <w:r>
              <w:rPr>
                <w:rFonts w:hint="eastAsia"/>
                <w:b/>
                <w:color w:val="000000" w:themeColor="text1"/>
                <w:sz w:val="24"/>
                <w:szCs w:val="24"/>
              </w:rPr>
              <w:t>4.业主单位（合同甲方）履约评价须提供项目业主单位（合同甲方）证明，且须加盖项目业主单位（合同甲方）公章。</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w:t>
            </w:r>
            <w:r>
              <w:rPr>
                <w:rFonts w:ascii="宋体" w:hAnsi="宋体"/>
                <w:b/>
                <w:color w:val="000000" w:themeColor="text1"/>
                <w:sz w:val="24"/>
                <w:szCs w:val="24"/>
              </w:rPr>
              <w:t>1</w:t>
            </w:r>
            <w:r>
              <w:rPr>
                <w:rFonts w:hint="eastAsia" w:ascii="宋体" w:hAnsi="宋体"/>
                <w:b/>
                <w:color w:val="000000" w:themeColor="text1"/>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2</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项目负责人</w:t>
            </w:r>
          </w:p>
        </w:tc>
        <w:tc>
          <w:tcPr>
            <w:tcW w:w="3252" w:type="pct"/>
            <w:vAlign w:val="center"/>
          </w:tcPr>
          <w:p>
            <w:pPr>
              <w:numPr>
                <w:ilvl w:val="0"/>
                <w:numId w:val="4"/>
              </w:num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50岁及以下具有大专及以上学历得1分，未提供的不得分；</w:t>
            </w:r>
          </w:p>
          <w:p>
            <w:pPr>
              <w:adjustRightInd w:val="0"/>
              <w:snapToGrid w:val="0"/>
              <w:spacing w:line="276" w:lineRule="auto"/>
              <w:jc w:val="left"/>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、具有全国物业管理企业经理上岗资格证得1分，未提供的不得分；</w:t>
            </w:r>
          </w:p>
          <w:p>
            <w:pPr>
              <w:adjustRightInd w:val="0"/>
              <w:snapToGrid w:val="0"/>
              <w:spacing w:line="276" w:lineRule="auto"/>
              <w:jc w:val="left"/>
              <w:rPr>
                <w:rFonts w:ascii="宋体" w:hAnsi="宋体"/>
                <w:color w:val="000000" w:themeColor="text1"/>
                <w:sz w:val="24"/>
                <w:szCs w:val="24"/>
              </w:rPr>
            </w:pPr>
            <w:r>
              <w:rPr>
                <w:rFonts w:hint="eastAsia" w:ascii="宋体" w:hAnsi="宋体"/>
                <w:sz w:val="24"/>
                <w:szCs w:val="24"/>
              </w:rPr>
              <w:t>3、是中国共产党员的得2分，</w:t>
            </w:r>
            <w:r>
              <w:rPr>
                <w:rFonts w:hint="eastAsia" w:ascii="宋体" w:hAnsi="宋体"/>
                <w:color w:val="000000" w:themeColor="text1"/>
                <w:sz w:val="24"/>
                <w:szCs w:val="24"/>
              </w:rPr>
              <w:t>未提供的不得分；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4、具有公共安全管理师（高级）资格的得2分，未提供的不得分；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5、具有保安师（保安员国家职业资格二级）及以上资格的得2分，未提供的不得分；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6、获得省党、工、团组织颁发的荣誉表彰的得2分，未提供的不得分。</w:t>
            </w:r>
          </w:p>
          <w:p>
            <w:pPr>
              <w:adjustRightInd w:val="0"/>
              <w:snapToGrid w:val="0"/>
              <w:spacing w:line="276" w:lineRule="auto"/>
              <w:ind w:firstLine="482" w:firstLineChars="200"/>
              <w:jc w:val="left"/>
              <w:rPr>
                <w:rFonts w:ascii="宋体" w:hAnsi="宋体"/>
                <w:color w:val="000000" w:themeColor="text1"/>
                <w:sz w:val="24"/>
                <w:szCs w:val="24"/>
              </w:rPr>
            </w:pPr>
            <w:r>
              <w:rPr>
                <w:rFonts w:hint="eastAsia"/>
                <w:b/>
                <w:color w:val="000000" w:themeColor="text1"/>
                <w:sz w:val="24"/>
                <w:szCs w:val="24"/>
              </w:rPr>
              <w:t>注：投标文件中提供项目负责人相关证书复印件或影印件及投标人为项目负责人缴纳的近三个月社保证明作为评标依据（原件备查）。</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w:t>
            </w:r>
            <w:r>
              <w:rPr>
                <w:rFonts w:ascii="宋体" w:hAnsi="宋体"/>
                <w:b/>
                <w:color w:val="000000" w:themeColor="text1"/>
                <w:sz w:val="24"/>
                <w:szCs w:val="24"/>
              </w:rPr>
              <w:t>1</w:t>
            </w:r>
            <w:r>
              <w:rPr>
                <w:rFonts w:hint="eastAsia" w:ascii="宋体" w:hAnsi="宋体"/>
                <w:b/>
                <w:color w:val="000000" w:themeColor="text1"/>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0" w:hRule="atLeas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3</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投标人企业人员配备</w:t>
            </w:r>
          </w:p>
        </w:tc>
        <w:tc>
          <w:tcPr>
            <w:tcW w:w="3252" w:type="pct"/>
            <w:vAlign w:val="center"/>
          </w:tcPr>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投标人的企业人员配备除项目负责人外：</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1、每增加1名大专及以上学历得1分，本项最高得2分；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2、每增加1名二级及以上保安师或高级保安员的得1分，本项最高得</w:t>
            </w:r>
            <w:r>
              <w:rPr>
                <w:rFonts w:ascii="宋体" w:hAnsi="宋体"/>
                <w:color w:val="000000" w:themeColor="text1"/>
                <w:sz w:val="24"/>
                <w:szCs w:val="24"/>
              </w:rPr>
              <w:t>2</w:t>
            </w:r>
            <w:r>
              <w:rPr>
                <w:rFonts w:hint="eastAsia" w:ascii="宋体" w:hAnsi="宋体"/>
                <w:color w:val="000000" w:themeColor="text1"/>
                <w:sz w:val="24"/>
                <w:szCs w:val="24"/>
              </w:rPr>
              <w:t>分；</w:t>
            </w:r>
          </w:p>
          <w:p>
            <w:pPr>
              <w:adjustRightInd w:val="0"/>
              <w:snapToGrid w:val="0"/>
              <w:spacing w:line="276" w:lineRule="auto"/>
              <w:jc w:val="left"/>
              <w:rPr>
                <w:rFonts w:ascii="宋体" w:hAnsi="宋体"/>
                <w:bCs/>
                <w:color w:val="000000" w:themeColor="text1"/>
                <w:sz w:val="24"/>
                <w:szCs w:val="24"/>
              </w:rPr>
            </w:pPr>
            <w:r>
              <w:rPr>
                <w:rFonts w:hint="eastAsia" w:ascii="宋体" w:hAnsi="宋体"/>
                <w:color w:val="000000" w:themeColor="text1"/>
                <w:sz w:val="24"/>
                <w:szCs w:val="24"/>
              </w:rPr>
              <w:t>3、每增加1名建（构）筑物消防员（或消防设施操作员）的得1分，</w:t>
            </w:r>
            <w:r>
              <w:rPr>
                <w:rFonts w:hint="eastAsia" w:ascii="宋体" w:hAnsi="宋体"/>
                <w:bCs/>
                <w:color w:val="000000" w:themeColor="text1"/>
                <w:sz w:val="24"/>
                <w:szCs w:val="24"/>
              </w:rPr>
              <w:t>本项最高得2分；</w:t>
            </w:r>
          </w:p>
          <w:p>
            <w:pPr>
              <w:adjustRightInd w:val="0"/>
              <w:snapToGrid w:val="0"/>
              <w:spacing w:line="276" w:lineRule="auto"/>
              <w:jc w:val="left"/>
              <w:rPr>
                <w:rFonts w:ascii="宋体" w:hAnsi="宋体"/>
                <w:bCs/>
                <w:color w:val="000000" w:themeColor="text1"/>
                <w:sz w:val="24"/>
                <w:szCs w:val="24"/>
              </w:rPr>
            </w:pPr>
            <w:r>
              <w:rPr>
                <w:rFonts w:hint="eastAsia" w:ascii="宋体" w:hAnsi="宋体"/>
                <w:bCs/>
                <w:color w:val="000000" w:themeColor="text1"/>
                <w:sz w:val="24"/>
                <w:szCs w:val="24"/>
              </w:rPr>
              <w:t>4、每增加1名持有退伍证的得1分，本项最高得</w:t>
            </w:r>
            <w:r>
              <w:rPr>
                <w:rFonts w:ascii="宋体" w:hAnsi="宋体"/>
                <w:bCs/>
                <w:color w:val="000000" w:themeColor="text1"/>
                <w:sz w:val="24"/>
                <w:szCs w:val="24"/>
              </w:rPr>
              <w:t>2</w:t>
            </w:r>
            <w:r>
              <w:rPr>
                <w:rFonts w:hint="eastAsia" w:ascii="宋体" w:hAnsi="宋体"/>
                <w:bCs/>
                <w:color w:val="000000" w:themeColor="text1"/>
                <w:sz w:val="24"/>
                <w:szCs w:val="24"/>
              </w:rPr>
              <w:t>分；</w:t>
            </w:r>
          </w:p>
          <w:p>
            <w:pPr>
              <w:adjustRightInd w:val="0"/>
              <w:snapToGrid w:val="0"/>
              <w:spacing w:line="276" w:lineRule="auto"/>
              <w:jc w:val="left"/>
              <w:rPr>
                <w:b/>
                <w:color w:val="000000" w:themeColor="text1"/>
                <w:sz w:val="24"/>
                <w:szCs w:val="24"/>
              </w:rPr>
            </w:pPr>
            <w:r>
              <w:rPr>
                <w:rFonts w:hint="eastAsia"/>
                <w:b/>
                <w:color w:val="000000" w:themeColor="text1"/>
                <w:sz w:val="24"/>
                <w:szCs w:val="24"/>
              </w:rPr>
              <w:t>注：投标文件中提供上述人员相关证书复印件或影印件及投标人为其人员缴纳的近三个月社保证明作为评标依据（原件备查）。</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4</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投标人荣誉或奖项</w:t>
            </w:r>
          </w:p>
        </w:tc>
        <w:tc>
          <w:tcPr>
            <w:tcW w:w="3252" w:type="pct"/>
            <w:vAlign w:val="center"/>
          </w:tcPr>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自</w:t>
            </w:r>
            <w:r>
              <w:rPr>
                <w:rFonts w:ascii="宋体" w:hAnsi="宋体"/>
                <w:color w:val="000000" w:themeColor="text1"/>
                <w:sz w:val="24"/>
                <w:szCs w:val="24"/>
              </w:rPr>
              <w:t>201</w:t>
            </w:r>
            <w:r>
              <w:rPr>
                <w:rFonts w:hint="eastAsia" w:ascii="宋体" w:hAnsi="宋体"/>
                <w:color w:val="000000" w:themeColor="text1"/>
                <w:sz w:val="24"/>
                <w:szCs w:val="24"/>
              </w:rPr>
              <w:t>9年1月1日以来，投标人获得行政主管部门或省党、工、团组织颁发的安保类荣誉或奖项：</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1、地市级的每1项得2分，最高得4分。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2、省级每1项得4分，最高得4分。</w:t>
            </w:r>
          </w:p>
          <w:p>
            <w:pPr>
              <w:adjustRightInd w:val="0"/>
              <w:snapToGrid w:val="0"/>
              <w:spacing w:line="276" w:lineRule="auto"/>
              <w:jc w:val="left"/>
              <w:rPr>
                <w:rFonts w:ascii="宋体" w:hAnsi="宋体"/>
                <w:b/>
                <w:color w:val="000000" w:themeColor="text1"/>
                <w:sz w:val="24"/>
                <w:szCs w:val="24"/>
              </w:rPr>
            </w:pPr>
            <w:r>
              <w:rPr>
                <w:rFonts w:hint="eastAsia" w:ascii="宋体" w:hAnsi="宋体"/>
                <w:b/>
                <w:color w:val="000000" w:themeColor="text1"/>
                <w:sz w:val="24"/>
                <w:szCs w:val="24"/>
              </w:rPr>
              <w:t>本项最高得8分。</w:t>
            </w:r>
          </w:p>
          <w:p>
            <w:pPr>
              <w:adjustRightInd w:val="0"/>
              <w:snapToGrid w:val="0"/>
              <w:spacing w:line="276" w:lineRule="auto"/>
              <w:jc w:val="left"/>
              <w:rPr>
                <w:rFonts w:ascii="宋体" w:hAnsi="宋体"/>
                <w:color w:val="000000" w:themeColor="text1"/>
                <w:sz w:val="24"/>
                <w:szCs w:val="24"/>
              </w:rPr>
            </w:pPr>
            <w:r>
              <w:rPr>
                <w:rFonts w:hint="eastAsia"/>
                <w:b/>
                <w:color w:val="000000" w:themeColor="text1"/>
                <w:sz w:val="24"/>
                <w:szCs w:val="24"/>
              </w:rPr>
              <w:t>注：投标文件中须提供相关证书扫描件或影印件（证书原件备查）作为评标依据。</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5</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投标人管理体系认证</w:t>
            </w:r>
          </w:p>
        </w:tc>
        <w:tc>
          <w:tcPr>
            <w:tcW w:w="3252" w:type="pct"/>
            <w:vAlign w:val="center"/>
          </w:tcPr>
          <w:p>
            <w:pPr>
              <w:adjustRightInd w:val="0"/>
              <w:snapToGri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投标人具备有效的经中国国家认证认可监督管理委员会认证机构颁发的：质量管理体系认证证书、环境管理体系认证证书、职业健康安全管理体系认证证书、GA/T594-2006保安服务认证证书。</w:t>
            </w:r>
          </w:p>
          <w:p>
            <w:pPr>
              <w:adjustRightInd w:val="0"/>
              <w:snapToGri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每提供一项得1分，满分4分。</w:t>
            </w:r>
          </w:p>
          <w:p>
            <w:pPr>
              <w:adjustRightInd w:val="0"/>
              <w:snapToGrid w:val="0"/>
              <w:spacing w:line="360" w:lineRule="auto"/>
              <w:jc w:val="left"/>
              <w:rPr>
                <w:rFonts w:ascii="宋体" w:hAnsi="宋体"/>
                <w:color w:val="000000" w:themeColor="text1"/>
                <w:sz w:val="24"/>
                <w:szCs w:val="24"/>
              </w:rPr>
            </w:pPr>
            <w:r>
              <w:rPr>
                <w:rFonts w:hint="eastAsia"/>
                <w:b/>
                <w:color w:val="000000" w:themeColor="text1"/>
                <w:sz w:val="24"/>
                <w:szCs w:val="24"/>
              </w:rPr>
              <w:t>注：投标文件中提供证书扫描件（或影印件）和中国国家认证认可监督管理委员会官网查询截图作为评标依据，未提供不得分。</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6</w:t>
            </w:r>
          </w:p>
        </w:tc>
        <w:tc>
          <w:tcPr>
            <w:tcW w:w="548" w:type="pct"/>
            <w:vAlign w:val="center"/>
          </w:tcPr>
          <w:p>
            <w:pPr>
              <w:adjustRightInd w:val="0"/>
              <w:snapToGrid w:val="0"/>
              <w:spacing w:line="0" w:lineRule="atLeast"/>
              <w:jc w:val="center"/>
              <w:rPr>
                <w:rFonts w:ascii="宋体" w:hAnsi="宋体" w:cs="宋体"/>
                <w:b/>
                <w:bCs/>
                <w:color w:val="000000" w:themeColor="text1"/>
                <w:sz w:val="24"/>
                <w:szCs w:val="24"/>
              </w:rPr>
            </w:pPr>
            <w:r>
              <w:rPr>
                <w:rFonts w:hint="eastAsia" w:ascii="宋体" w:hAnsi="宋体"/>
                <w:b/>
                <w:color w:val="000000" w:themeColor="text1"/>
                <w:sz w:val="24"/>
                <w:szCs w:val="24"/>
              </w:rPr>
              <w:t>服务实施方案</w:t>
            </w:r>
          </w:p>
        </w:tc>
        <w:tc>
          <w:tcPr>
            <w:tcW w:w="3252" w:type="pct"/>
            <w:vAlign w:val="center"/>
          </w:tcPr>
          <w:p>
            <w:pPr>
              <w:spacing w:line="440" w:lineRule="exact"/>
              <w:rPr>
                <w:rFonts w:ascii="宋体" w:hAnsi="宋体"/>
                <w:color w:val="000000" w:themeColor="text1"/>
                <w:sz w:val="24"/>
                <w:szCs w:val="24"/>
              </w:rPr>
            </w:pPr>
            <w:r>
              <w:rPr>
                <w:rFonts w:hint="eastAsia" w:ascii="宋体" w:hAnsi="宋体"/>
                <w:color w:val="000000" w:themeColor="text1"/>
                <w:sz w:val="24"/>
                <w:szCs w:val="24"/>
              </w:rPr>
              <w:t>投标人根据为民服务中心项目的特点及需求制定安保服务实施方案：</w:t>
            </w:r>
          </w:p>
          <w:p>
            <w:pPr>
              <w:spacing w:line="440" w:lineRule="exact"/>
              <w:rPr>
                <w:rFonts w:ascii="宋体" w:hAnsi="宋体"/>
                <w:color w:val="000000" w:themeColor="text1"/>
                <w:sz w:val="24"/>
                <w:szCs w:val="24"/>
              </w:rPr>
            </w:pPr>
            <w:r>
              <w:rPr>
                <w:rFonts w:hint="eastAsia" w:ascii="宋体" w:hAnsi="宋体"/>
                <w:color w:val="000000" w:themeColor="text1"/>
                <w:sz w:val="24"/>
                <w:szCs w:val="24"/>
              </w:rPr>
              <w:t>1.对项目的特点及需求分析透彻、实施方案完善、详细，操作流程可行、可靠、具体，制定有针对性的服务质量保障方案和安全保障方案，得10≤F≤15 分；</w:t>
            </w:r>
          </w:p>
          <w:p>
            <w:pPr>
              <w:spacing w:line="440" w:lineRule="exact"/>
              <w:rPr>
                <w:rFonts w:ascii="宋体" w:hAnsi="宋体"/>
                <w:color w:val="000000" w:themeColor="text1"/>
                <w:sz w:val="24"/>
                <w:szCs w:val="24"/>
              </w:rPr>
            </w:pPr>
            <w:r>
              <w:rPr>
                <w:rFonts w:hint="eastAsia" w:ascii="宋体" w:hAnsi="宋体"/>
                <w:color w:val="000000" w:themeColor="text1"/>
                <w:sz w:val="24"/>
                <w:szCs w:val="24"/>
              </w:rPr>
              <w:t>2.对项目的特点及需求分析合理、实施方案合理，操作流程较为可行、具体，有服务质量保障方案和安全保障方案，得5≤F＜10分；</w:t>
            </w:r>
          </w:p>
          <w:p>
            <w:pPr>
              <w:spacing w:line="440" w:lineRule="exact"/>
              <w:rPr>
                <w:rFonts w:ascii="宋体" w:hAnsi="宋体"/>
                <w:color w:val="000000" w:themeColor="text1"/>
                <w:sz w:val="24"/>
                <w:szCs w:val="24"/>
              </w:rPr>
            </w:pPr>
            <w:r>
              <w:rPr>
                <w:rFonts w:hint="eastAsia" w:ascii="宋体" w:hAnsi="宋体"/>
                <w:color w:val="000000" w:themeColor="text1"/>
                <w:sz w:val="24"/>
                <w:szCs w:val="24"/>
              </w:rPr>
              <w:t>3.对项目的特点及需求分析不清晰、实施方案不完善、不详细、未切合本项目的需求及特点进行编制，操作流程可行性差、不可 靠、不具体，无完善的服务质量保障方案和安全保障方案，不能切实保障良好服务，得 1≤F＜5分。</w:t>
            </w:r>
          </w:p>
          <w:p>
            <w:pPr>
              <w:adjustRightInd w:val="0"/>
              <w:snapToGrid w:val="0"/>
              <w:spacing w:line="276" w:lineRule="auto"/>
              <w:jc w:val="left"/>
              <w:rPr>
                <w:rFonts w:ascii="宋体" w:hAnsi="宋体"/>
                <w:color w:val="000000" w:themeColor="text1"/>
                <w:sz w:val="24"/>
                <w:szCs w:val="24"/>
              </w:rPr>
            </w:pPr>
            <w:r>
              <w:rPr>
                <w:rFonts w:hint="eastAsia" w:ascii="宋体" w:hAnsi="宋体"/>
                <w:color w:val="000000" w:themeColor="text1"/>
                <w:sz w:val="24"/>
                <w:szCs w:val="24"/>
              </w:rPr>
              <w:t>4.</w:t>
            </w:r>
            <w:r>
              <w:rPr>
                <w:rFonts w:ascii="宋体" w:hAnsi="宋体"/>
                <w:color w:val="000000" w:themeColor="text1"/>
                <w:sz w:val="24"/>
                <w:szCs w:val="24"/>
              </w:rPr>
              <w:t>未提供相关</w:t>
            </w:r>
            <w:r>
              <w:rPr>
                <w:rFonts w:hint="eastAsia" w:ascii="宋体" w:hAnsi="宋体"/>
                <w:color w:val="000000" w:themeColor="text1"/>
                <w:sz w:val="24"/>
                <w:szCs w:val="24"/>
              </w:rPr>
              <w:t>服务方案</w:t>
            </w:r>
            <w:r>
              <w:rPr>
                <w:rFonts w:ascii="宋体" w:hAnsi="宋体"/>
                <w:color w:val="000000" w:themeColor="text1"/>
                <w:sz w:val="24"/>
                <w:szCs w:val="24"/>
              </w:rPr>
              <w:t>的不得分</w:t>
            </w:r>
            <w:r>
              <w:rPr>
                <w:rFonts w:hint="eastAsia" w:ascii="宋体" w:hAnsi="宋体"/>
                <w:color w:val="000000" w:themeColor="text1"/>
                <w:sz w:val="24"/>
                <w:szCs w:val="24"/>
              </w:rPr>
              <w:t>。</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470" w:type="pct"/>
            <w:vAlign w:val="center"/>
          </w:tcPr>
          <w:p>
            <w:pPr>
              <w:adjustRightInd w:val="0"/>
              <w:snapToGrid w:val="0"/>
              <w:spacing w:line="0" w:lineRule="atLeast"/>
              <w:jc w:val="center"/>
              <w:rPr>
                <w:rFonts w:ascii="宋体" w:hAnsi="宋体"/>
                <w:color w:val="000000" w:themeColor="text1"/>
                <w:sz w:val="24"/>
                <w:szCs w:val="24"/>
              </w:rPr>
            </w:pPr>
            <w:r>
              <w:rPr>
                <w:rFonts w:hint="eastAsia" w:ascii="宋体" w:hAnsi="宋体"/>
                <w:color w:val="000000" w:themeColor="text1"/>
                <w:sz w:val="24"/>
                <w:szCs w:val="24"/>
              </w:rPr>
              <w:t>7</w:t>
            </w:r>
          </w:p>
        </w:tc>
        <w:tc>
          <w:tcPr>
            <w:tcW w:w="54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应急  预案</w:t>
            </w:r>
          </w:p>
        </w:tc>
        <w:tc>
          <w:tcPr>
            <w:tcW w:w="3252" w:type="pct"/>
            <w:vAlign w:val="center"/>
          </w:tcPr>
          <w:p>
            <w:pPr>
              <w:adjustRightInd w:val="0"/>
              <w:snapToGri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投标人对日常保安管理以及各级重大活动工作或出现临时突发事件的紧急处理方案及保障措施，消防、防恐防爆、上访等应急处置预案进行评分：</w:t>
            </w:r>
          </w:p>
          <w:p>
            <w:pPr>
              <w:adjustRightInd w:val="0"/>
              <w:snapToGri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较优的，得8＜F≤12分；良好的，得5＜F≤8分；一般的，得3＜F≤5分，未提供的不得分。</w:t>
            </w:r>
          </w:p>
        </w:tc>
        <w:tc>
          <w:tcPr>
            <w:tcW w:w="728" w:type="pct"/>
            <w:vAlign w:val="center"/>
          </w:tcPr>
          <w:p>
            <w:pPr>
              <w:adjustRightInd w:val="0"/>
              <w:snapToGrid w:val="0"/>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470" w:type="pct"/>
            <w:vAlign w:val="center"/>
          </w:tcPr>
          <w:p>
            <w:pPr>
              <w:spacing w:line="0" w:lineRule="atLeast"/>
              <w:jc w:val="center"/>
              <w:rPr>
                <w:rFonts w:ascii="宋体" w:hAnsi="宋体"/>
                <w:b/>
                <w:color w:val="000000" w:themeColor="text1"/>
                <w:sz w:val="24"/>
                <w:szCs w:val="24"/>
              </w:rPr>
            </w:pPr>
            <w:r>
              <w:rPr>
                <w:rFonts w:hint="eastAsia" w:ascii="宋体" w:hAnsi="宋体"/>
                <w:b/>
                <w:color w:val="000000" w:themeColor="text1"/>
                <w:sz w:val="24"/>
                <w:szCs w:val="24"/>
              </w:rPr>
              <w:t>8</w:t>
            </w:r>
          </w:p>
        </w:tc>
        <w:tc>
          <w:tcPr>
            <w:tcW w:w="548" w:type="pct"/>
            <w:vAlign w:val="center"/>
          </w:tcPr>
          <w:p>
            <w:pPr>
              <w:spacing w:line="0" w:lineRule="atLeast"/>
              <w:rPr>
                <w:rFonts w:ascii="宋体" w:hAnsi="宋体"/>
                <w:b/>
                <w:color w:val="000000" w:themeColor="text1"/>
                <w:sz w:val="24"/>
                <w:szCs w:val="24"/>
              </w:rPr>
            </w:pPr>
            <w:r>
              <w:rPr>
                <w:rFonts w:hint="eastAsia" w:ascii="宋体" w:hAnsi="宋体"/>
                <w:b/>
                <w:color w:val="000000" w:themeColor="text1"/>
                <w:sz w:val="24"/>
                <w:szCs w:val="24"/>
              </w:rPr>
              <w:t>合计</w:t>
            </w:r>
          </w:p>
        </w:tc>
        <w:tc>
          <w:tcPr>
            <w:tcW w:w="3252" w:type="pct"/>
            <w:vAlign w:val="center"/>
          </w:tcPr>
          <w:p>
            <w:pPr>
              <w:spacing w:line="0" w:lineRule="atLeast"/>
              <w:rPr>
                <w:rFonts w:ascii="宋体" w:hAnsi="宋体"/>
                <w:b/>
                <w:color w:val="000000" w:themeColor="text1"/>
                <w:sz w:val="24"/>
                <w:szCs w:val="24"/>
              </w:rPr>
            </w:pPr>
          </w:p>
        </w:tc>
        <w:tc>
          <w:tcPr>
            <w:tcW w:w="728" w:type="pct"/>
            <w:vAlign w:val="center"/>
          </w:tcPr>
          <w:p>
            <w:pPr>
              <w:spacing w:line="0" w:lineRule="atLeast"/>
              <w:jc w:val="center"/>
              <w:rPr>
                <w:rFonts w:ascii="宋体" w:hAnsi="宋体"/>
                <w:b/>
                <w:color w:val="000000" w:themeColor="text1"/>
                <w:sz w:val="24"/>
                <w:szCs w:val="24"/>
              </w:rPr>
            </w:pPr>
            <w:r>
              <w:rPr>
                <w:rFonts w:ascii="宋体" w:hAnsi="宋体"/>
                <w:b/>
                <w:color w:val="000000" w:themeColor="text1"/>
                <w:sz w:val="24"/>
                <w:szCs w:val="24"/>
              </w:rPr>
              <w:t>70</w:t>
            </w:r>
            <w:r>
              <w:rPr>
                <w:rFonts w:hint="eastAsia" w:ascii="宋体" w:hAnsi="宋体"/>
                <w:b/>
                <w:color w:val="000000" w:themeColor="text1"/>
                <w:sz w:val="24"/>
                <w:szCs w:val="24"/>
              </w:rPr>
              <w:t>分</w:t>
            </w:r>
          </w:p>
        </w:tc>
      </w:tr>
    </w:tbl>
    <w:p>
      <w:pPr>
        <w:pStyle w:val="50"/>
        <w:rPr>
          <w:color w:val="000000" w:themeColor="text1"/>
        </w:rPr>
      </w:pPr>
    </w:p>
    <w:p>
      <w:pPr>
        <w:pStyle w:val="50"/>
        <w:rPr>
          <w:color w:val="000000" w:themeColor="text1"/>
        </w:rPr>
      </w:pPr>
    </w:p>
    <w:p>
      <w:pPr>
        <w:adjustRightInd w:val="0"/>
        <w:snapToGrid w:val="0"/>
        <w:spacing w:line="360" w:lineRule="auto"/>
        <w:ind w:right="-10"/>
        <w:rPr>
          <w:rFonts w:ascii="宋体" w:hAnsi="宋体"/>
          <w:bCs/>
          <w:color w:val="000000" w:themeColor="text1"/>
          <w:sz w:val="24"/>
        </w:rPr>
      </w:pPr>
    </w:p>
    <w:p>
      <w:pPr>
        <w:spacing w:line="360" w:lineRule="auto"/>
        <w:rPr>
          <w:rFonts w:ascii="宋体" w:hAnsi="宋体"/>
          <w:b/>
          <w:color w:val="000000" w:themeColor="text1"/>
          <w:sz w:val="24"/>
          <w:szCs w:val="24"/>
        </w:rPr>
      </w:pPr>
      <w:r>
        <w:rPr>
          <w:rFonts w:hint="eastAsia" w:ascii="宋体" w:hAnsi="宋体"/>
          <w:b/>
          <w:color w:val="000000" w:themeColor="text1"/>
          <w:sz w:val="24"/>
          <w:szCs w:val="24"/>
        </w:rPr>
        <w:t>8.3报价部分得分计算（30分）</w:t>
      </w:r>
    </w:p>
    <w:p>
      <w:pPr>
        <w:adjustRightInd w:val="0"/>
        <w:snapToGrid w:val="0"/>
        <w:spacing w:line="360" w:lineRule="auto"/>
        <w:ind w:right="-10"/>
        <w:rPr>
          <w:rFonts w:ascii="宋体" w:hAnsi="宋体"/>
          <w:bCs/>
          <w:color w:val="000000" w:themeColor="text1"/>
          <w:sz w:val="24"/>
          <w:szCs w:val="24"/>
        </w:rPr>
      </w:pPr>
      <w:r>
        <w:rPr>
          <w:rFonts w:hint="eastAsia" w:ascii="宋体" w:hAnsi="宋体"/>
          <w:bCs/>
          <w:color w:val="000000" w:themeColor="text1"/>
          <w:sz w:val="24"/>
          <w:szCs w:val="24"/>
        </w:rPr>
        <w:t>依据通过初审的有效投标人名单，其投标人的报价部分得分按照以下方式计算：</w:t>
      </w:r>
    </w:p>
    <w:tbl>
      <w:tblPr>
        <w:tblStyle w:val="51"/>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54"/>
        <w:gridCol w:w="654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4"/>
                <w:szCs w:val="24"/>
              </w:rPr>
            </w:pPr>
            <w:r>
              <w:rPr>
                <w:rFonts w:hint="eastAsia" w:ascii="宋体" w:hAnsi="宋体"/>
                <w:b/>
                <w:color w:val="000000" w:themeColor="text1"/>
                <w:sz w:val="24"/>
                <w:szCs w:val="24"/>
              </w:rPr>
              <w:t>报价部分</w:t>
            </w:r>
          </w:p>
        </w:tc>
        <w:tc>
          <w:tcPr>
            <w:tcW w:w="10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最终投标报价</w:t>
            </w:r>
          </w:p>
        </w:tc>
        <w:tc>
          <w:tcPr>
            <w:tcW w:w="6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r>
              <w:rPr>
                <w:rFonts w:hint="eastAsia" w:ascii="宋体" w:hAnsi="宋体"/>
                <w:color w:val="000000" w:themeColor="text1"/>
                <w:sz w:val="24"/>
                <w:szCs w:val="24"/>
              </w:rPr>
              <w:t>价格分统一采用有效最低价法，即满足招标文件要求且投标价格最低的投标报价为评标基准价，其价格分为满分。其他投标人的价格分统一按照下列公式计算：投标报价得分＝（评标基准价/投标报价）×</w:t>
            </w:r>
            <w:r>
              <w:rPr>
                <w:rFonts w:hint="eastAsia" w:ascii="宋体" w:hAnsi="宋体"/>
                <w:color w:val="000000" w:themeColor="text1"/>
                <w:sz w:val="24"/>
                <w:szCs w:val="24"/>
                <w:u w:val="single"/>
              </w:rPr>
              <w:t>30</w:t>
            </w:r>
            <w:r>
              <w:rPr>
                <w:rFonts w:hint="eastAsia" w:ascii="宋体" w:hAnsi="宋体"/>
                <w:color w:val="000000" w:themeColor="text1"/>
                <w:sz w:val="24"/>
                <w:szCs w:val="24"/>
              </w:rPr>
              <w:t>％×100</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0-</w:t>
            </w:r>
            <w:r>
              <w:rPr>
                <w:rFonts w:hint="eastAsia" w:ascii="宋体" w:hAnsi="宋体" w:cs="宋体"/>
                <w:b/>
                <w:color w:val="000000" w:themeColor="text1"/>
                <w:kern w:val="0"/>
                <w:sz w:val="24"/>
                <w:szCs w:val="24"/>
                <w:u w:val="single"/>
              </w:rPr>
              <w:t>30</w:t>
            </w:r>
            <w:r>
              <w:rPr>
                <w:rFonts w:hint="eastAsia" w:ascii="宋体" w:hAnsi="宋体" w:cs="宋体"/>
                <w:b/>
                <w:color w:val="000000" w:themeColor="text1"/>
                <w:kern w:val="0"/>
                <w:sz w:val="24"/>
                <w:szCs w:val="24"/>
              </w:rPr>
              <w:t>分</w:t>
            </w:r>
          </w:p>
        </w:tc>
      </w:tr>
    </w:tbl>
    <w:p>
      <w:pPr>
        <w:adjustRightInd w:val="0"/>
        <w:snapToGrid w:val="0"/>
        <w:spacing w:line="360" w:lineRule="auto"/>
        <w:ind w:right="-10" w:firstLine="482" w:firstLineChars="200"/>
        <w:rPr>
          <w:rFonts w:ascii="宋体" w:hAnsi="宋体"/>
          <w:color w:val="000000" w:themeColor="text1"/>
          <w:sz w:val="24"/>
        </w:rPr>
      </w:pPr>
      <w:bookmarkStart w:id="53" w:name="_Toc220232391"/>
      <w:r>
        <w:rPr>
          <w:rFonts w:hint="eastAsia" w:ascii="宋体" w:hAnsi="宋体"/>
          <w:b/>
          <w:color w:val="000000" w:themeColor="text1"/>
          <w:sz w:val="24"/>
          <w:szCs w:val="24"/>
        </w:rPr>
        <w:t>8.4确定中标候选人</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8.4.1计算最终得分</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将每个有效投标人的商务、技术部分得分加报价部分得分，得出该投标人的最终得分。</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投标人的各项得分均</w:t>
      </w:r>
      <w:bookmarkStart w:id="54" w:name="_Hlk514730679"/>
      <w:r>
        <w:rPr>
          <w:rFonts w:hint="eastAsia" w:ascii="宋体" w:hAnsi="宋体"/>
          <w:bCs/>
          <w:color w:val="000000" w:themeColor="text1"/>
          <w:sz w:val="24"/>
        </w:rPr>
        <w:t>保留小数点后两位（小数点后第三位四舍五入）</w:t>
      </w:r>
      <w:bookmarkEnd w:id="54"/>
      <w:r>
        <w:rPr>
          <w:rFonts w:hint="eastAsia" w:ascii="宋体" w:hAnsi="宋体"/>
          <w:bCs/>
          <w:color w:val="000000" w:themeColor="text1"/>
          <w:sz w:val="24"/>
        </w:rPr>
        <w:t>。</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8.4.2按照有效投标人最终得分由高到低排出中标候选人。</w:t>
      </w:r>
    </w:p>
    <w:p>
      <w:pPr>
        <w:adjustRightInd w:val="0"/>
        <w:snapToGrid w:val="0"/>
        <w:spacing w:line="360" w:lineRule="auto"/>
        <w:ind w:right="-10" w:firstLine="420" w:firstLineChars="175"/>
        <w:rPr>
          <w:rFonts w:ascii="宋体" w:hAnsi="宋体"/>
          <w:bCs/>
          <w:color w:val="000000" w:themeColor="text1"/>
          <w:sz w:val="24"/>
        </w:rPr>
      </w:pPr>
      <w:r>
        <w:rPr>
          <w:rFonts w:hint="eastAsia" w:ascii="宋体" w:hAnsi="宋体"/>
          <w:bCs/>
          <w:color w:val="000000" w:themeColor="text1"/>
          <w:sz w:val="24"/>
        </w:rPr>
        <w:t>最终得分相同的，按技术部分得分由高到低顺序排序。技术部分得分及最终得分均相同的，</w:t>
      </w:r>
      <w:bookmarkStart w:id="55" w:name="_Hlk514735510"/>
      <w:r>
        <w:rPr>
          <w:rFonts w:hint="eastAsia" w:ascii="宋体" w:hAnsi="宋体"/>
          <w:bCs/>
          <w:color w:val="000000" w:themeColor="text1"/>
          <w:sz w:val="24"/>
        </w:rPr>
        <w:t>则采取评标委员会抽签方式确定其前后次序。</w:t>
      </w:r>
      <w:bookmarkEnd w:id="55"/>
    </w:p>
    <w:p>
      <w:pPr>
        <w:adjustRightInd w:val="0"/>
        <w:snapToGrid w:val="0"/>
        <w:spacing w:line="360" w:lineRule="auto"/>
        <w:ind w:right="-10" w:firstLine="422" w:firstLineChars="175"/>
        <w:rPr>
          <w:rFonts w:ascii="宋体" w:hAnsi="宋体"/>
          <w:bCs/>
          <w:color w:val="000000" w:themeColor="text1"/>
          <w:sz w:val="24"/>
        </w:rPr>
      </w:pPr>
      <w:r>
        <w:rPr>
          <w:rFonts w:hint="eastAsia" w:ascii="宋体" w:hAnsi="宋体"/>
          <w:b/>
          <w:bCs/>
          <w:color w:val="000000" w:themeColor="text1"/>
          <w:sz w:val="24"/>
        </w:rPr>
        <w:t>9.</w:t>
      </w:r>
      <w:r>
        <w:rPr>
          <w:rFonts w:hint="eastAsia" w:ascii="宋体" w:hAnsi="宋体"/>
          <w:bCs/>
          <w:color w:val="000000" w:themeColor="text1"/>
          <w:sz w:val="24"/>
        </w:rPr>
        <w:t>各投标人的得分一经得出，并核对无误后，任何人不得更改。</w:t>
      </w:r>
    </w:p>
    <w:p>
      <w:pPr>
        <w:pStyle w:val="20"/>
        <w:spacing w:line="360" w:lineRule="auto"/>
        <w:ind w:right="-10"/>
        <w:rPr>
          <w:rFonts w:ascii="宋体" w:hAnsi="宋体"/>
          <w:color w:val="000000" w:themeColor="text1"/>
          <w:sz w:val="24"/>
        </w:rPr>
      </w:pPr>
      <w:r>
        <w:rPr>
          <w:rFonts w:hint="eastAsia" w:ascii="宋体" w:hAnsi="宋体"/>
          <w:b/>
          <w:color w:val="000000" w:themeColor="text1"/>
          <w:sz w:val="24"/>
        </w:rPr>
        <w:t>10.</w:t>
      </w:r>
      <w:r>
        <w:rPr>
          <w:rFonts w:hint="eastAsia" w:ascii="宋体" w:hAnsi="宋体"/>
          <w:color w:val="000000" w:themeColor="text1"/>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000000" w:themeColor="text1"/>
          <w:sz w:val="24"/>
        </w:rPr>
      </w:pPr>
      <w:r>
        <w:rPr>
          <w:rFonts w:hint="eastAsia" w:ascii="宋体" w:hAnsi="宋体"/>
          <w:b/>
          <w:color w:val="000000" w:themeColor="text1"/>
          <w:sz w:val="24"/>
        </w:rPr>
        <w:t>11.</w:t>
      </w:r>
      <w:r>
        <w:rPr>
          <w:rFonts w:hint="eastAsia" w:ascii="宋体" w:hAnsi="宋体"/>
          <w:color w:val="000000" w:themeColor="text1"/>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000000" w:themeColor="text1"/>
          <w:sz w:val="24"/>
        </w:rPr>
      </w:pPr>
      <w:r>
        <w:rPr>
          <w:rFonts w:hint="eastAsia" w:ascii="宋体" w:hAnsi="宋体"/>
          <w:b/>
          <w:color w:val="000000" w:themeColor="text1"/>
          <w:sz w:val="24"/>
        </w:rPr>
        <w:t>12.</w:t>
      </w:r>
      <w:r>
        <w:rPr>
          <w:rFonts w:hint="eastAsia" w:ascii="宋体" w:hAnsi="宋体"/>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000000" w:themeColor="text1"/>
          <w:sz w:val="24"/>
        </w:rPr>
      </w:pPr>
      <w:r>
        <w:rPr>
          <w:rFonts w:hint="eastAsia" w:ascii="宋体" w:hAnsi="宋体"/>
          <w:b/>
          <w:color w:val="000000" w:themeColor="text1"/>
          <w:sz w:val="24"/>
        </w:rPr>
        <w:t>13.</w:t>
      </w:r>
      <w:r>
        <w:rPr>
          <w:rFonts w:hint="eastAsia" w:ascii="宋体" w:hAnsi="宋体"/>
          <w:color w:val="000000" w:themeColor="text1"/>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000000" w:themeColor="text1"/>
          <w:sz w:val="24"/>
        </w:rPr>
      </w:pPr>
      <w:r>
        <w:rPr>
          <w:rFonts w:hint="eastAsia" w:ascii="宋体" w:hAnsi="宋体"/>
          <w:b/>
          <w:bCs/>
          <w:color w:val="000000" w:themeColor="text1"/>
          <w:sz w:val="24"/>
        </w:rPr>
        <w:t>14.</w:t>
      </w:r>
      <w:r>
        <w:rPr>
          <w:rFonts w:hint="eastAsia" w:ascii="宋体" w:hAnsi="宋体"/>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000000" w:themeColor="text1"/>
          <w:sz w:val="24"/>
        </w:rPr>
      </w:pPr>
      <w:r>
        <w:rPr>
          <w:rFonts w:hint="eastAsia" w:ascii="宋体" w:hAnsi="宋体"/>
          <w:b/>
          <w:bCs/>
          <w:color w:val="000000" w:themeColor="text1"/>
          <w:sz w:val="24"/>
        </w:rPr>
        <w:t>15.</w:t>
      </w:r>
      <w:r>
        <w:rPr>
          <w:rFonts w:hint="eastAsia" w:ascii="宋体" w:hAnsi="宋体"/>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rFonts w:ascii="宋体" w:hAnsi="宋体"/>
          <w:bCs/>
          <w:color w:val="000000" w:themeColor="text1"/>
          <w:sz w:val="24"/>
        </w:rPr>
      </w:pPr>
      <w:r>
        <w:rPr>
          <w:rFonts w:hint="eastAsia" w:ascii="宋体" w:hAnsi="宋体"/>
          <w:b/>
          <w:bCs/>
          <w:color w:val="000000" w:themeColor="text1"/>
          <w:sz w:val="24"/>
        </w:rPr>
        <w:t>16.</w:t>
      </w:r>
      <w:r>
        <w:rPr>
          <w:rFonts w:hint="eastAsia" w:ascii="宋体" w:hAnsi="宋体"/>
          <w:bCs/>
          <w:color w:val="000000" w:themeColor="text1"/>
          <w:sz w:val="24"/>
        </w:rPr>
        <w:t>在评标过程中，评委及其他评标工作人员必须对评标情况严格保密，任何人不得将评标情况透露给与投标人有关的单位和个人</w:t>
      </w:r>
      <w:bookmarkStart w:id="56" w:name="_Toc531011540"/>
    </w:p>
    <w:p>
      <w:pPr>
        <w:pStyle w:val="19"/>
        <w:spacing w:line="360" w:lineRule="auto"/>
        <w:ind w:firstLine="482" w:firstLineChars="200"/>
        <w:rPr>
          <w:rFonts w:hAnsi="宋体" w:cs="黑体"/>
          <w:b/>
          <w:color w:val="000000" w:themeColor="text1"/>
          <w:sz w:val="24"/>
          <w:szCs w:val="24"/>
        </w:rPr>
      </w:pPr>
      <w:r>
        <w:rPr>
          <w:rFonts w:hint="eastAsia" w:hAnsi="宋体"/>
          <w:b/>
          <w:bCs/>
          <w:color w:val="000000" w:themeColor="text1"/>
          <w:sz w:val="24"/>
        </w:rPr>
        <w:t>1</w:t>
      </w:r>
      <w:r>
        <w:rPr>
          <w:rFonts w:hAnsi="宋体"/>
          <w:b/>
          <w:bCs/>
          <w:color w:val="000000" w:themeColor="text1"/>
          <w:sz w:val="24"/>
        </w:rPr>
        <w:t>7.</w:t>
      </w:r>
      <w:r>
        <w:rPr>
          <w:rFonts w:hint="eastAsia" w:hAnsi="宋体" w:cs="黑体"/>
          <w:b/>
          <w:color w:val="000000" w:themeColor="text1"/>
          <w:sz w:val="24"/>
          <w:szCs w:val="24"/>
        </w:rPr>
        <w:t>其他</w:t>
      </w:r>
    </w:p>
    <w:p>
      <w:pPr>
        <w:pStyle w:val="138"/>
        <w:spacing w:line="360" w:lineRule="auto"/>
        <w:ind w:firstLine="482" w:firstLineChars="200"/>
        <w:rPr>
          <w:rFonts w:ascii="宋体" w:hAnsi="宋体"/>
          <w:b/>
          <w:color w:val="000000" w:themeColor="text1"/>
          <w:sz w:val="24"/>
        </w:rPr>
      </w:pPr>
      <w:r>
        <w:rPr>
          <w:rFonts w:hint="eastAsia" w:ascii="宋体" w:hAnsi="宋体"/>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themeColor="text1"/>
          <w:sz w:val="24"/>
        </w:rPr>
        <w:t>。</w:t>
      </w:r>
    </w:p>
    <w:p>
      <w:pPr>
        <w:rPr>
          <w:color w:val="000000" w:themeColor="text1"/>
        </w:rPr>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4"/>
        <w:spacing w:line="500" w:lineRule="exact"/>
        <w:rPr>
          <w:rFonts w:ascii="宋体" w:hAnsi="宋体" w:eastAsia="宋体"/>
          <w:color w:val="000000" w:themeColor="text1"/>
        </w:rPr>
      </w:pPr>
      <w:bookmarkStart w:id="57" w:name="_Toc2669"/>
      <w:r>
        <w:rPr>
          <w:rFonts w:hint="eastAsia" w:ascii="宋体" w:hAnsi="宋体" w:eastAsia="宋体"/>
          <w:color w:val="000000" w:themeColor="text1"/>
        </w:rPr>
        <w:t>第六章</w:t>
      </w:r>
      <w:bookmarkStart w:id="58" w:name="_Toc220232392"/>
      <w:r>
        <w:rPr>
          <w:rFonts w:hint="eastAsia" w:ascii="宋体" w:hAnsi="宋体" w:eastAsia="宋体"/>
          <w:color w:val="000000" w:themeColor="text1"/>
        </w:rPr>
        <w:t xml:space="preserve"> 合同</w:t>
      </w:r>
      <w:bookmarkEnd w:id="56"/>
      <w:bookmarkEnd w:id="57"/>
      <w:bookmarkEnd w:id="58"/>
    </w:p>
    <w:p>
      <w:pPr>
        <w:spacing w:line="480" w:lineRule="exact"/>
        <w:jc w:val="center"/>
        <w:rPr>
          <w:rFonts w:ascii="宋体" w:hAnsi="宋体"/>
          <w:b/>
          <w:bCs/>
          <w:color w:val="000000" w:themeColor="text1"/>
          <w:sz w:val="32"/>
          <w:szCs w:val="32"/>
        </w:rPr>
      </w:pPr>
      <w:r>
        <w:rPr>
          <w:rFonts w:hint="eastAsia" w:ascii="宋体" w:hAnsi="宋体"/>
          <w:b/>
          <w:bCs/>
          <w:color w:val="000000" w:themeColor="text1"/>
          <w:sz w:val="32"/>
          <w:szCs w:val="32"/>
        </w:rPr>
        <w:t>保安劳务外包服务合同</w:t>
      </w:r>
    </w:p>
    <w:p>
      <w:pPr>
        <w:spacing w:line="480" w:lineRule="exact"/>
        <w:jc w:val="center"/>
        <w:rPr>
          <w:color w:val="000000" w:themeColor="text1"/>
          <w:sz w:val="18"/>
          <w:szCs w:val="18"/>
        </w:rPr>
      </w:pPr>
    </w:p>
    <w:p>
      <w:pPr>
        <w:spacing w:line="530" w:lineRule="exact"/>
        <w:jc w:val="left"/>
        <w:rPr>
          <w:rFonts w:ascii="宋体" w:hAnsi="宋体" w:cs="宋体"/>
          <w:color w:val="000000" w:themeColor="text1"/>
          <w:sz w:val="24"/>
          <w:szCs w:val="24"/>
        </w:rPr>
      </w:pPr>
      <w:r>
        <w:rPr>
          <w:rFonts w:hint="eastAsia" w:ascii="宋体" w:hAnsi="宋体" w:cs="宋体"/>
          <w:b/>
          <w:bCs/>
          <w:color w:val="000000" w:themeColor="text1"/>
          <w:sz w:val="24"/>
          <w:szCs w:val="24"/>
        </w:rPr>
        <w:t>用工单位（以下简称甲方）</w:t>
      </w:r>
      <w:r>
        <w:rPr>
          <w:rFonts w:hint="eastAsia" w:ascii="宋体" w:hAnsi="宋体" w:cs="宋体"/>
          <w:color w:val="000000" w:themeColor="text1"/>
          <w:sz w:val="24"/>
          <w:szCs w:val="24"/>
        </w:rPr>
        <w:t>：</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地址： </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法定代表人： </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电话：</w:t>
      </w:r>
    </w:p>
    <w:p>
      <w:pPr>
        <w:adjustRightInd w:val="0"/>
        <w:snapToGrid w:val="0"/>
        <w:spacing w:line="530" w:lineRule="exact"/>
        <w:jc w:val="left"/>
        <w:rPr>
          <w:rFonts w:ascii="宋体" w:hAnsi="宋体" w:cs="仿宋"/>
          <w:color w:val="000000" w:themeColor="text1"/>
          <w:sz w:val="24"/>
          <w:szCs w:val="24"/>
        </w:rPr>
      </w:pPr>
    </w:p>
    <w:p>
      <w:pPr>
        <w:spacing w:line="530" w:lineRule="exact"/>
        <w:jc w:val="left"/>
        <w:rPr>
          <w:rFonts w:ascii="宋体" w:hAnsi="宋体" w:cs="宋体"/>
          <w:color w:val="000000" w:themeColor="text1"/>
          <w:sz w:val="24"/>
          <w:szCs w:val="24"/>
        </w:rPr>
      </w:pPr>
      <w:r>
        <w:rPr>
          <w:rFonts w:hint="eastAsia" w:ascii="宋体" w:hAnsi="宋体" w:cs="宋体"/>
          <w:b/>
          <w:bCs/>
          <w:color w:val="000000" w:themeColor="text1"/>
          <w:sz w:val="24"/>
          <w:szCs w:val="24"/>
        </w:rPr>
        <w:t>外包单位（以下简称乙方）：</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地址： </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法定代表人： </w:t>
      </w:r>
    </w:p>
    <w:p>
      <w:pPr>
        <w:spacing w:line="530" w:lineRule="exact"/>
        <w:jc w:val="left"/>
        <w:rPr>
          <w:rFonts w:ascii="宋体" w:hAnsi="宋体" w:cs="宋体"/>
          <w:color w:val="000000" w:themeColor="text1"/>
          <w:sz w:val="24"/>
          <w:szCs w:val="24"/>
        </w:rPr>
      </w:pPr>
      <w:r>
        <w:rPr>
          <w:rFonts w:hint="eastAsia" w:ascii="宋体" w:hAnsi="宋体" w:cs="宋体"/>
          <w:color w:val="000000" w:themeColor="text1"/>
          <w:sz w:val="24"/>
          <w:szCs w:val="24"/>
        </w:rPr>
        <w:t>电话：</w:t>
      </w:r>
    </w:p>
    <w:p>
      <w:pPr>
        <w:spacing w:line="530" w:lineRule="exact"/>
        <w:ind w:firstLine="480" w:firstLineChars="200"/>
        <w:rPr>
          <w:rFonts w:ascii="宋体" w:hAnsi="宋体" w:cs="宋体"/>
          <w:color w:val="000000" w:themeColor="text1"/>
          <w:sz w:val="24"/>
          <w:szCs w:val="24"/>
        </w:rPr>
      </w:pPr>
    </w:p>
    <w:p>
      <w:pPr>
        <w:tabs>
          <w:tab w:val="left" w:pos="-709"/>
        </w:tabs>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甲乙双方按照国家相关法律法规，本着诚信及互利互惠的原则，就甲方将其管理的合肥市为民服务中心项目保安工作岗位的工作任务委托乙方的相关事宜达成如下协议：</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一、协议标的的定义</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甲方将其管理的【合肥市为民服务中心项目】保安岗位的工作任务委托给乙方，乙方按甲方的职责要求完成工作任务。甲方按双方的约定结算方式支付给乙方相应的承包服务费。</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二、合同期限及费用</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2.1本协议的期限自【   】年【  】月【  】日起至【  】年【  】月【 】日止。本协议期满【 】个月前，双方另行商议，以书面的形式确定协议的终止或续签，续签次数不超过2次。（如遇甲方与业主单位签订的合肥市为民服务中心物业服务合同终止，所签订的合肥市为民服务中心项目保安外包合作协议书立即终止，双方互不追究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2.2乙方的委托服务费用为：**元/月（大写：****），暂定年合同价***元（大写：***）。前述服务费用金额为本合同要求乙方所配备的保安岗位满勤状态下的费用金额，甲方实际需支付的服务费根据对乙方所配备保安岗位的考勤、考核结果据实结算。若因甲方项目服务需求或不可抗力导致实际服务的保安岗位未达到满勤的状态，则甲方有权下调对应的服务费用，乙方对此无异议。</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2.3服务费用构成：前款约定的服务费为乙方完成本合同项下义务的全部服务费用，除本合同另有约定外，甲方无须向乙方或者其他任何第三方另付任何费用。在合同履行期间不再因任何原因而调整服务费用。</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2.4支付方式为：分两次支付合同款，第一次支付时间为合同签订三个月后15日内支付该三个月的服务费用的100%（具体支付金额为扣除相应考核扣款后的金额）；第二次支付时间为五个月合同结束后15日内支付后两个月服务费用的100%。（具体支付金额为扣除相应考核扣款后的金额）。支付由乙方提出申请，附相关材料，经甲方书面确认并收到乙方提供与双方核定金额等额且合法有效的增值税专用发票（税率为5 %）后，甲方安排付款。</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2.5乙方指定收款银行信息：</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单位名称：</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开户银行：</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银行账户：</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2.6甲方每次付款前，乙方应按照甲方核定的服务费开具正规的增值税专用发票（税率为5 %），甲方收到发票后15日内向乙方付款。甲方未收到发票或乙方提供的发票不合要求的，甲方有权延迟或拒绝付款，且不承担违约责任，乙方的各项权利义务仍按照本合同约定履行。</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三、甲方的权利及义务</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3.1甲方权利</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3.1.1甲方有权安排任务，并定期监督、检查、考核乙方及及其保安工作情况。若因乙方管理不善，给甲方造成重大经济损失、信誉损害等，同时，甲方有权解除合同，乙方需向甲方赔偿由此产生的全部损失。</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3.1.2甲方有权要求乙方对不适合现场秩序维护工作的人员进行调整和更换，经调整或更换的人员上岗前需经甲方同意。</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3.1.3甲方可根据项目实际情况需要对人数进行调整，费用按现行费用标准进行计算。</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3.1.4在合同期间因乙方管理原因引发安全事故达到3次以上（含3次）或合作期间乙方不能满足甲方保安岗位保安服务工作需要，经整改后仍未能达到甲方要求的，甲方有权单方解除合同，且不承担任何违约责任，同时，甲方有权向乙方主张因此导致的甲方损失。</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3.1.5甲方有权要求乙方配合物业管理服务的整体工作，乙方应无条件予以配合支持。</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3.2甲方义务</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3.2.1在乙方所提供保安岗位保安服务符合甲方考核标准时，甲方按时支付服务费用。</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3.2.2甲方对乙方提出的安全隐患报告应及时答复和改进，制定并执行内部安全防范规章制度，教育本公司员工配合和支持乙方保安履行秩序维护规章制度。</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3.2.3甲方有义务提供书面秩序维护规章制度及要求，以便乙方更好工作。</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四、乙方的权利及义务</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4.1乙方权利</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4.1.1乙方有了解甲方保安岗位保安服务工作所需相关资料和工作要求的权利。</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4.1.2乙方有按时收取保安岗位保安服务费用的权利。</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4.2乙方义务</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4.2.1乙方有训练、考勤、教育、奖惩保安的义务。</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4.2.2乙方有对物业服务内容及业主、物业使用人相关信息进行保密的义务，且本条约定的保密义务，即使本合同提前解除或合同履行完毕，乙方仍须遵守。</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4.2.3乙方对因其保安监守自盗给甲方造成损失承担全部的法律和经济责任。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4.2.4乙方落实防火、防盗、防破坏等安全防范措施，发现责任区内的安全隐患，及时向甲方报告并协助予以处理。</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4.2.5乙方必须加强保安在岗培训、监督和管理，确保安全服务的优质高效。</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4.2.6乙方自行购置的保安服装款式、颜色等需与甲方保安岗位保安人员一致。</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4.2.7严格执行甲方制订的秩序维护岗位职责和秩序维护规章制度。</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4.2.8乙方不得将本合同议定项目直接或间接转包或分包给第三方及其他个人。</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4.2.9乙方每月定期以书面形式向甲方提交本月工作总结、服务督察情况报告、次月工作及培训计划，并及时参加甲方的工作例会。根据例会要求调整月度工作计划并报甲方备案。</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4.2.10乙方应教育其保安严格按相关标准和规范进行操作，如因提供本合同服务项目造成自身、甲方工作人员或任何第三方人身或财产损害的，由乙方自行承担法律责任，如给甲方造成损失或增加费用的，乙方应负赔偿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4.2.11乙方应依法与保安人员签订书面劳动合同，并办理各种正式用工手续（办理社会保险、发放工资福利等），工资必须按月及时、足额支付保安人员。乙方与保安人员之间的劳动争议及其他纠纷均由乙方自行负责，如因此给甲方造成损失的，乙方须向甲方承担赔偿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4.2.12甲方不因签署、执行本合同及对乙方人员实施现场监管而与乙方人员建立劳动或劳务关系，也不因此代乙方对其人员承担任何责任。乙方负责依法与保安签订书面劳动合同并办理相关保险。乙方与保安的劳动纠纷和人身伤亡均由乙方负责，与甲方无关。</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4.2.13乙方对新上岗保安，应进行健康体检和政审，经确认体检、政审合格者方可安排到本项目工作。</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4.2.14乙方还应履行其他与乙方职责有关的义务。</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五、岗位职责要求</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5.1管理服务区域岗位配置要求：</w:t>
      </w:r>
    </w:p>
    <w:tbl>
      <w:tblPr>
        <w:tblStyle w:val="51"/>
        <w:tblW w:w="8866" w:type="dxa"/>
        <w:tblInd w:w="534" w:type="dxa"/>
        <w:tblLayout w:type="autofit"/>
        <w:tblCellMar>
          <w:top w:w="0" w:type="dxa"/>
          <w:left w:w="108" w:type="dxa"/>
          <w:bottom w:w="0" w:type="dxa"/>
          <w:right w:w="108" w:type="dxa"/>
        </w:tblCellMar>
      </w:tblPr>
      <w:tblGrid>
        <w:gridCol w:w="871"/>
        <w:gridCol w:w="2411"/>
        <w:gridCol w:w="2209"/>
        <w:gridCol w:w="1934"/>
        <w:gridCol w:w="1441"/>
      </w:tblGrid>
      <w:tr>
        <w:tblPrEx>
          <w:tblCellMar>
            <w:top w:w="0" w:type="dxa"/>
            <w:left w:w="108" w:type="dxa"/>
            <w:bottom w:w="0" w:type="dxa"/>
            <w:right w:w="108" w:type="dxa"/>
          </w:tblCellMar>
        </w:tblPrEx>
        <w:trPr>
          <w:trHeight w:val="568" w:hRule="atLeast"/>
        </w:trPr>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4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保安服务岗位 </w:t>
            </w:r>
          </w:p>
        </w:tc>
        <w:tc>
          <w:tcPr>
            <w:tcW w:w="22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岗位数（个）</w:t>
            </w:r>
          </w:p>
        </w:tc>
        <w:tc>
          <w:tcPr>
            <w:tcW w:w="1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岗位时间</w:t>
            </w:r>
          </w:p>
        </w:tc>
        <w:tc>
          <w:tcPr>
            <w:tcW w:w="14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保安领班</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1#楼A区门岗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1#楼B区1号门门岗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1#楼B区2号门门岗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1#楼B区3号门门岗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4"/>
              </w:rPr>
              <w:t>白班</w:t>
            </w: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2#楼门岗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noWrap/>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1#楼A区消防分控室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2#楼消防分控室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2"/>
              </w:rPr>
              <w:t>9</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1#楼B区消防总控室</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8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w:t>
            </w:r>
          </w:p>
        </w:tc>
        <w:tc>
          <w:tcPr>
            <w:tcW w:w="241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bCs/>
                <w:kern w:val="0"/>
                <w:sz w:val="22"/>
              </w:rPr>
            </w:pPr>
            <w:r>
              <w:rPr>
                <w:rFonts w:hint="eastAsia" w:ascii="仿宋_GB2312" w:hAnsi="宋体" w:eastAsia="仿宋_GB2312" w:cs="宋体"/>
                <w:bCs/>
                <w:kern w:val="0"/>
                <w:sz w:val="22"/>
              </w:rPr>
              <w:t>巡逻岗</w:t>
            </w:r>
          </w:p>
        </w:tc>
        <w:tc>
          <w:tcPr>
            <w:tcW w:w="220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934" w:type="dxa"/>
            <w:tcBorders>
              <w:top w:val="nil"/>
              <w:left w:val="nil"/>
              <w:bottom w:val="single" w:color="auto" w:sz="4" w:space="0"/>
              <w:right w:val="single" w:color="auto" w:sz="4" w:space="0"/>
            </w:tcBorders>
            <w:shd w:val="clear" w:color="auto" w:fill="auto"/>
          </w:tcPr>
          <w:p>
            <w:pPr>
              <w:jc w:val="center"/>
            </w:pPr>
            <w:r>
              <w:rPr>
                <w:rFonts w:hint="eastAsia" w:ascii="仿宋_GB2312" w:hAnsi="宋体" w:eastAsia="仿宋_GB2312" w:cs="宋体"/>
                <w:color w:val="000000"/>
                <w:kern w:val="0"/>
                <w:sz w:val="24"/>
              </w:rPr>
              <w:t>24小时</w:t>
            </w:r>
          </w:p>
        </w:tc>
        <w:tc>
          <w:tcPr>
            <w:tcW w:w="144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350" w:hRule="atLeast"/>
        </w:trPr>
        <w:tc>
          <w:tcPr>
            <w:tcW w:w="3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9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4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bl>
    <w:p>
      <w:pPr>
        <w:spacing w:line="460" w:lineRule="exact"/>
        <w:ind w:firstLine="482" w:firstLineChars="200"/>
        <w:rPr>
          <w:rFonts w:ascii="宋体" w:hAnsi="宋体"/>
          <w:sz w:val="24"/>
        </w:rPr>
      </w:pPr>
      <w:r>
        <w:rPr>
          <w:rFonts w:hint="eastAsia" w:ascii="宋体" w:hAnsi="宋体"/>
          <w:b/>
          <w:sz w:val="24"/>
          <w:szCs w:val="24"/>
        </w:rPr>
        <w:t>5.2工作时间：</w:t>
      </w:r>
      <w:r>
        <w:rPr>
          <w:rFonts w:hint="eastAsia" w:ascii="宋体" w:hAnsi="宋体"/>
          <w:sz w:val="24"/>
        </w:rPr>
        <w:t>保安实行24小时岗位工作制，负责服务区域每天24小时的秩序维护和安全保卫事务，确保白班保安人员不少于12人，夜班保安人员不少于11人。派驻人员在服务过程中，如需更换，应征得甲方同意。</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5.3基本要求：</w:t>
      </w:r>
    </w:p>
    <w:p>
      <w:pPr>
        <w:spacing w:line="460" w:lineRule="exact"/>
        <w:ind w:firstLine="480" w:firstLineChars="200"/>
        <w:rPr>
          <w:rFonts w:hint="eastAsia" w:ascii="宋体" w:hAnsi="宋体"/>
          <w:sz w:val="24"/>
        </w:rPr>
      </w:pPr>
      <w:r>
        <w:rPr>
          <w:rFonts w:hint="eastAsia" w:ascii="宋体" w:hAnsi="宋体"/>
          <w:sz w:val="24"/>
        </w:rPr>
        <w:t>5.3.1领班及保安人员有一年以上相关任职经历。</w:t>
      </w:r>
    </w:p>
    <w:p>
      <w:pPr>
        <w:spacing w:line="460" w:lineRule="exact"/>
        <w:ind w:firstLine="480" w:firstLineChars="200"/>
        <w:rPr>
          <w:rFonts w:hint="eastAsia" w:ascii="宋体" w:hAnsi="宋体"/>
          <w:sz w:val="24"/>
        </w:rPr>
      </w:pPr>
      <w:r>
        <w:rPr>
          <w:rFonts w:hint="eastAsia" w:ascii="宋体" w:hAnsi="宋体"/>
          <w:sz w:val="24"/>
        </w:rPr>
        <w:t>5.3.2男性员工年龄须在20—55周岁（其中白班岗位45岁以下不少于5人）。身高165米以上，工作认真负责并定期接受专业培训。</w:t>
      </w:r>
    </w:p>
    <w:p>
      <w:pPr>
        <w:spacing w:line="460" w:lineRule="exact"/>
        <w:ind w:firstLine="480" w:firstLineChars="200"/>
        <w:rPr>
          <w:rFonts w:hint="eastAsia" w:ascii="宋体" w:hAnsi="宋体"/>
          <w:sz w:val="24"/>
        </w:rPr>
      </w:pPr>
      <w:r>
        <w:rPr>
          <w:rFonts w:hint="eastAsia" w:ascii="宋体" w:hAnsi="宋体"/>
          <w:sz w:val="24"/>
        </w:rPr>
        <w:t>5.3.3身体健康（无高血压、心脏病、哮喘等急性病症，视线良好），初中以上文化程度，无犯罪记录，无纹身，具有服务意识，退伍军人和有安全员工作经历者优先，入职前需经甲方面试通过后方可录用，消防监控人员必须持证上岗（中级证）。</w:t>
      </w:r>
    </w:p>
    <w:p>
      <w:pPr>
        <w:spacing w:line="460" w:lineRule="exact"/>
        <w:ind w:firstLine="480" w:firstLineChars="200"/>
        <w:rPr>
          <w:rFonts w:hint="eastAsia" w:ascii="宋体" w:hAnsi="宋体"/>
          <w:sz w:val="24"/>
        </w:rPr>
      </w:pPr>
      <w:r>
        <w:rPr>
          <w:rFonts w:hint="eastAsia" w:ascii="宋体" w:hAnsi="宋体"/>
          <w:sz w:val="24"/>
        </w:rPr>
        <w:t>5.3.4文化程度：初中以上文化程度。</w:t>
      </w:r>
    </w:p>
    <w:p>
      <w:pPr>
        <w:spacing w:line="460" w:lineRule="exact"/>
        <w:ind w:firstLine="480" w:firstLineChars="200"/>
        <w:rPr>
          <w:rFonts w:hint="eastAsia" w:ascii="宋体" w:hAnsi="宋体"/>
          <w:sz w:val="24"/>
        </w:rPr>
      </w:pPr>
      <w:r>
        <w:rPr>
          <w:rFonts w:hint="eastAsia" w:ascii="宋体" w:hAnsi="宋体"/>
          <w:sz w:val="24"/>
        </w:rPr>
        <w:t>5.3.5职业素质：为人诚实、工作认真、服从领导、具有较强的工作责任心。热爱本职工作，认真履行职责，忠于职守，在紧急关头能够挺身而出，保护业主安全。</w:t>
      </w:r>
    </w:p>
    <w:p>
      <w:pPr>
        <w:spacing w:line="460" w:lineRule="exact"/>
        <w:ind w:firstLine="480" w:firstLineChars="200"/>
        <w:rPr>
          <w:rFonts w:hint="eastAsia" w:ascii="宋体" w:hAnsi="宋体"/>
          <w:sz w:val="24"/>
        </w:rPr>
      </w:pPr>
      <w:r>
        <w:rPr>
          <w:rFonts w:hint="eastAsia" w:ascii="宋体" w:hAnsi="宋体"/>
          <w:sz w:val="24"/>
        </w:rPr>
        <w:t>5.3.6固定派驻人员，无故不得更换。</w:t>
      </w:r>
    </w:p>
    <w:p>
      <w:pPr>
        <w:spacing w:line="460" w:lineRule="exact"/>
        <w:ind w:firstLine="480" w:firstLineChars="200"/>
        <w:rPr>
          <w:rFonts w:hint="eastAsia" w:ascii="宋体" w:hAnsi="宋体"/>
          <w:sz w:val="24"/>
        </w:rPr>
      </w:pPr>
      <w:r>
        <w:rPr>
          <w:rFonts w:hint="eastAsia" w:ascii="宋体" w:hAnsi="宋体"/>
          <w:sz w:val="24"/>
        </w:rPr>
        <w:t>5.3.7五官端正、遵守劳动纪律，服从项目管理。</w:t>
      </w:r>
    </w:p>
    <w:p>
      <w:pPr>
        <w:spacing w:line="460" w:lineRule="exact"/>
        <w:ind w:firstLine="480" w:firstLineChars="200"/>
        <w:rPr>
          <w:rFonts w:ascii="宋体" w:hAnsi="宋体"/>
          <w:sz w:val="24"/>
        </w:rPr>
      </w:pPr>
      <w:r>
        <w:rPr>
          <w:rFonts w:hint="eastAsia" w:ascii="宋体" w:hAnsi="宋体"/>
          <w:sz w:val="24"/>
        </w:rPr>
        <w:t>5.3.8经过专业培训，工作积极主动、认真细致。</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5.4纪律要求</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5.4.1保安人员着装整齐整洁，应统一着装并佩带胸卡。服装、胸卡、保安装备由乙方配备。</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5.4.2保安人员的操作装备应按甲方要求在指定地点整齐堆放。</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5.4.3保安人员在规定的工作时间段内做好安保工作，不得迟到及早退。</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5.4.4保安人员班次组合应保持相对稳定，保安人员上岗时未经许可不得相互替代，有事不能上岗者应提前一天向乙方管理人员请假，经批准方可离岗，同时乙方须向甲方汇报换岗情况。</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5.4.5上岗时间不得进行与保安工作无关的事情。</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5.4.6保安人员之间不得发生争吵、打骂事件。</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5.5制度要求</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5.5.1乙方派驻项目的所有工作人员必须服从甲方内部相关规章制度、现场管理要求，以及其委托管理方制订的相关规定。</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5.5.2乙方须制定并提供所需要的相关管理制度、作业流程等给甲方审查、备案。</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5.6安全要求</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5.6.1乙方员工必须经过保安知识和技能培训，并提供培训记录给甲方备案。</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5.6.2乙方员工在上岗前必须经过安全生产、消防安全和操作规程等培训，保证每个上岗员工熟知必要的安全规则、消防知识、行车安全规定等，并提供培训记录给甲方备案。</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5.6.3保安人员培训考核合格后方可上岗，甲方有权对上岗员工进行检查。</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5.7服务要求</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5.7.1相关秩序维护服务人员的招聘、政审、培训、行政人事管理等；</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5.7.2全力配合甲方项目日常物业管理服务工作；</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5.7.3公共区域的秩序、治安、消防、车辆、物品、人员、门岗、防盗防偷等事项管理服务；</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5.7.4各类应急预案的制定、演练及实际应用；</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5.7.5乙方秩序维护服务工作须服从甲方物业的统一管理，并接受甲方或甲方指定单位的考核管理。</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5.7.6项目交给的其它工作任务。</w:t>
      </w:r>
    </w:p>
    <w:p>
      <w:pPr>
        <w:spacing w:line="480" w:lineRule="exact"/>
        <w:ind w:firstLine="482" w:firstLineChars="200"/>
        <w:jc w:val="left"/>
        <w:rPr>
          <w:rFonts w:ascii="宋体" w:hAnsi="宋体"/>
          <w:b/>
          <w:color w:val="000000"/>
          <w:sz w:val="24"/>
          <w:szCs w:val="24"/>
        </w:rPr>
      </w:pPr>
      <w:r>
        <w:rPr>
          <w:rFonts w:hint="eastAsia" w:ascii="宋体" w:hAnsi="宋体"/>
          <w:b/>
          <w:color w:val="000000"/>
          <w:sz w:val="24"/>
          <w:szCs w:val="24"/>
        </w:rPr>
        <w:t>6、当项目遇大型活动、接待或突发事件时，乙方须按甲方的通知要求配合进行保安工作。</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六、考核</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6.1甲方每月不定期采取普查与随机抽查相结合的方法，对乙方进行考核。</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6.2甲方每月开展的质量评审主要以周检结果为依据，并采取每周联合检查的形式。其中，周检查采取百分制，满分为一百分，每发现一处扣1分。周考核达到90分，不扣减合同款；周考核分低于90分，扣减当月合同款的10%；周考核分低于85者，扣减当月合同款的15%，周考核分低于80分，扣减当月合同款的20%，同时甲方有权解除合同。</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6.3甲方在不定期检查中，发现以下严重不合格项情况之一，甲方有权直接扣除乙方月合同款的5%（不定期检查不计入周检结果中）：</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6.3.1在同一周的检查中，发现经甲方指出的错误重复出现三次；</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6.3.2在规定的整改时间内未完成整改项目（因不可抗力原因而无法完成的除外）；</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6.3.3其他有违职业操守或业主（使用人）及来访人员等意见较大，经查证属实的行为或结果等；</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6.3.4员工无故离岗时间超过10分钟或当值时间内发生与工作明显无关的行为扣除20-50元；</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6.4禁止乙方发生保安与甲方、业主（使用人）及来访人员等发生打骂、斗殴等纠纷，每发生一次争吵，扣除乙方月合同款的5%；发生打架斗殴行为，并扣除乙方月合同款的10%，依次类推；另乙方应立即调换人员，如责任在乙方保安的，还应承担全部的法律和经济责任。</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6.5乙方保安人员月流动率不得超过10%，当流动率在10%-20%间时扣除乙方合同总款的5%，当流动率在20%-30%间时扣除乙方合同总款的10%，累计三个月人员流动率超出30%时，甲方有权单方解除合同。</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6.6合同履行期间，若因甲方失去物业管理权而导致本合同无法履行的，本合同自动终止，双方互不承担违约责任；</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6.7因下列情形之一发生的，甲方有权单方解除合同并可扣留乙方服务费用；由此给甲方造成的经济损失，乙方仍应赔偿：</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6.7.1乙方严重违反合同约定，影响物业形象、降低服务质量、服务质量难以为继或导致甲方其它方面的严重损害，经甲方书面警告仍无效果的；</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6.7.2在国家、省、市、区等各级检查和创优等质量评比过程中，保安服务未能达标准的；</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6.7.3乙方将本合同权利义务分包或变相转包的。</w:t>
      </w:r>
    </w:p>
    <w:p>
      <w:pPr>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6.8甲方依据本合同有关约定解除合同的，甲方以书面形式通知乙方，合同自甲方送达通知之日即产生解除的效力。乙方应按甲方要求撤离所配备的保安人员。</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七、履约保证金</w:t>
      </w:r>
    </w:p>
    <w:p>
      <w:pPr>
        <w:spacing w:line="480" w:lineRule="exact"/>
        <w:ind w:firstLine="480" w:firstLineChars="200"/>
        <w:rPr>
          <w:rFonts w:ascii="宋体" w:hAnsi="宋体" w:cs="宋体"/>
          <w:b/>
          <w:bCs/>
          <w:color w:val="000000"/>
          <w:sz w:val="24"/>
          <w:szCs w:val="24"/>
        </w:rPr>
      </w:pPr>
      <w:r>
        <w:rPr>
          <w:rFonts w:hint="eastAsia" w:ascii="宋体" w:hAnsi="宋体"/>
          <w:sz w:val="24"/>
          <w:szCs w:val="24"/>
        </w:rPr>
        <w:t>7.1履约保证金数额：合同暂定总金额元的</w:t>
      </w:r>
      <w:r>
        <w:rPr>
          <w:rFonts w:hint="eastAsia" w:ascii="宋体" w:hAnsi="宋体"/>
          <w:sz w:val="24"/>
          <w:szCs w:val="24"/>
          <w:u w:val="single"/>
        </w:rPr>
        <w:t xml:space="preserve"> 5 </w:t>
      </w:r>
      <w:r>
        <w:rPr>
          <w:rFonts w:hint="eastAsia" w:ascii="宋体" w:hAnsi="宋体"/>
          <w:sz w:val="24"/>
          <w:szCs w:val="24"/>
        </w:rPr>
        <w:t>％，金额：（￥元）。</w:t>
      </w:r>
    </w:p>
    <w:p>
      <w:pPr>
        <w:spacing w:line="480" w:lineRule="exact"/>
        <w:ind w:left="1079" w:leftChars="228" w:hanging="600" w:hangingChars="250"/>
        <w:jc w:val="left"/>
        <w:rPr>
          <w:rFonts w:ascii="宋体" w:hAnsi="宋体"/>
          <w:sz w:val="24"/>
          <w:szCs w:val="24"/>
        </w:rPr>
      </w:pPr>
      <w:r>
        <w:rPr>
          <w:rFonts w:hint="eastAsia" w:ascii="宋体" w:hAnsi="宋体"/>
          <w:sz w:val="24"/>
          <w:szCs w:val="24"/>
        </w:rPr>
        <w:t>7.2收受方式为：银行转账至甲方账户。</w:t>
      </w:r>
    </w:p>
    <w:p>
      <w:pPr>
        <w:spacing w:line="480" w:lineRule="exact"/>
        <w:ind w:left="212" w:leftChars="101" w:firstLine="240" w:firstLineChars="100"/>
        <w:jc w:val="left"/>
        <w:rPr>
          <w:rFonts w:ascii="宋体" w:hAnsi="宋体"/>
          <w:sz w:val="24"/>
          <w:szCs w:val="24"/>
        </w:rPr>
      </w:pPr>
      <w:r>
        <w:rPr>
          <w:rFonts w:hint="eastAsia" w:ascii="宋体" w:hAnsi="宋体"/>
          <w:sz w:val="24"/>
          <w:szCs w:val="24"/>
        </w:rPr>
        <w:t>7.3提交时限：合同签订前乙方按规定向甲方提交履约保证金，若乙方在规定时限内未提交保证金的，甲方将书面通知乙方，5日内不能办理的，甲方将取消其中标资格。</w:t>
      </w:r>
    </w:p>
    <w:p>
      <w:pPr>
        <w:spacing w:line="480" w:lineRule="exact"/>
        <w:ind w:left="212" w:leftChars="101" w:firstLine="360" w:firstLineChars="150"/>
        <w:jc w:val="left"/>
        <w:rPr>
          <w:rFonts w:ascii="宋体" w:hAnsi="宋体"/>
          <w:sz w:val="24"/>
          <w:szCs w:val="24"/>
        </w:rPr>
      </w:pPr>
      <w:r>
        <w:rPr>
          <w:rFonts w:hint="eastAsia" w:ascii="宋体" w:hAnsi="宋体"/>
          <w:sz w:val="24"/>
          <w:szCs w:val="24"/>
        </w:rPr>
        <w:t>7.4退还：合同履行期满三个月，且乙方无违约行为，一次性退还履约保证金（无息），否则甲方有权不予退还履约保证金。</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八、违约责任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8.1在乙方完全履行本合同项下义务的情况下，甲方无故未按期支付乙方本协议项下的劳务服务费用，经乙方书面催告后超过10个工作日未付的，每逾期一日，应按全国银行间同业拆借中心公布的贷款市场报价利率支付应付未付款的违约金，除此之外甲方不承担其他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8.2乙方违反本合同相关约定，或未能达到合同约定的管理目标，甲方有权要求乙方限期整改，逾期未整改，甲方有权扣除当期（季度）服务费用5%直至解除合同，造成甲方经济损失的，乙方应给予相应的经济赔偿。甲方未予扣除的，并不视为放弃相应权利。</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8.3乙方违反中国有关法律法规和本合同的其他规定的，甲方有权终止本协议的履行；因乙方原因导致本协议终止的（包括甲方行使解除权），乙方应并承担全年委托服务费30%的违约金。</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8.4因乙方违约造成甲方损失的，乙方还应赔偿甲方为维护自身合法权益而支出的包括但不限于诉讼费、律师费、保全费、担保费、差旅费、文印费、保险费、保全担保费等一切支出。</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8.5因乙方原因导致甲方承担赔偿责任的（包括但不限于乙方与指派员工之间的争议纠纷、工伤纠纷等），甲方除了有权向乙方全额追偿之外，乙方还应向甲方支付全年委托服务费30%的违约金。</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8.6乙方必须重视安全管理工作，合同期间，乙方保安由于操作不规范等因素造成的安全责任事故，造成乙方自身或其他任何人员人身或者财产损失的，由乙方承担一切责任及损失，如给甲方造成损失的，乙方应负赔偿责任。</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8.7甲方有权从应支付给乙方的款项中扣除相应的违约金、赔偿金等应由乙方支付的款项，不足抵扣的，甲方有权就不足部分继续向乙方追偿，乙方对此无异议，但甲方未扣除的并不视为对权利的放弃。</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8.8无论以何种原因导致合同解除或终止后乙方应当在十个工作日内向甲方移交合同履行过程中的相关物品及材料并完成撤场，逾期未完成的则应当按照咨询服务费的日万分之五承担违约责任。</w:t>
      </w:r>
    </w:p>
    <w:p>
      <w:pPr>
        <w:spacing w:line="48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九、其他</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9.1关于本协议的任何争议，甲乙双方应协商解决，不能解决的，任何一方均有权向甲方所在地有管辖权的人民法院诉讼。</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9.2如甲方需要乙方提供本补充协议以外的服务项目，采取一事一议的方式另行结算费用。</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9.3本协议未尽事宜，由双方以书面形式进行补充约定。</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9.4本合同一式肆份，双方各执两份，均具有同等法律效力。协议自双方签字盖章之日起生效。</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9.5双方同意，合同载明的地址为双方约定的法律文书送达地址，寄往该地址的各类法律文书，自交邮之日起3日后视为送达之日。任何一方地址有变动的，应提前15日以书面形式通知另一方，否则视为地址未变动。</w:t>
      </w: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9.6本合同中的附件属于合同组成部分的相关有效文件，均为本合同不可分割的部分，与本合同具有同等的法律效力。</w:t>
      </w:r>
    </w:p>
    <w:p>
      <w:pPr>
        <w:spacing w:line="480" w:lineRule="exact"/>
        <w:ind w:firstLine="480" w:firstLineChars="200"/>
        <w:rPr>
          <w:rFonts w:ascii="宋体" w:hAnsi="宋体" w:cs="宋体"/>
          <w:color w:val="000000"/>
          <w:sz w:val="24"/>
          <w:szCs w:val="24"/>
        </w:rPr>
      </w:pPr>
    </w:p>
    <w:p>
      <w:pPr>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（以下无正文，为合同签署页）</w:t>
      </w:r>
    </w:p>
    <w:p>
      <w:pPr>
        <w:spacing w:line="480" w:lineRule="exact"/>
        <w:ind w:firstLine="480" w:firstLineChars="200"/>
        <w:rPr>
          <w:rFonts w:ascii="宋体" w:hAnsi="宋体" w:cs="宋体"/>
          <w:color w:val="000000" w:themeColor="text1"/>
          <w:sz w:val="24"/>
          <w:szCs w:val="24"/>
        </w:rPr>
      </w:pPr>
    </w:p>
    <w:p>
      <w:pPr>
        <w:spacing w:line="480" w:lineRule="exact"/>
        <w:ind w:firstLine="420"/>
        <w:rPr>
          <w:rFonts w:ascii="宋体" w:hAnsi="宋体"/>
          <w:color w:val="000000" w:themeColor="text1"/>
          <w:sz w:val="24"/>
          <w:szCs w:val="24"/>
        </w:rPr>
      </w:pPr>
    </w:p>
    <w:p>
      <w:pPr>
        <w:adjustRightInd w:val="0"/>
        <w:snapToGrid w:val="0"/>
        <w:spacing w:line="480" w:lineRule="exact"/>
        <w:rPr>
          <w:rFonts w:ascii="宋体" w:hAnsi="宋体" w:cs="宋体"/>
          <w:b/>
          <w:bCs/>
          <w:color w:val="000000" w:themeColor="text1"/>
          <w:sz w:val="24"/>
          <w:szCs w:val="24"/>
        </w:rPr>
      </w:pPr>
      <w:r>
        <w:rPr>
          <w:rFonts w:hint="eastAsia" w:ascii="宋体" w:hAnsi="宋体" w:cs="宋体"/>
          <w:b/>
          <w:bCs/>
          <w:color w:val="000000" w:themeColor="text1"/>
          <w:sz w:val="24"/>
          <w:szCs w:val="24"/>
        </w:rPr>
        <w:t>甲方（盖章）：</w:t>
      </w:r>
    </w:p>
    <w:p>
      <w:pPr>
        <w:adjustRightInd w:val="0"/>
        <w:snapToGrid w:val="0"/>
        <w:spacing w:line="480" w:lineRule="exact"/>
        <w:rPr>
          <w:rFonts w:ascii="宋体" w:hAnsi="宋体" w:cs="宋体"/>
          <w:color w:val="000000" w:themeColor="text1"/>
          <w:sz w:val="24"/>
          <w:szCs w:val="24"/>
        </w:rPr>
      </w:pPr>
      <w:r>
        <w:rPr>
          <w:rFonts w:hint="eastAsia" w:ascii="宋体" w:hAnsi="宋体" w:cs="宋体"/>
          <w:color w:val="000000" w:themeColor="text1"/>
          <w:sz w:val="24"/>
          <w:szCs w:val="24"/>
        </w:rPr>
        <w:t>法定代表人/授权代理人（签字）：</w:t>
      </w:r>
    </w:p>
    <w:p>
      <w:pPr>
        <w:adjustRightInd w:val="0"/>
        <w:snapToGrid w:val="0"/>
        <w:spacing w:line="480" w:lineRule="exact"/>
        <w:rPr>
          <w:rFonts w:ascii="宋体" w:hAnsi="宋体" w:cs="宋体"/>
          <w:color w:val="000000" w:themeColor="text1"/>
          <w:sz w:val="24"/>
          <w:szCs w:val="24"/>
        </w:rPr>
      </w:pPr>
      <w:r>
        <w:rPr>
          <w:rFonts w:hint="eastAsia" w:ascii="宋体" w:hAnsi="宋体" w:cs="宋体"/>
          <w:color w:val="000000" w:themeColor="text1"/>
          <w:sz w:val="24"/>
          <w:szCs w:val="24"/>
        </w:rPr>
        <w:t>签约日期：  年  月  日</w:t>
      </w:r>
    </w:p>
    <w:p>
      <w:pPr>
        <w:adjustRightInd w:val="0"/>
        <w:snapToGrid w:val="0"/>
        <w:spacing w:line="480" w:lineRule="exact"/>
        <w:rPr>
          <w:rFonts w:ascii="宋体" w:hAnsi="宋体" w:cs="宋体"/>
          <w:color w:val="000000" w:themeColor="text1"/>
          <w:sz w:val="24"/>
          <w:szCs w:val="24"/>
        </w:rPr>
      </w:pPr>
    </w:p>
    <w:p>
      <w:pPr>
        <w:adjustRightInd w:val="0"/>
        <w:snapToGrid w:val="0"/>
        <w:spacing w:line="480" w:lineRule="exact"/>
        <w:rPr>
          <w:rFonts w:ascii="宋体" w:hAnsi="宋体" w:cs="宋体"/>
          <w:color w:val="000000" w:themeColor="text1"/>
          <w:sz w:val="24"/>
          <w:szCs w:val="24"/>
        </w:rPr>
      </w:pPr>
    </w:p>
    <w:p>
      <w:pPr>
        <w:pStyle w:val="2"/>
        <w:ind w:firstLine="480"/>
        <w:rPr>
          <w:rFonts w:ascii="宋体" w:hAnsi="宋体"/>
          <w:color w:val="000000" w:themeColor="text1"/>
          <w:sz w:val="24"/>
        </w:rPr>
      </w:pPr>
    </w:p>
    <w:p>
      <w:pPr>
        <w:adjustRightInd w:val="0"/>
        <w:snapToGrid w:val="0"/>
        <w:spacing w:line="480" w:lineRule="exact"/>
        <w:rPr>
          <w:rFonts w:ascii="宋体" w:hAnsi="宋体" w:cs="宋体"/>
          <w:b/>
          <w:bCs/>
          <w:color w:val="000000" w:themeColor="text1"/>
          <w:sz w:val="24"/>
          <w:szCs w:val="24"/>
        </w:rPr>
      </w:pPr>
      <w:r>
        <w:rPr>
          <w:rFonts w:hint="eastAsia" w:ascii="宋体" w:hAnsi="宋体" w:cs="宋体"/>
          <w:b/>
          <w:bCs/>
          <w:color w:val="000000" w:themeColor="text1"/>
          <w:sz w:val="24"/>
          <w:szCs w:val="24"/>
        </w:rPr>
        <w:t>乙方（盖章）：</w:t>
      </w:r>
    </w:p>
    <w:p>
      <w:pPr>
        <w:adjustRightInd w:val="0"/>
        <w:snapToGrid w:val="0"/>
        <w:spacing w:line="480" w:lineRule="exact"/>
        <w:rPr>
          <w:rFonts w:ascii="宋体" w:hAnsi="宋体" w:cs="宋体"/>
          <w:color w:val="000000" w:themeColor="text1"/>
          <w:sz w:val="24"/>
          <w:szCs w:val="24"/>
        </w:rPr>
      </w:pPr>
      <w:r>
        <w:rPr>
          <w:rFonts w:hint="eastAsia" w:ascii="宋体" w:hAnsi="宋体" w:cs="宋体"/>
          <w:color w:val="000000" w:themeColor="text1"/>
          <w:sz w:val="24"/>
          <w:szCs w:val="24"/>
        </w:rPr>
        <w:t>法定代表人/授权代理人（签字）：</w:t>
      </w:r>
    </w:p>
    <w:p>
      <w:pPr>
        <w:adjustRightInd w:val="0"/>
        <w:snapToGrid w:val="0"/>
        <w:spacing w:line="480" w:lineRule="exact"/>
        <w:rPr>
          <w:rFonts w:ascii="宋体" w:hAnsi="宋体" w:cs="宋体"/>
          <w:color w:val="000000" w:themeColor="text1"/>
          <w:sz w:val="24"/>
          <w:szCs w:val="24"/>
        </w:rPr>
      </w:pPr>
      <w:r>
        <w:rPr>
          <w:rFonts w:hint="eastAsia" w:ascii="宋体" w:hAnsi="宋体" w:cs="宋体"/>
          <w:color w:val="000000" w:themeColor="text1"/>
          <w:sz w:val="24"/>
          <w:szCs w:val="24"/>
        </w:rPr>
        <w:t>签约日期：  年  月 日</w:t>
      </w:r>
    </w:p>
    <w:p>
      <w:pPr>
        <w:pStyle w:val="50"/>
        <w:ind w:left="0" w:leftChars="0" w:firstLine="0" w:firstLineChars="0"/>
        <w:rPr>
          <w:color w:val="000000" w:themeColor="text1"/>
        </w:rPr>
      </w:pPr>
    </w:p>
    <w:p>
      <w:pPr>
        <w:adjustRightInd w:val="0"/>
        <w:snapToGrid w:val="0"/>
        <w:spacing w:line="540" w:lineRule="exact"/>
        <w:rPr>
          <w:rFonts w:ascii="仿宋_GB2312" w:eastAsia="仿宋_GB2312"/>
          <w:b/>
          <w:color w:val="000000" w:themeColor="text1"/>
          <w:sz w:val="24"/>
        </w:rPr>
      </w:pPr>
      <w:r>
        <w:rPr>
          <w:rFonts w:hint="eastAsia" w:ascii="仿宋_GB2312" w:eastAsia="仿宋_GB2312"/>
          <w:b/>
          <w:color w:val="000000" w:themeColor="text1"/>
          <w:sz w:val="24"/>
        </w:rPr>
        <w:t>附件：</w:t>
      </w:r>
    </w:p>
    <w:tbl>
      <w:tblPr>
        <w:tblStyle w:val="51"/>
        <w:tblW w:w="0" w:type="auto"/>
        <w:jc w:val="center"/>
        <w:tblLayout w:type="fixed"/>
        <w:tblCellMar>
          <w:top w:w="0" w:type="dxa"/>
          <w:left w:w="108" w:type="dxa"/>
          <w:bottom w:w="0" w:type="dxa"/>
          <w:right w:w="108" w:type="dxa"/>
        </w:tblCellMar>
      </w:tblPr>
      <w:tblGrid>
        <w:gridCol w:w="692"/>
        <w:gridCol w:w="6442"/>
        <w:gridCol w:w="787"/>
        <w:gridCol w:w="682"/>
      </w:tblGrid>
      <w:tr>
        <w:tblPrEx>
          <w:tblCellMar>
            <w:top w:w="0" w:type="dxa"/>
            <w:left w:w="108" w:type="dxa"/>
            <w:bottom w:w="0" w:type="dxa"/>
            <w:right w:w="108" w:type="dxa"/>
          </w:tblCellMar>
        </w:tblPrEx>
        <w:trPr>
          <w:trHeight w:val="405" w:hRule="atLeast"/>
          <w:jc w:val="center"/>
        </w:trPr>
        <w:tc>
          <w:tcPr>
            <w:tcW w:w="692" w:type="dxa"/>
            <w:vAlign w:val="center"/>
          </w:tcPr>
          <w:p>
            <w:pPr>
              <w:widowControl/>
              <w:rPr>
                <w:rFonts w:ascii="宋体" w:hAnsi="宋体" w:cs="宋体"/>
                <w:color w:val="000000" w:themeColor="text1"/>
                <w:kern w:val="0"/>
                <w:sz w:val="18"/>
                <w:szCs w:val="18"/>
              </w:rPr>
            </w:pPr>
          </w:p>
        </w:tc>
        <w:tc>
          <w:tcPr>
            <w:tcW w:w="7911" w:type="dxa"/>
            <w:gridSpan w:val="3"/>
            <w:vAlign w:val="center"/>
          </w:tcPr>
          <w:p>
            <w:pPr>
              <w:widowControl/>
              <w:jc w:val="center"/>
              <w:rPr>
                <w:rFonts w:ascii="方正小标宋简体" w:hAnsi="宋体" w:eastAsia="方正小标宋简体" w:cs="宋体"/>
                <w:b/>
                <w:bCs/>
                <w:color w:val="000000" w:themeColor="text1"/>
                <w:kern w:val="0"/>
                <w:sz w:val="24"/>
              </w:rPr>
            </w:pPr>
            <w:r>
              <w:rPr>
                <w:rFonts w:hint="eastAsia" w:ascii="方正小标宋简体" w:hAnsi="宋体" w:eastAsia="方正小标宋简体" w:cs="宋体"/>
                <w:b/>
                <w:bCs/>
                <w:color w:val="000000" w:themeColor="text1"/>
                <w:kern w:val="0"/>
                <w:sz w:val="24"/>
              </w:rPr>
              <w:t>保安人员日常考核细则</w:t>
            </w:r>
          </w:p>
        </w:tc>
      </w:tr>
      <w:tr>
        <w:tblPrEx>
          <w:tblCellMar>
            <w:top w:w="0" w:type="dxa"/>
            <w:left w:w="108" w:type="dxa"/>
            <w:bottom w:w="0" w:type="dxa"/>
            <w:right w:w="108" w:type="dxa"/>
          </w:tblCellMar>
        </w:tblPrEx>
        <w:trPr>
          <w:trHeight w:val="454" w:hRule="exac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一</w:t>
            </w:r>
          </w:p>
        </w:tc>
        <w:tc>
          <w:tcPr>
            <w:tcW w:w="722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保安队员考核细则</w:t>
            </w:r>
          </w:p>
        </w:tc>
        <w:tc>
          <w:tcPr>
            <w:tcW w:w="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分值</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当班期间不按规定着装、服装不整洁</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仪容仪表不严整、没有工作精神状态</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值班室（岗亭）工作环境卫生差、物品乱摆放</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不按规定使用对讲机</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在禁烟区域吸烟</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未做值班记录、交接班记录</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主出入口及监控室24小时执勤(门岗按规定时间立岗)</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巡逻岗按制定方案、路线、时间进行巡逻（不少于1次/小时）</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行为规范不符合规定指出仍不及时改正</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军事队列动作不规范，消防设施设备不能熟练掌握使用</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11</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未参加班前、班后会，没有请假</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工作时间聊天、大声喧哗、嬉笑、吃零食看杂志、听广播、玩手机、玩电脑等</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13</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提前用餐，提前更衣，等候下班</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14</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工作失职造成道路、道口堵塞</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15</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监控中心发现问题和可疑人不报</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16</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擅自乱动、玩弄不该动的设备者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17</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随意让车辆和闲杂人进入工作区域</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18</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不按时上岗、上班串岗</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19</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公司及部门要求未能及时落实者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20</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当班时间打瞌睡者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21</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代打考勤卡（打卡者与被打卡者）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22</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不请假外出或迟归</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23</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中途停止工作或擅自下班者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24</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擅自使用办公室电脑上网或聊天者</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25</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对设备不爱护，造成设施设备损坏</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26</w:t>
            </w:r>
          </w:p>
        </w:tc>
        <w:tc>
          <w:tcPr>
            <w:tcW w:w="72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不得打骂服务对象、不得扰业主正常生活</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27</w:t>
            </w:r>
          </w:p>
        </w:tc>
        <w:tc>
          <w:tcPr>
            <w:tcW w:w="722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不得以任何形式参与纠纷活动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二</w:t>
            </w:r>
          </w:p>
        </w:tc>
        <w:tc>
          <w:tcPr>
            <w:tcW w:w="791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保安队长除按保安员日常考核相关细则执行，结合以下扣分</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个人以身作则规范操作标准</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每天班前、后会议制度的落实</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日常工作的协调组织和配合能力</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日常队员培训及工作落实情况</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参加各种会议并贯彻执行落实情况</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日常检查公平公正和管理的原则性</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贯彻上级和公司工作精神以及执行力</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定期演练，以提高应对紧急情况和突发事件的处置能力</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每天检查的力度和标准(弄虚作假)</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三</w:t>
            </w:r>
          </w:p>
        </w:tc>
        <w:tc>
          <w:tcPr>
            <w:tcW w:w="791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下列情况将退回并追究个人或公司相关责任</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上班时间与同事争吵、辱骂、打架斗殴、聚众闹事或唆使他人闹事者；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上班时间酗酒，睡觉或严重酒后上岗，玩忽职守者；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在工作区域内聚众打牌、赌博者；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偷取业主、客人、同事财物的；</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发现事故隐患，经查实未及时汇报，造成严重后果者；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有意编造虚假情况，伪证陷害他人；</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肆意散播对公司不利的言论，挑拨公司和业主的关系造成严重后果的</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考核末位，经多次培训仍不能胜任工作者。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擅自使用客用物品者（包括坐客用椅、打电话等）</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未经批准私自接待外人参观工作区域者；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11</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不服从上级安排，造成不良后果者；</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454" w:hRule="exact"/>
          <w:jc w:val="center"/>
        </w:trPr>
        <w:tc>
          <w:tcPr>
            <w:tcW w:w="69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w:t>
            </w:r>
          </w:p>
        </w:tc>
        <w:tc>
          <w:tcPr>
            <w:tcW w:w="6442"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对客人服务不礼貌，客人遗留物品未及时按规定交公</w:t>
            </w:r>
          </w:p>
        </w:tc>
        <w:tc>
          <w:tcPr>
            <w:tcW w:w="146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r>
      <w:tr>
        <w:tblPrEx>
          <w:tblCellMar>
            <w:top w:w="0" w:type="dxa"/>
            <w:left w:w="108" w:type="dxa"/>
            <w:bottom w:w="0" w:type="dxa"/>
            <w:right w:w="108" w:type="dxa"/>
          </w:tblCellMar>
        </w:tblPrEx>
        <w:trPr>
          <w:trHeight w:val="793" w:hRule="atLeast"/>
          <w:jc w:val="center"/>
        </w:trPr>
        <w:tc>
          <w:tcPr>
            <w:tcW w:w="8603" w:type="dxa"/>
            <w:gridSpan w:val="4"/>
            <w:tcBorders>
              <w:top w:val="single" w:color="auto" w:sz="4" w:space="0"/>
              <w:left w:val="nil"/>
              <w:bottom w:val="nil"/>
              <w:right w:val="nil"/>
            </w:tcBorders>
            <w:vAlign w:val="center"/>
          </w:tcPr>
          <w:p>
            <w:pPr>
              <w:widowControl/>
              <w:rPr>
                <w:rFonts w:ascii="宋体" w:hAnsi="宋体" w:cs="宋体"/>
                <w:color w:val="000000" w:themeColor="text1"/>
                <w:kern w:val="0"/>
                <w:sz w:val="18"/>
                <w:szCs w:val="18"/>
              </w:rPr>
            </w:pPr>
            <w:r>
              <w:rPr>
                <w:rFonts w:hint="eastAsia" w:ascii="宋体" w:hAnsi="宋体" w:cs="宋体"/>
                <w:color w:val="000000" w:themeColor="text1"/>
                <w:kern w:val="0"/>
                <w:sz w:val="18"/>
                <w:szCs w:val="18"/>
              </w:rPr>
              <w:t>注：本表中未涉及到的物业秩序维护部位，均按合肥市住宅小区物业服务规范及等级指导性标准（甲级）秩序维护员标准执行。</w:t>
            </w:r>
          </w:p>
        </w:tc>
      </w:tr>
    </w:tbl>
    <w:p>
      <w:pPr>
        <w:rPr>
          <w:color w:val="000000" w:themeColor="text1"/>
        </w:rPr>
      </w:pPr>
    </w:p>
    <w:p>
      <w:pPr>
        <w:spacing w:line="470" w:lineRule="exact"/>
        <w:ind w:left="1170"/>
        <w:rPr>
          <w:color w:val="000000" w:themeColor="text1"/>
          <w:sz w:val="24"/>
        </w:rPr>
      </w:pPr>
    </w:p>
    <w:p>
      <w:pPr>
        <w:rPr>
          <w:rFonts w:ascii="仿宋" w:hAnsi="仿宋" w:eastAsia="仿宋" w:cs="宋体"/>
          <w:color w:val="000000" w:themeColor="text1"/>
          <w:sz w:val="24"/>
        </w:rPr>
      </w:pPr>
    </w:p>
    <w:p>
      <w:pPr>
        <w:tabs>
          <w:tab w:val="left" w:pos="825"/>
        </w:tabs>
        <w:spacing w:beforeLines="50" w:afterLines="50" w:line="360" w:lineRule="auto"/>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 xml:space="preserve"> 备注：本合同的约定如与本项目招标文件的投标人须知前附表和招标需求的约定不一致的地方，以投标人须知前附表和招标需求的约定为准。 </w:t>
      </w:r>
      <w:bookmarkEnd w:id="53"/>
    </w:p>
    <w:p>
      <w:pPr>
        <w:pStyle w:val="4"/>
        <w:spacing w:line="500" w:lineRule="exact"/>
        <w:rPr>
          <w:rFonts w:ascii="宋体" w:hAnsi="宋体" w:eastAsia="宋体"/>
          <w:color w:val="000000" w:themeColor="text1"/>
        </w:rPr>
      </w:pPr>
      <w:bookmarkStart w:id="59" w:name="_Toc11145"/>
      <w:r>
        <w:rPr>
          <w:rFonts w:hint="eastAsia" w:ascii="宋体" w:hAnsi="宋体" w:eastAsia="宋体"/>
          <w:color w:val="000000" w:themeColor="text1"/>
        </w:rPr>
        <w:t>第七章 投标文件格式</w:t>
      </w:r>
      <w:bookmarkEnd w:id="59"/>
    </w:p>
    <w:p>
      <w:pPr>
        <w:keepNext/>
        <w:keepLines/>
        <w:spacing w:before="120" w:after="120" w:line="400" w:lineRule="exact"/>
        <w:jc w:val="center"/>
        <w:outlineLvl w:val="1"/>
        <w:rPr>
          <w:rFonts w:ascii="Arial" w:hAnsi="Arial" w:cs="Calibri"/>
          <w:b/>
          <w:bCs/>
          <w:color w:val="000000" w:themeColor="text1"/>
          <w:sz w:val="32"/>
          <w:szCs w:val="32"/>
        </w:rPr>
      </w:pPr>
      <w:bookmarkStart w:id="60" w:name="_Toc73342356"/>
      <w:bookmarkStart w:id="61" w:name="_Toc524462521"/>
      <w:bookmarkStart w:id="62" w:name="_Toc479262713"/>
      <w:bookmarkStart w:id="63" w:name="_Toc26711494"/>
      <w:bookmarkStart w:id="64" w:name="_Toc530142180"/>
      <w:bookmarkStart w:id="65" w:name="_Toc28799390"/>
      <w:r>
        <w:rPr>
          <w:rFonts w:hint="eastAsia" w:ascii="Arial" w:hAnsi="Arial" w:cs="Calibri"/>
          <w:b/>
          <w:bCs/>
          <w:color w:val="000000" w:themeColor="text1"/>
          <w:sz w:val="32"/>
          <w:szCs w:val="32"/>
        </w:rPr>
        <w:t>评审因素索引表</w:t>
      </w:r>
      <w:bookmarkEnd w:id="60"/>
      <w:bookmarkEnd w:id="61"/>
      <w:bookmarkEnd w:id="62"/>
      <w:bookmarkEnd w:id="63"/>
      <w:bookmarkEnd w:id="64"/>
      <w:bookmarkEnd w:id="65"/>
    </w:p>
    <w:p>
      <w:pPr>
        <w:jc w:val="center"/>
        <w:rPr>
          <w:rFonts w:ascii="Calibri" w:hAnsi="Calibri"/>
          <w:color w:val="000000" w:themeColor="text1"/>
          <w:sz w:val="24"/>
        </w:rPr>
      </w:pPr>
    </w:p>
    <w:tbl>
      <w:tblPr>
        <w:tblStyle w:val="51"/>
        <w:tblW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color w:val="000000" w:themeColor="text1"/>
                <w:sz w:val="24"/>
              </w:rPr>
            </w:pPr>
            <w:bookmarkStart w:id="66" w:name="_Toc256695443"/>
            <w:bookmarkStart w:id="67" w:name="_Toc256691567"/>
            <w:r>
              <w:rPr>
                <w:rFonts w:hint="eastAsia" w:ascii="Calibri" w:hAnsi="Calibri"/>
                <w:b/>
                <w:color w:val="000000" w:themeColor="text1"/>
                <w:sz w:val="24"/>
              </w:rPr>
              <w:t>序号</w:t>
            </w:r>
            <w:bookmarkEnd w:id="66"/>
            <w:bookmarkEnd w:id="67"/>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color w:val="000000" w:themeColor="text1"/>
                <w:sz w:val="24"/>
              </w:rPr>
            </w:pPr>
            <w:bookmarkStart w:id="68" w:name="_Toc256691568"/>
            <w:bookmarkStart w:id="69" w:name="_Toc256695444"/>
            <w:r>
              <w:rPr>
                <w:rFonts w:hint="eastAsia" w:ascii="Calibri" w:hAnsi="Calibri"/>
                <w:b/>
                <w:color w:val="000000" w:themeColor="text1"/>
                <w:sz w:val="24"/>
              </w:rPr>
              <w:t>评审因素</w:t>
            </w:r>
            <w:bookmarkEnd w:id="68"/>
            <w:bookmarkEnd w:id="69"/>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color w:val="000000" w:themeColor="text1"/>
                <w:sz w:val="24"/>
              </w:rPr>
            </w:pPr>
            <w:bookmarkStart w:id="70" w:name="_Toc256691569"/>
            <w:bookmarkStart w:id="71" w:name="_Toc256695445"/>
            <w:r>
              <w:rPr>
                <w:rFonts w:hint="eastAsia" w:ascii="Calibri" w:hAnsi="Calibri"/>
                <w:b/>
                <w:color w:val="000000" w:themeColor="text1"/>
                <w:sz w:val="24"/>
              </w:rPr>
              <w:t>投标文件页码范围</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72" w:name="_Toc256691570"/>
            <w:bookmarkStart w:id="73" w:name="_Toc256695446"/>
            <w:r>
              <w:rPr>
                <w:rFonts w:ascii="Calibri" w:hAnsi="Calibri"/>
                <w:color w:val="000000" w:themeColor="text1"/>
                <w:sz w:val="24"/>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74" w:name="_Toc256691571"/>
            <w:bookmarkStart w:id="75" w:name="_Toc256695447"/>
            <w:r>
              <w:rPr>
                <w:rFonts w:ascii="Calibri" w:hAnsi="Calibri"/>
                <w:color w:val="000000" w:themeColor="text1"/>
                <w:sz w:val="24"/>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76" w:name="_Toc256691572"/>
            <w:bookmarkStart w:id="77" w:name="_Toc256695448"/>
            <w:r>
              <w:rPr>
                <w:rFonts w:ascii="Calibri" w:hAnsi="Calibri"/>
                <w:color w:val="000000" w:themeColor="text1"/>
                <w:sz w:val="24"/>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78" w:name="_Toc256691573"/>
            <w:bookmarkStart w:id="79" w:name="_Toc256695449"/>
            <w:r>
              <w:rPr>
                <w:rFonts w:ascii="Calibri" w:hAnsi="Calibri"/>
                <w:color w:val="000000" w:themeColor="text1"/>
                <w:sz w:val="24"/>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80" w:name="_Toc256695450"/>
            <w:bookmarkStart w:id="81" w:name="_Toc256691574"/>
            <w:r>
              <w:rPr>
                <w:rFonts w:ascii="Calibri" w:hAnsi="Calibri"/>
                <w:color w:val="000000" w:themeColor="text1"/>
                <w:sz w:val="24"/>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82" w:name="_Toc256691575"/>
            <w:bookmarkStart w:id="83" w:name="_Toc256695451"/>
            <w:r>
              <w:rPr>
                <w:rFonts w:ascii="Calibri" w:hAnsi="Calibri"/>
                <w:color w:val="000000" w:themeColor="text1"/>
                <w:sz w:val="24"/>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84" w:name="_Toc256695452"/>
            <w:bookmarkStart w:id="85" w:name="_Toc256691576"/>
            <w:r>
              <w:rPr>
                <w:rFonts w:ascii="Calibri" w:hAnsi="Calibri"/>
                <w:color w:val="000000" w:themeColor="text1"/>
                <w:sz w:val="24"/>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86" w:name="_Toc256695453"/>
            <w:bookmarkStart w:id="87" w:name="_Toc256691577"/>
            <w:r>
              <w:rPr>
                <w:rFonts w:ascii="Calibri" w:hAnsi="Calibri"/>
                <w:color w:val="000000" w:themeColor="text1"/>
                <w:sz w:val="24"/>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88" w:name="_Toc256691578"/>
            <w:bookmarkStart w:id="89" w:name="_Toc256695454"/>
            <w:r>
              <w:rPr>
                <w:rFonts w:ascii="Calibri" w:hAnsi="Calibri"/>
                <w:color w:val="000000" w:themeColor="text1"/>
                <w:sz w:val="24"/>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90" w:name="_Toc256695455"/>
            <w:bookmarkStart w:id="91" w:name="_Toc256691579"/>
            <w:r>
              <w:rPr>
                <w:rFonts w:ascii="Calibri" w:hAnsi="Calibri"/>
                <w:color w:val="000000" w:themeColor="text1"/>
                <w:sz w:val="24"/>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bookmarkStart w:id="92" w:name="_Toc256695456"/>
            <w:bookmarkStart w:id="93" w:name="_Toc256691580"/>
            <w:r>
              <w:rPr>
                <w:rFonts w:ascii="Calibri" w:hAnsi="Calibri"/>
                <w:color w:val="000000" w:themeColor="text1"/>
                <w:sz w:val="24"/>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94" w:name="_Toc256691581"/>
            <w:bookmarkStart w:id="95" w:name="_Toc256695457"/>
            <w:r>
              <w:rPr>
                <w:rFonts w:ascii="Calibri" w:hAnsi="Calibri"/>
                <w:color w:val="000000" w:themeColor="text1"/>
                <w:sz w:val="24"/>
              </w:rPr>
              <w:t>P---  P</w:t>
            </w:r>
            <w:bookmarkEnd w:id="94"/>
            <w:bookmarkEnd w:id="9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bookmarkStart w:id="96" w:name="_Toc256691582"/>
            <w:bookmarkStart w:id="97" w:name="_Toc256695458"/>
            <w:r>
              <w:rPr>
                <w:rFonts w:ascii="Calibri" w:hAnsi="Calibri"/>
                <w:color w:val="000000" w:themeColor="text1"/>
                <w:sz w:val="24"/>
              </w:rPr>
              <w:t>P---  P</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bookmarkStart w:id="98" w:name="_Toc256691583"/>
            <w:bookmarkStart w:id="99" w:name="_Toc256695459"/>
            <w:r>
              <w:rPr>
                <w:rFonts w:hint="eastAsia" w:ascii="Calibri" w:hAnsi="Calibri"/>
                <w:color w:val="000000" w:themeColor="text1"/>
                <w:sz w:val="28"/>
                <w:szCs w:val="28"/>
              </w:rPr>
              <w:t>……</w:t>
            </w:r>
            <w:bookmarkEnd w:id="98"/>
            <w:bookmarkEnd w:id="99"/>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4"/>
              </w:rPr>
            </w:pPr>
            <w:bookmarkStart w:id="100" w:name="_Toc256691584"/>
            <w:bookmarkStart w:id="101" w:name="_Toc256695460"/>
            <w:r>
              <w:rPr>
                <w:rFonts w:hint="eastAsia" w:ascii="Calibri" w:hAnsi="Calibri"/>
                <w:color w:val="000000" w:themeColor="text1"/>
                <w:sz w:val="28"/>
                <w:szCs w:val="28"/>
              </w:rPr>
              <w:t>……</w:t>
            </w:r>
            <w:bookmarkEnd w:id="100"/>
            <w:bookmarkEnd w:id="10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482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c>
          <w:tcPr>
            <w:tcW w:w="36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 w:val="28"/>
                <w:szCs w:val="28"/>
              </w:rPr>
            </w:pPr>
          </w:p>
        </w:tc>
      </w:tr>
    </w:tbl>
    <w:p>
      <w:pPr>
        <w:spacing w:line="500" w:lineRule="exact"/>
        <w:jc w:val="center"/>
        <w:rPr>
          <w:rFonts w:ascii="宋体" w:hAnsi="宋体"/>
          <w:b/>
          <w:color w:val="000000" w:themeColor="text1"/>
          <w:sz w:val="24"/>
          <w:szCs w:val="24"/>
        </w:rPr>
      </w:pPr>
    </w:p>
    <w:p>
      <w:pPr>
        <w:spacing w:line="500" w:lineRule="exact"/>
        <w:jc w:val="center"/>
        <w:rPr>
          <w:rFonts w:ascii="宋体" w:hAnsi="宋体"/>
          <w:b/>
          <w:color w:val="000000" w:themeColor="text1"/>
          <w:sz w:val="24"/>
          <w:szCs w:val="24"/>
        </w:rPr>
      </w:pPr>
    </w:p>
    <w:p>
      <w:pPr>
        <w:spacing w:line="500" w:lineRule="exact"/>
        <w:jc w:val="center"/>
        <w:rPr>
          <w:rFonts w:ascii="宋体" w:hAnsi="宋体"/>
          <w:b/>
          <w:color w:val="000000" w:themeColor="text1"/>
          <w:sz w:val="24"/>
          <w:szCs w:val="24"/>
        </w:rPr>
      </w:pPr>
      <w:r>
        <w:rPr>
          <w:rFonts w:hint="eastAsia" w:ascii="宋体" w:hAnsi="宋体"/>
          <w:b/>
          <w:color w:val="000000" w:themeColor="text1"/>
          <w:sz w:val="24"/>
          <w:szCs w:val="24"/>
        </w:rPr>
        <w:t>投标文件资料清单</w:t>
      </w:r>
    </w:p>
    <w:p>
      <w:pPr>
        <w:spacing w:line="500" w:lineRule="exact"/>
        <w:jc w:val="center"/>
        <w:rPr>
          <w:rFonts w:ascii="宋体" w:hAnsi="宋体"/>
          <w:b/>
          <w:color w:val="000000" w:themeColor="text1"/>
          <w:sz w:val="24"/>
          <w:szCs w:val="24"/>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themeColor="text1"/>
                <w:sz w:val="24"/>
              </w:rPr>
            </w:pPr>
            <w:r>
              <w:rPr>
                <w:rFonts w:hint="eastAsia" w:ascii="宋体" w:hAnsi="宋体"/>
                <w:b/>
                <w:color w:val="000000" w:themeColor="text1"/>
                <w:sz w:val="24"/>
              </w:rPr>
              <w:t>序号</w:t>
            </w:r>
          </w:p>
        </w:tc>
        <w:tc>
          <w:tcPr>
            <w:tcW w:w="53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themeColor="text1"/>
                <w:sz w:val="24"/>
              </w:rPr>
            </w:pPr>
            <w:r>
              <w:rPr>
                <w:rFonts w:hint="eastAsia" w:ascii="宋体" w:hAnsi="宋体"/>
                <w:b/>
                <w:color w:val="000000" w:themeColor="text1"/>
                <w:sz w:val="24"/>
              </w:rPr>
              <w:t>资料名称</w:t>
            </w:r>
          </w:p>
        </w:tc>
        <w:tc>
          <w:tcPr>
            <w:tcW w:w="26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themeColor="text1"/>
                <w:sz w:val="24"/>
              </w:rPr>
            </w:pPr>
            <w:r>
              <w:rPr>
                <w:rFonts w:hint="eastAsia" w:ascii="宋体" w:hAnsi="宋体"/>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一</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u w:val="single"/>
              </w:rPr>
            </w:pPr>
            <w:r>
              <w:rPr>
                <w:rFonts w:hint="eastAsia"/>
                <w:bCs/>
                <w:color w:val="000000" w:themeColor="text1"/>
                <w:sz w:val="24"/>
              </w:rPr>
              <w:t>投标函</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二</w:t>
            </w:r>
          </w:p>
        </w:tc>
        <w:tc>
          <w:tcPr>
            <w:tcW w:w="5376" w:type="dxa"/>
            <w:tcBorders>
              <w:top w:val="single" w:color="auto" w:sz="4" w:space="0"/>
              <w:left w:val="single" w:color="auto" w:sz="4" w:space="0"/>
              <w:bottom w:val="single" w:color="auto" w:sz="4" w:space="0"/>
              <w:right w:val="single" w:color="auto" w:sz="4" w:space="0"/>
            </w:tcBorders>
            <w:vAlign w:val="center"/>
          </w:tcPr>
          <w:p>
            <w:pPr>
              <w:rPr>
                <w:bCs/>
                <w:color w:val="000000" w:themeColor="text1"/>
                <w:sz w:val="24"/>
              </w:rPr>
            </w:pPr>
            <w:r>
              <w:rPr>
                <w:rFonts w:hint="eastAsia"/>
                <w:color w:val="000000" w:themeColor="text1"/>
                <w:sz w:val="24"/>
              </w:rPr>
              <w:t>拟投标人情况综合简介</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三</w:t>
            </w:r>
          </w:p>
        </w:tc>
        <w:tc>
          <w:tcPr>
            <w:tcW w:w="5376" w:type="dxa"/>
            <w:tcBorders>
              <w:top w:val="single" w:color="auto" w:sz="4" w:space="0"/>
              <w:left w:val="single" w:color="auto" w:sz="4" w:space="0"/>
              <w:bottom w:val="single" w:color="auto" w:sz="4" w:space="0"/>
              <w:right w:val="single" w:color="auto" w:sz="4" w:space="0"/>
            </w:tcBorders>
            <w:vAlign w:val="center"/>
          </w:tcPr>
          <w:p>
            <w:pPr>
              <w:rPr>
                <w:bCs/>
                <w:color w:val="000000" w:themeColor="text1"/>
                <w:sz w:val="24"/>
              </w:rPr>
            </w:pPr>
            <w:r>
              <w:rPr>
                <w:rFonts w:hint="eastAsia"/>
                <w:bCs/>
                <w:color w:val="000000" w:themeColor="text1"/>
                <w:sz w:val="24"/>
              </w:rPr>
              <w:t>开标一览表</w:t>
            </w:r>
          </w:p>
        </w:tc>
        <w:tc>
          <w:tcPr>
            <w:tcW w:w="2625"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四</w:t>
            </w:r>
          </w:p>
        </w:tc>
        <w:tc>
          <w:tcPr>
            <w:tcW w:w="5376" w:type="dxa"/>
            <w:tcBorders>
              <w:top w:val="single" w:color="auto" w:sz="4" w:space="0"/>
              <w:left w:val="single" w:color="auto" w:sz="4" w:space="0"/>
              <w:bottom w:val="single" w:color="auto" w:sz="4" w:space="0"/>
              <w:right w:val="single" w:color="auto" w:sz="4" w:space="0"/>
            </w:tcBorders>
            <w:vAlign w:val="center"/>
          </w:tcPr>
          <w:p>
            <w:pPr>
              <w:rPr>
                <w:bCs/>
                <w:color w:val="000000" w:themeColor="text1"/>
                <w:sz w:val="24"/>
              </w:rPr>
            </w:pPr>
            <w:r>
              <w:rPr>
                <w:rFonts w:hint="eastAsia"/>
                <w:bCs/>
                <w:color w:val="000000" w:themeColor="text1"/>
                <w:sz w:val="24"/>
              </w:rPr>
              <w:t>单项报价表（如有）</w:t>
            </w:r>
          </w:p>
        </w:tc>
        <w:tc>
          <w:tcPr>
            <w:tcW w:w="2625"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五</w:t>
            </w:r>
          </w:p>
        </w:tc>
        <w:tc>
          <w:tcPr>
            <w:tcW w:w="5376" w:type="dxa"/>
            <w:tcBorders>
              <w:top w:val="single" w:color="auto" w:sz="4" w:space="0"/>
              <w:left w:val="single" w:color="auto" w:sz="4" w:space="0"/>
              <w:bottom w:val="single" w:color="auto" w:sz="4" w:space="0"/>
              <w:right w:val="single" w:color="auto" w:sz="4" w:space="0"/>
            </w:tcBorders>
            <w:vAlign w:val="center"/>
          </w:tcPr>
          <w:p>
            <w:pPr>
              <w:pStyle w:val="108"/>
              <w:rPr>
                <w:rFonts w:ascii="Times New Roman" w:hAnsi="Times New Roman"/>
                <w:bCs/>
                <w:color w:val="000000" w:themeColor="text1"/>
              </w:rPr>
            </w:pPr>
            <w:r>
              <w:rPr>
                <w:rFonts w:hint="eastAsia"/>
                <w:bCs/>
                <w:color w:val="000000" w:themeColor="text1"/>
              </w:rPr>
              <w:t>投标人信用承诺</w:t>
            </w:r>
          </w:p>
        </w:tc>
        <w:tc>
          <w:tcPr>
            <w:tcW w:w="2625"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六</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投标业绩</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七</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拟投标本项目的人员情况</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八</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服务方案</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九</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有关证明文件</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十</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投标授权书</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十一</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color w:val="000000" w:themeColor="text1"/>
                <w:sz w:val="24"/>
              </w:rPr>
              <w:t>投标人认为需提供的其他资料</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十二</w:t>
            </w: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r>
              <w:rPr>
                <w:rFonts w:hint="eastAsia" w:ascii="宋体" w:hAnsi="宋体" w:cs="宋体"/>
                <w:color w:val="000000" w:themeColor="text1"/>
                <w:sz w:val="24"/>
                <w:szCs w:val="24"/>
              </w:rPr>
              <w:t>投标保证金退还声明</w:t>
            </w: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53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rPr>
            </w:pPr>
          </w:p>
        </w:tc>
        <w:tc>
          <w:tcPr>
            <w:tcW w:w="262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b/>
                <w:color w:val="000000" w:themeColor="text1"/>
                <w:sz w:val="28"/>
              </w:rPr>
            </w:pPr>
          </w:p>
        </w:tc>
      </w:tr>
    </w:tbl>
    <w:p>
      <w:pPr>
        <w:rPr>
          <w:color w:val="000000" w:themeColor="text1"/>
        </w:rPr>
      </w:pPr>
      <w:bookmarkStart w:id="102" w:name="_Toc197934561"/>
    </w:p>
    <w:p>
      <w:pPr>
        <w:rPr>
          <w:color w:val="000000" w:themeColor="text1"/>
        </w:rPr>
      </w:pPr>
      <w:bookmarkStart w:id="103" w:name="_Toc471736407"/>
    </w:p>
    <w:p>
      <w:pPr>
        <w:rPr>
          <w:color w:val="000000" w:themeColor="text1"/>
        </w:rPr>
      </w:pPr>
    </w:p>
    <w:p>
      <w:pPr>
        <w:rPr>
          <w:color w:val="000000" w:themeColor="text1"/>
        </w:rPr>
      </w:pPr>
    </w:p>
    <w:p>
      <w:pPr>
        <w:rPr>
          <w:color w:val="000000" w:themeColor="text1"/>
        </w:rPr>
      </w:pPr>
    </w:p>
    <w:p>
      <w:pPr>
        <w:pStyle w:val="5"/>
        <w:rPr>
          <w:rFonts w:hAnsi="宋体"/>
          <w:color w:val="000000" w:themeColor="text1"/>
          <w:sz w:val="28"/>
        </w:rPr>
      </w:pPr>
      <w:bookmarkStart w:id="104" w:name="_Toc516969098"/>
      <w:bookmarkStart w:id="105" w:name="_Toc471736410"/>
      <w:bookmarkStart w:id="106" w:name="_Toc10251"/>
      <w:r>
        <w:rPr>
          <w:rFonts w:hint="eastAsia" w:hAnsi="宋体"/>
          <w:color w:val="000000" w:themeColor="text1"/>
          <w:sz w:val="28"/>
        </w:rPr>
        <w:t>一．投标函</w:t>
      </w:r>
      <w:bookmarkEnd w:id="104"/>
      <w:bookmarkEnd w:id="105"/>
      <w:bookmarkEnd w:id="106"/>
    </w:p>
    <w:p>
      <w:pPr>
        <w:spacing w:line="480" w:lineRule="exact"/>
        <w:rPr>
          <w:rFonts w:ascii="宋体" w:hAnsi="宋体"/>
          <w:color w:val="000000" w:themeColor="text1"/>
          <w:sz w:val="24"/>
        </w:rPr>
      </w:pPr>
      <w:r>
        <w:rPr>
          <w:rFonts w:hint="eastAsia" w:ascii="宋体" w:hAnsi="宋体"/>
          <w:color w:val="000000" w:themeColor="text1"/>
          <w:sz w:val="24"/>
        </w:rPr>
        <w:t>致：合肥文旅博览集团有限公司</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rPr>
        <w:t>根据贵方“</w:t>
      </w:r>
      <w:r>
        <w:rPr>
          <w:rFonts w:hint="eastAsia" w:ascii="宋体" w:hAnsi="宋体"/>
          <w:b/>
          <w:bCs/>
          <w:color w:val="000000" w:themeColor="text1"/>
          <w:sz w:val="24"/>
          <w:u w:val="single"/>
        </w:rPr>
        <w:t xml:space="preserve">                   项目</w:t>
      </w:r>
      <w:r>
        <w:rPr>
          <w:rFonts w:hint="eastAsia" w:ascii="宋体" w:hAnsi="宋体"/>
          <w:color w:val="000000" w:themeColor="text1"/>
          <w:sz w:val="24"/>
        </w:rPr>
        <w:t>”的第</w:t>
      </w:r>
      <w:r>
        <w:rPr>
          <w:rFonts w:hint="eastAsia" w:ascii="宋体" w:hAnsi="宋体"/>
          <w:color w:val="000000" w:themeColor="text1"/>
          <w:sz w:val="24"/>
          <w:szCs w:val="24"/>
          <w:u w:val="single"/>
        </w:rPr>
        <w:t>号</w:t>
      </w:r>
      <w:r>
        <w:rPr>
          <w:rFonts w:hint="eastAsia" w:ascii="宋体" w:hAnsi="宋体"/>
          <w:color w:val="000000" w:themeColor="text1"/>
          <w:sz w:val="24"/>
        </w:rPr>
        <w:t>招标邀请书，正式授权</w:t>
      </w:r>
      <w:r>
        <w:rPr>
          <w:rFonts w:hint="eastAsia" w:ascii="宋体" w:hAnsi="宋体"/>
          <w:color w:val="000000" w:themeColor="text1"/>
          <w:sz w:val="24"/>
          <w:u w:val="single"/>
        </w:rPr>
        <w:t xml:space="preserve">                   　</w:t>
      </w:r>
      <w:r>
        <w:rPr>
          <w:rFonts w:hint="eastAsia" w:ascii="宋体" w:hAnsi="宋体"/>
          <w:color w:val="000000" w:themeColor="text1"/>
          <w:sz w:val="24"/>
        </w:rPr>
        <w:t>（姓名、身份证号）代表投标人</w:t>
      </w:r>
      <w:r>
        <w:rPr>
          <w:rFonts w:hint="eastAsia" w:ascii="宋体" w:hAnsi="宋体"/>
          <w:color w:val="000000" w:themeColor="text1"/>
          <w:sz w:val="24"/>
          <w:u w:val="single"/>
        </w:rPr>
        <w:t xml:space="preserve">        　   </w:t>
      </w:r>
      <w:r>
        <w:rPr>
          <w:rFonts w:hint="eastAsia" w:ascii="宋体" w:hAnsi="宋体"/>
          <w:color w:val="000000" w:themeColor="text1"/>
          <w:sz w:val="24"/>
        </w:rPr>
        <w:t>（投标人全称），提交规定形式的投标文件。</w:t>
      </w:r>
    </w:p>
    <w:p>
      <w:pPr>
        <w:spacing w:line="480" w:lineRule="exact"/>
        <w:ind w:firstLine="480" w:firstLineChars="200"/>
        <w:rPr>
          <w:rFonts w:ascii="宋体" w:hAnsi="宋体"/>
          <w:color w:val="000000" w:themeColor="text1"/>
          <w:sz w:val="24"/>
        </w:rPr>
      </w:pPr>
      <w:r>
        <w:rPr>
          <w:rFonts w:hint="eastAsia" w:ascii="宋体" w:hAnsi="宋体"/>
          <w:color w:val="000000" w:themeColor="text1"/>
          <w:sz w:val="24"/>
        </w:rPr>
        <w:t>据此函，我方兹宣布同意如下：</w:t>
      </w:r>
    </w:p>
    <w:p>
      <w:pPr>
        <w:spacing w:line="360" w:lineRule="auto"/>
        <w:ind w:firstLine="628" w:firstLineChars="262"/>
        <w:rPr>
          <w:rFonts w:ascii="宋体" w:hAnsi="宋体"/>
          <w:color w:val="000000" w:themeColor="text1"/>
          <w:sz w:val="24"/>
        </w:rPr>
      </w:pPr>
      <w:r>
        <w:rPr>
          <w:rFonts w:hint="eastAsia" w:ascii="宋体" w:hAnsi="宋体"/>
          <w:color w:val="000000" w:themeColor="text1"/>
          <w:sz w:val="24"/>
        </w:rPr>
        <w:t>（1）我方按招标文件规定提供服务的最终投标报价详见开标一览表，我方完全响应招标文件规定的服务期限、付款方式等全部内容。如我公司中标，我公司承诺愿意按招标文件规定交纳履约保证金。</w:t>
      </w:r>
    </w:p>
    <w:p>
      <w:pPr>
        <w:spacing w:line="360" w:lineRule="auto"/>
        <w:ind w:firstLine="630"/>
        <w:rPr>
          <w:rFonts w:ascii="宋体" w:hAnsi="宋体"/>
          <w:color w:val="000000" w:themeColor="text1"/>
          <w:sz w:val="24"/>
        </w:rPr>
      </w:pPr>
      <w:r>
        <w:rPr>
          <w:rFonts w:hint="eastAsia" w:ascii="宋体" w:hAnsi="宋体"/>
          <w:color w:val="000000" w:themeColor="text1"/>
          <w:sz w:val="24"/>
        </w:rPr>
        <w:t>（2）我方根据招标文件的规定，严格履行合同的责任和义务,并保证于买方要求的日期内完成服务，并通过买方验收。</w:t>
      </w:r>
    </w:p>
    <w:p>
      <w:pPr>
        <w:spacing w:line="360" w:lineRule="auto"/>
        <w:ind w:firstLine="630"/>
        <w:rPr>
          <w:rFonts w:ascii="宋体" w:hAnsi="宋体"/>
          <w:color w:val="000000" w:themeColor="text1"/>
          <w:sz w:val="24"/>
        </w:rPr>
      </w:pPr>
      <w:r>
        <w:rPr>
          <w:rFonts w:hint="eastAsia" w:ascii="宋体" w:hAnsi="宋体"/>
          <w:color w:val="000000" w:themeColor="text1"/>
          <w:sz w:val="24"/>
        </w:rPr>
        <w:t>（3）我方承诺报价低于同类服务的市场平均价格。</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（7）我方完全理解贵方不一定接受最低报价的投标。</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（9）我方同意招标文件规定的付款方式。</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（10）与本投标有关的通讯地址：</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电    话：传    真：</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投标人基本账户开户名： 账号： 开户行：</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投标人章： 日    期：</w:t>
      </w:r>
      <w:bookmarkStart w:id="107" w:name="_Hlt514495724"/>
      <w:bookmarkEnd w:id="107"/>
      <w:bookmarkStart w:id="108" w:name="_Hlt533408944"/>
      <w:bookmarkEnd w:id="108"/>
    </w:p>
    <w:p>
      <w:pPr>
        <w:widowControl/>
        <w:spacing w:line="480" w:lineRule="exact"/>
        <w:ind w:firstLine="480"/>
        <w:jc w:val="left"/>
        <w:rPr>
          <w:rFonts w:ascii="宋体" w:hAnsi="宋体" w:cs="宋体"/>
          <w:color w:val="000000" w:themeColor="text1"/>
          <w:kern w:val="0"/>
          <w:sz w:val="24"/>
        </w:rPr>
      </w:pPr>
      <w:r>
        <w:rPr>
          <w:rFonts w:hint="eastAsia" w:ascii="宋体" w:hAnsi="宋体" w:cs="宋体"/>
          <w:color w:val="000000" w:themeColor="text1"/>
          <w:kern w:val="0"/>
          <w:sz w:val="24"/>
        </w:rPr>
        <w:t>特此承诺</w:t>
      </w:r>
    </w:p>
    <w:p>
      <w:pPr>
        <w:widowControl/>
        <w:spacing w:line="480" w:lineRule="exact"/>
        <w:ind w:left="840" w:leftChars="400"/>
        <w:jc w:val="left"/>
        <w:rPr>
          <w:rFonts w:ascii="宋体" w:hAnsi="宋体" w:cs="宋体"/>
          <w:color w:val="000000" w:themeColor="text1"/>
          <w:kern w:val="0"/>
          <w:sz w:val="24"/>
        </w:rPr>
      </w:pP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投标人（公章）：</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企业法人（签字）：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授权代表（签字）：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年月日</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02"/>
    <w:bookmarkEnd w:id="103"/>
    <w:p>
      <w:pPr>
        <w:pStyle w:val="5"/>
        <w:rPr>
          <w:rFonts w:hAnsi="宋体"/>
          <w:color w:val="000000" w:themeColor="text1"/>
          <w:sz w:val="28"/>
        </w:rPr>
      </w:pPr>
      <w:bookmarkStart w:id="109" w:name="_Toc516969097"/>
      <w:bookmarkStart w:id="110" w:name="_Toc471736409"/>
      <w:bookmarkStart w:id="111" w:name="_Toc3317"/>
      <w:r>
        <w:rPr>
          <w:rFonts w:hint="eastAsia" w:hAnsi="宋体"/>
          <w:color w:val="000000" w:themeColor="text1"/>
          <w:sz w:val="28"/>
        </w:rPr>
        <w:t>二．投标人情况综合简介</w:t>
      </w:r>
      <w:bookmarkEnd w:id="109"/>
      <w:bookmarkEnd w:id="110"/>
      <w:bookmarkEnd w:id="111"/>
    </w:p>
    <w:p>
      <w:pPr>
        <w:spacing w:line="500" w:lineRule="exact"/>
        <w:jc w:val="center"/>
        <w:rPr>
          <w:rFonts w:ascii="宋体" w:hAnsi="宋体"/>
          <w:color w:val="000000" w:themeColor="text1"/>
          <w:sz w:val="24"/>
        </w:rPr>
      </w:pPr>
      <w:r>
        <w:rPr>
          <w:rFonts w:hint="eastAsia" w:ascii="宋体" w:hAnsi="宋体"/>
          <w:color w:val="000000" w:themeColor="text1"/>
          <w:sz w:val="24"/>
        </w:rPr>
        <w:t>(投标人可自行制作格式)</w:t>
      </w: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spacing w:line="500" w:lineRule="exact"/>
        <w:jc w:val="center"/>
        <w:rPr>
          <w:rFonts w:ascii="宋体" w:hAnsi="宋体"/>
          <w:color w:val="000000" w:themeColor="text1"/>
          <w:sz w:val="24"/>
        </w:rPr>
      </w:pPr>
    </w:p>
    <w:p>
      <w:pPr>
        <w:pStyle w:val="5"/>
        <w:rPr>
          <w:rFonts w:hAnsi="宋体"/>
          <w:color w:val="000000" w:themeColor="text1"/>
          <w:sz w:val="28"/>
        </w:rPr>
      </w:pPr>
      <w:bookmarkStart w:id="112" w:name="_Toc8473"/>
      <w:r>
        <w:rPr>
          <w:rFonts w:hint="eastAsia" w:hAnsi="宋体"/>
          <w:color w:val="000000" w:themeColor="text1"/>
          <w:sz w:val="28"/>
        </w:rPr>
        <w:t>三．开标一览表</w:t>
      </w:r>
      <w:bookmarkEnd w:id="112"/>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 w:val="24"/>
              </w:rPr>
            </w:pPr>
            <w:r>
              <w:rPr>
                <w:rFonts w:hint="eastAsia" w:ascii="宋体" w:hAnsi="宋体"/>
                <w:b/>
                <w:color w:val="000000" w:themeColor="text1"/>
                <w:sz w:val="24"/>
              </w:rPr>
              <w:t>项 目 名 称</w:t>
            </w:r>
          </w:p>
        </w:tc>
        <w:tc>
          <w:tcPr>
            <w:tcW w:w="66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themeColor="text1"/>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sz w:val="24"/>
              </w:rPr>
            </w:pPr>
            <w:r>
              <w:rPr>
                <w:rFonts w:hint="eastAsia" w:ascii="宋体" w:hAnsi="宋体"/>
                <w:b/>
                <w:color w:val="000000" w:themeColor="text1"/>
                <w:sz w:val="24"/>
              </w:rPr>
              <w:t>投标人全称</w:t>
            </w:r>
          </w:p>
        </w:tc>
        <w:tc>
          <w:tcPr>
            <w:tcW w:w="6667" w:type="dxa"/>
            <w:tcBorders>
              <w:top w:val="nil"/>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sz w:val="24"/>
              </w:rPr>
            </w:pPr>
            <w:r>
              <w:rPr>
                <w:rFonts w:hint="eastAsia" w:ascii="宋体" w:hAnsi="宋体"/>
                <w:b/>
                <w:color w:val="000000" w:themeColor="text1"/>
                <w:sz w:val="24"/>
              </w:rPr>
              <w:t>投标范围</w:t>
            </w:r>
          </w:p>
        </w:tc>
        <w:tc>
          <w:tcPr>
            <w:tcW w:w="6667" w:type="dxa"/>
            <w:tcBorders>
              <w:top w:val="nil"/>
              <w:left w:val="single" w:color="auto" w:sz="4" w:space="0"/>
              <w:bottom w:val="single" w:color="auto" w:sz="4" w:space="0"/>
              <w:right w:val="single" w:color="auto" w:sz="4" w:space="0"/>
            </w:tcBorders>
            <w:vAlign w:val="center"/>
          </w:tcPr>
          <w:p>
            <w:pPr>
              <w:widowControl/>
              <w:spacing w:line="360" w:lineRule="exact"/>
              <w:rPr>
                <w:rFonts w:ascii="宋体" w:hAnsi="宋体"/>
                <w:b/>
                <w:color w:val="000000" w:themeColor="text1"/>
                <w:sz w:val="24"/>
              </w:rPr>
            </w:pPr>
            <w:r>
              <w:rPr>
                <w:rFonts w:hint="eastAsia" w:ascii="宋体" w:hAnsi="宋体"/>
                <w:color w:val="000000" w:themeColor="text1"/>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sz w:val="24"/>
              </w:rPr>
            </w:pPr>
            <w:r>
              <w:rPr>
                <w:rFonts w:hint="eastAsia" w:ascii="宋体" w:hAnsi="宋体"/>
                <w:b/>
                <w:color w:val="000000" w:themeColor="text1"/>
                <w:sz w:val="24"/>
              </w:rPr>
              <w:t>最终投标报价</w:t>
            </w:r>
          </w:p>
          <w:p>
            <w:pPr>
              <w:spacing w:line="360" w:lineRule="exact"/>
              <w:jc w:val="center"/>
              <w:rPr>
                <w:rFonts w:ascii="宋体" w:hAnsi="宋体"/>
                <w:b/>
                <w:color w:val="000000" w:themeColor="text1"/>
                <w:sz w:val="24"/>
              </w:rPr>
            </w:pPr>
            <w:r>
              <w:rPr>
                <w:rFonts w:hint="eastAsia" w:ascii="宋体" w:hAnsi="宋体"/>
                <w:b/>
                <w:color w:val="000000" w:themeColor="text1"/>
                <w:sz w:val="24"/>
              </w:rPr>
              <w:t>（人民币）</w:t>
            </w:r>
          </w:p>
        </w:tc>
        <w:tc>
          <w:tcPr>
            <w:tcW w:w="6667" w:type="dxa"/>
            <w:tcBorders>
              <w:top w:val="nil"/>
              <w:left w:val="single" w:color="auto" w:sz="4" w:space="0"/>
              <w:bottom w:val="single" w:color="auto" w:sz="4" w:space="0"/>
              <w:right w:val="single" w:color="auto" w:sz="4" w:space="0"/>
            </w:tcBorders>
            <w:vAlign w:val="center"/>
          </w:tcPr>
          <w:p>
            <w:pPr>
              <w:spacing w:line="360" w:lineRule="auto"/>
              <w:ind w:right="-670"/>
              <w:rPr>
                <w:rFonts w:ascii="宋体" w:hAnsi="宋体"/>
                <w:color w:val="000000" w:themeColor="text1"/>
                <w:sz w:val="24"/>
              </w:rPr>
            </w:pPr>
          </w:p>
          <w:p>
            <w:pPr>
              <w:spacing w:line="360" w:lineRule="auto"/>
              <w:ind w:right="-670"/>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sz w:val="24"/>
                <w:szCs w:val="24"/>
              </w:rPr>
            </w:pPr>
            <w:r>
              <w:rPr>
                <w:rFonts w:hint="eastAsia" w:ascii="宋体" w:hAnsi="宋体"/>
                <w:b/>
                <w:color w:val="000000" w:themeColor="text1"/>
                <w:sz w:val="24"/>
                <w:szCs w:val="24"/>
              </w:rPr>
              <w:t>服务期限</w:t>
            </w:r>
          </w:p>
        </w:tc>
        <w:tc>
          <w:tcPr>
            <w:tcW w:w="6667" w:type="dxa"/>
            <w:tcBorders>
              <w:top w:val="nil"/>
              <w:left w:val="single" w:color="auto" w:sz="4" w:space="0"/>
              <w:bottom w:val="single" w:color="auto" w:sz="4" w:space="0"/>
              <w:right w:val="single" w:color="auto" w:sz="4" w:space="0"/>
            </w:tcBorders>
            <w:vAlign w:val="center"/>
          </w:tcPr>
          <w:p>
            <w:pPr>
              <w:spacing w:line="360" w:lineRule="auto"/>
              <w:ind w:right="-670"/>
              <w:jc w:val="left"/>
              <w:rPr>
                <w:rFonts w:ascii="宋体" w:hAnsi="宋体"/>
                <w:color w:val="000000" w:themeColor="text1"/>
                <w:sz w:val="24"/>
                <w:szCs w:val="24"/>
              </w:rPr>
            </w:pPr>
            <w:r>
              <w:rPr>
                <w:rFonts w:hint="eastAsia" w:ascii="宋体" w:hAnsi="宋体"/>
                <w:color w:val="000000" w:themeColor="text1"/>
                <w:sz w:val="24"/>
                <w:szCs w:val="24"/>
              </w:rPr>
              <w:t>□响应    □不响应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sz w:val="24"/>
                <w:szCs w:val="24"/>
              </w:rPr>
            </w:pPr>
            <w:r>
              <w:rPr>
                <w:rFonts w:hint="eastAsia" w:ascii="宋体" w:hAnsi="宋体"/>
                <w:b/>
                <w:color w:val="000000" w:themeColor="text1"/>
                <w:sz w:val="24"/>
                <w:szCs w:val="24"/>
              </w:rPr>
              <w:t>服务内容</w:t>
            </w:r>
          </w:p>
        </w:tc>
        <w:tc>
          <w:tcPr>
            <w:tcW w:w="6667" w:type="dxa"/>
            <w:tcBorders>
              <w:top w:val="nil"/>
              <w:left w:val="single" w:color="auto" w:sz="4" w:space="0"/>
              <w:bottom w:val="single" w:color="auto" w:sz="4" w:space="0"/>
              <w:right w:val="single" w:color="auto" w:sz="4" w:space="0"/>
            </w:tcBorders>
            <w:vAlign w:val="center"/>
          </w:tcPr>
          <w:p>
            <w:pPr>
              <w:spacing w:line="360" w:lineRule="auto"/>
              <w:ind w:right="-670"/>
              <w:rPr>
                <w:rFonts w:ascii="宋体" w:hAnsi="宋体"/>
                <w:color w:val="000000" w:themeColor="text1"/>
                <w:sz w:val="24"/>
                <w:szCs w:val="24"/>
              </w:rPr>
            </w:pPr>
            <w:r>
              <w:rPr>
                <w:rFonts w:hint="eastAsia" w:ascii="宋体" w:hAnsi="宋体"/>
                <w:color w:val="000000" w:themeColor="text1"/>
                <w:sz w:val="24"/>
                <w:szCs w:val="24"/>
              </w:rPr>
              <w:t>□响应    □不响应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4"/>
              </w:rPr>
            </w:pPr>
            <w:r>
              <w:rPr>
                <w:rFonts w:hint="eastAsia" w:ascii="宋体" w:hAnsi="宋体"/>
                <w:b/>
                <w:color w:val="000000" w:themeColor="text1"/>
                <w:sz w:val="24"/>
              </w:rPr>
              <w:t>备注</w:t>
            </w:r>
          </w:p>
        </w:tc>
        <w:tc>
          <w:tcPr>
            <w:tcW w:w="6667"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 w:val="24"/>
                <w:szCs w:val="28"/>
              </w:rPr>
            </w:pPr>
          </w:p>
        </w:tc>
      </w:tr>
    </w:tbl>
    <w:p>
      <w:pPr>
        <w:spacing w:before="100" w:beforeAutospacing="1" w:after="100" w:afterAutospacing="1" w:line="360" w:lineRule="auto"/>
        <w:rPr>
          <w:rFonts w:ascii="宋体" w:hAnsi="宋体"/>
          <w:b/>
          <w:color w:val="000000" w:themeColor="text1"/>
          <w:sz w:val="24"/>
        </w:rPr>
      </w:pPr>
      <w:r>
        <w:rPr>
          <w:rFonts w:hint="eastAsia" w:ascii="宋体" w:hAnsi="宋体"/>
          <w:b/>
          <w:color w:val="000000" w:themeColor="text1"/>
          <w:sz w:val="24"/>
        </w:rPr>
        <w:t xml:space="preserve">投标人(公章)：                                           </w:t>
      </w:r>
    </w:p>
    <w:p>
      <w:pPr>
        <w:spacing w:line="360" w:lineRule="auto"/>
        <w:rPr>
          <w:rFonts w:ascii="宋体" w:hAnsi="宋体"/>
          <w:b/>
          <w:color w:val="000000" w:themeColor="text1"/>
          <w:sz w:val="24"/>
        </w:rPr>
      </w:pPr>
      <w:r>
        <w:rPr>
          <w:rFonts w:hint="eastAsia" w:ascii="宋体" w:hAnsi="宋体"/>
          <w:b/>
          <w:color w:val="000000" w:themeColor="text1"/>
          <w:sz w:val="24"/>
        </w:rPr>
        <w:t>备注：表中最终投标报价即为优惠后报价，并作为评审及定标依据。任何有选择或有条件的最终投标报价，超过项目概算或者表中某一标段填写多个报价，均为无效报价。</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keepNext/>
        <w:keepLines/>
        <w:spacing w:before="260" w:after="260" w:line="415" w:lineRule="auto"/>
        <w:jc w:val="center"/>
        <w:outlineLvl w:val="2"/>
        <w:rPr>
          <w:rFonts w:ascii="宋体" w:hAnsi="宋体"/>
          <w:b/>
          <w:bCs/>
          <w:color w:val="000000" w:themeColor="text1"/>
          <w:sz w:val="28"/>
          <w:szCs w:val="36"/>
        </w:rPr>
      </w:pPr>
      <w:bookmarkStart w:id="113" w:name="_Toc27108"/>
      <w:bookmarkStart w:id="114" w:name="_Toc20723"/>
      <w:bookmarkStart w:id="115" w:name="_Toc29288"/>
      <w:bookmarkStart w:id="116" w:name="_Toc528276345"/>
      <w:bookmarkStart w:id="117" w:name="_Toc536542358"/>
      <w:bookmarkStart w:id="118" w:name="_Toc220232409"/>
      <w:bookmarkStart w:id="119" w:name="_Toc471736413"/>
      <w:bookmarkStart w:id="120" w:name="_Toc36563030"/>
      <w:r>
        <w:rPr>
          <w:rFonts w:hint="eastAsia" w:ascii="宋体" w:hAnsi="宋体"/>
          <w:b/>
          <w:bCs/>
          <w:color w:val="000000" w:themeColor="text1"/>
          <w:sz w:val="28"/>
          <w:szCs w:val="32"/>
        </w:rPr>
        <w:t>四．单项报价表</w:t>
      </w:r>
      <w:bookmarkEnd w:id="113"/>
      <w:bookmarkEnd w:id="114"/>
      <w:bookmarkEnd w:id="115"/>
      <w:bookmarkEnd w:id="116"/>
      <w:bookmarkEnd w:id="117"/>
      <w:bookmarkEnd w:id="118"/>
      <w:bookmarkEnd w:id="119"/>
      <w:bookmarkEnd w:id="120"/>
      <w:r>
        <w:rPr>
          <w:rFonts w:hint="eastAsia" w:ascii="宋体" w:hAnsi="宋体"/>
          <w:b/>
          <w:bCs/>
          <w:color w:val="000000" w:themeColor="text1"/>
          <w:sz w:val="28"/>
          <w:szCs w:val="32"/>
        </w:rPr>
        <w:t>（如有）</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Borders>
              <w:top w:val="single" w:color="auto" w:sz="4" w:space="0"/>
              <w:left w:val="single" w:color="auto" w:sz="4" w:space="0"/>
              <w:bottom w:val="single" w:color="auto" w:sz="4" w:space="0"/>
              <w:right w:val="single" w:color="auto" w:sz="4" w:space="0"/>
            </w:tcBorders>
            <w:vAlign w:val="center"/>
          </w:tcPr>
          <w:p>
            <w:pPr>
              <w:spacing w:before="120" w:after="120"/>
              <w:rPr>
                <w:rFonts w:ascii="宋体" w:hAnsi="宋体"/>
                <w:b/>
                <w:color w:val="000000" w:themeColor="text1"/>
                <w:sz w:val="24"/>
                <w:szCs w:val="20"/>
              </w:rPr>
            </w:pPr>
            <w:r>
              <w:rPr>
                <w:rFonts w:hint="eastAsia" w:ascii="宋体" w:hAnsi="宋体"/>
                <w:b/>
                <w:color w:val="000000" w:themeColor="text1"/>
                <w:sz w:val="24"/>
                <w:szCs w:val="20"/>
              </w:rPr>
              <w:t>序号</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服务项目名称</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单价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小计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rPr>
            </w:pPr>
            <w:r>
              <w:rPr>
                <w:rFonts w:hint="eastAsia" w:ascii="宋体" w:hAnsi="宋体"/>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1</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2</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3</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4</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5</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6</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7</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8</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9</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10</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11</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12</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13</w:t>
            </w: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szCs w:val="20"/>
              </w:rPr>
            </w:pPr>
            <w:r>
              <w:rPr>
                <w:rFonts w:hint="eastAsia" w:ascii="宋体" w:hAnsi="宋体"/>
                <w:color w:val="000000" w:themeColor="text1"/>
                <w:sz w:val="24"/>
                <w:szCs w:val="20"/>
              </w:rPr>
              <w:t>其他费用</w:t>
            </w: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r>
              <w:rPr>
                <w:rFonts w:hint="eastAsia" w:ascii="宋体" w:hAnsi="宋体"/>
                <w:color w:val="000000" w:themeColor="text1"/>
                <w:sz w:val="24"/>
              </w:rPr>
              <w:t>…</w:t>
            </w: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szCs w:val="20"/>
              </w:rPr>
            </w:pPr>
            <w:r>
              <w:rPr>
                <w:rFonts w:hint="eastAsia" w:ascii="宋体" w:hAnsi="宋体"/>
                <w:color w:val="000000" w:themeColor="text1"/>
                <w:sz w:val="24"/>
                <w:szCs w:val="20"/>
              </w:rPr>
              <w:t>…</w:t>
            </w: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281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r>
              <w:rPr>
                <w:rFonts w:hint="eastAsia" w:ascii="宋体" w:hAnsi="宋体"/>
                <w:color w:val="000000" w:themeColor="text1"/>
                <w:sz w:val="24"/>
              </w:rPr>
              <w:t>…</w:t>
            </w: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szCs w:val="20"/>
              </w:rPr>
            </w:pPr>
            <w:r>
              <w:rPr>
                <w:rFonts w:hint="eastAsia" w:ascii="宋体" w:hAnsi="宋体"/>
                <w:color w:val="000000" w:themeColor="text1"/>
                <w:sz w:val="24"/>
                <w:szCs w:val="20"/>
              </w:rPr>
              <w:t>合计</w:t>
            </w:r>
          </w:p>
        </w:tc>
        <w:tc>
          <w:tcPr>
            <w:tcW w:w="1560"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bl>
    <w:p>
      <w:pPr>
        <w:spacing w:line="360" w:lineRule="auto"/>
        <w:rPr>
          <w:rFonts w:ascii="宋体" w:hAnsi="宋体"/>
          <w:bCs/>
          <w:color w:val="000000" w:themeColor="text1"/>
          <w:sz w:val="24"/>
          <w:szCs w:val="28"/>
        </w:rPr>
      </w:pPr>
      <w:r>
        <w:rPr>
          <w:rFonts w:hint="eastAsia" w:ascii="宋体" w:hAnsi="宋体"/>
          <w:b/>
          <w:color w:val="000000" w:themeColor="text1"/>
          <w:sz w:val="24"/>
          <w:szCs w:val="20"/>
        </w:rPr>
        <w:t>投标人公章：</w:t>
      </w:r>
    </w:p>
    <w:p>
      <w:pPr>
        <w:adjustRightInd w:val="0"/>
        <w:snapToGrid w:val="0"/>
        <w:spacing w:line="360" w:lineRule="auto"/>
        <w:rPr>
          <w:rFonts w:ascii="宋体" w:hAnsi="宋体"/>
          <w:b/>
          <w:bCs/>
          <w:color w:val="000000" w:themeColor="text1"/>
          <w:sz w:val="24"/>
          <w:szCs w:val="28"/>
        </w:rPr>
      </w:pPr>
    </w:p>
    <w:p>
      <w:pPr>
        <w:spacing w:line="360" w:lineRule="auto"/>
        <w:rPr>
          <w:rFonts w:ascii="宋体" w:hAnsi="宋体" w:cs="宋体"/>
          <w:b/>
          <w:color w:val="000000" w:themeColor="text1"/>
          <w:sz w:val="24"/>
          <w:szCs w:val="24"/>
        </w:rPr>
      </w:pPr>
    </w:p>
    <w:p>
      <w:pPr>
        <w:spacing w:line="360" w:lineRule="auto"/>
        <w:rPr>
          <w:rFonts w:ascii="宋体" w:hAnsi="宋体" w:cs="宋体"/>
          <w:b/>
          <w:color w:val="000000" w:themeColor="text1"/>
          <w:sz w:val="24"/>
          <w:szCs w:val="24"/>
        </w:rPr>
      </w:pPr>
    </w:p>
    <w:p>
      <w:pPr>
        <w:spacing w:line="360" w:lineRule="auto"/>
        <w:rPr>
          <w:rFonts w:ascii="宋体" w:hAnsi="宋体" w:cs="宋体"/>
          <w:b/>
          <w:color w:val="000000" w:themeColor="text1"/>
          <w:sz w:val="24"/>
          <w:szCs w:val="24"/>
        </w:rPr>
      </w:pPr>
    </w:p>
    <w:p>
      <w:pPr>
        <w:spacing w:line="360" w:lineRule="auto"/>
        <w:rPr>
          <w:rFonts w:ascii="宋体" w:hAnsi="宋体" w:cs="宋体"/>
          <w:b/>
          <w:color w:val="000000" w:themeColor="text1"/>
          <w:sz w:val="24"/>
          <w:szCs w:val="24"/>
        </w:rPr>
      </w:pPr>
    </w:p>
    <w:p>
      <w:pPr>
        <w:spacing w:line="360" w:lineRule="auto"/>
        <w:rPr>
          <w:rFonts w:ascii="宋体" w:hAnsi="宋体" w:cs="宋体"/>
          <w:b/>
          <w:color w:val="000000" w:themeColor="text1"/>
          <w:sz w:val="24"/>
          <w:szCs w:val="24"/>
        </w:rPr>
      </w:pPr>
    </w:p>
    <w:p>
      <w:pPr>
        <w:rPr>
          <w:color w:val="000000" w:themeColor="text1"/>
        </w:rPr>
      </w:pPr>
    </w:p>
    <w:p>
      <w:pPr>
        <w:pStyle w:val="5"/>
        <w:rPr>
          <w:rFonts w:hAnsi="宋体"/>
          <w:color w:val="000000" w:themeColor="text1"/>
          <w:sz w:val="28"/>
        </w:rPr>
      </w:pPr>
      <w:bookmarkStart w:id="121" w:name="_Hlt509739007"/>
      <w:bookmarkEnd w:id="121"/>
      <w:bookmarkStart w:id="122" w:name="_Toc461103234"/>
      <w:bookmarkStart w:id="123" w:name="_Toc471736411"/>
      <w:bookmarkStart w:id="124" w:name="_Toc25972"/>
      <w:bookmarkStart w:id="125" w:name="_Toc197934563"/>
      <w:r>
        <w:rPr>
          <w:rFonts w:hint="eastAsia" w:hAnsi="宋体"/>
          <w:color w:val="000000" w:themeColor="text1"/>
          <w:sz w:val="28"/>
        </w:rPr>
        <w:t>五．投标人信用承诺</w:t>
      </w:r>
      <w:bookmarkEnd w:id="122"/>
      <w:bookmarkEnd w:id="123"/>
      <w:bookmarkEnd w:id="124"/>
    </w:p>
    <w:p>
      <w:pPr>
        <w:spacing w:line="360" w:lineRule="auto"/>
        <w:ind w:firstLine="630"/>
        <w:rPr>
          <w:rFonts w:ascii="宋体" w:hAnsi="宋体"/>
          <w:color w:val="000000" w:themeColor="text1"/>
          <w:sz w:val="24"/>
        </w:rPr>
      </w:pPr>
      <w:r>
        <w:rPr>
          <w:rFonts w:hint="eastAsia" w:ascii="宋体" w:hAnsi="宋体"/>
          <w:color w:val="000000" w:themeColor="text1"/>
          <w:sz w:val="24"/>
        </w:rPr>
        <w:t>我公司申明，我公司无以下不良信用记录情形：</w:t>
      </w:r>
    </w:p>
    <w:p>
      <w:pPr>
        <w:spacing w:line="360" w:lineRule="auto"/>
        <w:ind w:firstLine="630"/>
        <w:rPr>
          <w:rFonts w:ascii="宋体" w:hAnsi="宋体"/>
          <w:color w:val="000000" w:themeColor="text1"/>
          <w:sz w:val="24"/>
        </w:rPr>
      </w:pPr>
      <w:r>
        <w:rPr>
          <w:rFonts w:hint="eastAsia" w:ascii="宋体" w:hAnsi="宋体"/>
          <w:color w:val="000000" w:themeColor="text1"/>
          <w:sz w:val="24"/>
        </w:rPr>
        <w:t>1.公司被人民法院列入失信被执行人；</w:t>
      </w:r>
    </w:p>
    <w:p>
      <w:pPr>
        <w:spacing w:line="360" w:lineRule="auto"/>
        <w:ind w:firstLine="630"/>
        <w:rPr>
          <w:rFonts w:ascii="宋体" w:hAnsi="宋体"/>
          <w:color w:val="000000" w:themeColor="text1"/>
          <w:sz w:val="24"/>
        </w:rPr>
      </w:pPr>
      <w:r>
        <w:rPr>
          <w:rFonts w:hint="eastAsia" w:ascii="宋体" w:hAnsi="宋体"/>
          <w:color w:val="000000" w:themeColor="text1"/>
          <w:sz w:val="24"/>
        </w:rPr>
        <w:t>2.公司、公司法定代表人被人民检察院列入行贿犯罪档案；</w:t>
      </w:r>
    </w:p>
    <w:p>
      <w:pPr>
        <w:spacing w:line="360" w:lineRule="auto"/>
        <w:ind w:firstLine="630"/>
        <w:rPr>
          <w:rFonts w:ascii="宋体" w:hAnsi="宋体"/>
          <w:color w:val="000000" w:themeColor="text1"/>
          <w:sz w:val="24"/>
        </w:rPr>
      </w:pPr>
      <w:r>
        <w:rPr>
          <w:rFonts w:hint="eastAsia" w:ascii="宋体" w:hAnsi="宋体"/>
          <w:color w:val="000000" w:themeColor="text1"/>
          <w:sz w:val="24"/>
        </w:rPr>
        <w:t>3.公司被工商行政管理部门列入企业经营异常名录；</w:t>
      </w:r>
    </w:p>
    <w:p>
      <w:pPr>
        <w:spacing w:line="360" w:lineRule="auto"/>
        <w:ind w:firstLine="630"/>
        <w:rPr>
          <w:rFonts w:ascii="宋体" w:hAnsi="宋体"/>
          <w:color w:val="000000" w:themeColor="text1"/>
          <w:sz w:val="24"/>
        </w:rPr>
      </w:pPr>
      <w:r>
        <w:rPr>
          <w:rFonts w:hint="eastAsia" w:ascii="宋体" w:hAnsi="宋体"/>
          <w:color w:val="000000" w:themeColor="text1"/>
          <w:sz w:val="24"/>
        </w:rPr>
        <w:t>4.公司被税务部门列入重大税收违法案件当事人名单的；</w:t>
      </w:r>
    </w:p>
    <w:p>
      <w:pPr>
        <w:spacing w:line="360" w:lineRule="auto"/>
        <w:ind w:firstLine="630"/>
        <w:rPr>
          <w:rFonts w:ascii="宋体" w:hAnsi="宋体"/>
          <w:color w:val="000000" w:themeColor="text1"/>
          <w:sz w:val="24"/>
        </w:rPr>
      </w:pPr>
      <w:r>
        <w:rPr>
          <w:rFonts w:hint="eastAsia" w:ascii="宋体" w:hAnsi="宋体"/>
          <w:color w:val="000000" w:themeColor="text1"/>
          <w:sz w:val="24"/>
        </w:rPr>
        <w:t>5.</w:t>
      </w:r>
      <w:r>
        <w:rPr>
          <w:rFonts w:hint="eastAsia" w:ascii="宋体" w:hAnsi="宋体"/>
          <w:color w:val="000000" w:themeColor="text1"/>
          <w:sz w:val="24"/>
          <w:szCs w:val="24"/>
        </w:rPr>
        <w:t xml:space="preserve"> 参加本次投标活动前三年内，在服务活动中没有重大违法及安全事故记录</w:t>
      </w:r>
      <w:r>
        <w:rPr>
          <w:rFonts w:hint="eastAsia" w:ascii="宋体" w:hAnsi="宋体"/>
          <w:color w:val="000000" w:themeColor="text1"/>
          <w:sz w:val="24"/>
        </w:rPr>
        <w:t>。</w:t>
      </w:r>
    </w:p>
    <w:p>
      <w:pPr>
        <w:spacing w:line="360" w:lineRule="auto"/>
        <w:ind w:firstLine="630"/>
        <w:rPr>
          <w:rFonts w:ascii="宋体" w:hAnsi="宋体"/>
          <w:color w:val="000000" w:themeColor="text1"/>
          <w:sz w:val="24"/>
        </w:rPr>
      </w:pPr>
      <w:r>
        <w:rPr>
          <w:rFonts w:hint="eastAsia" w:ascii="宋体" w:hAnsi="宋体"/>
          <w:color w:val="000000" w:themeColor="text1"/>
          <w:sz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r>
        <w:rPr>
          <w:rFonts w:hint="eastAsia" w:ascii="宋体" w:hAnsi="宋体"/>
          <w:b/>
          <w:color w:val="000000" w:themeColor="text1"/>
          <w:sz w:val="24"/>
        </w:rPr>
        <w:t>投标人（公章）：</w:t>
      </w: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p>
      <w:pPr>
        <w:spacing w:line="360" w:lineRule="auto"/>
        <w:ind w:firstLine="630"/>
        <w:rPr>
          <w:rFonts w:ascii="宋体" w:hAnsi="宋体"/>
          <w:b/>
          <w:color w:val="000000" w:themeColor="text1"/>
          <w:sz w:val="24"/>
        </w:rPr>
      </w:pPr>
    </w:p>
    <w:bookmarkEnd w:id="125"/>
    <w:p>
      <w:pPr>
        <w:pStyle w:val="5"/>
        <w:rPr>
          <w:rFonts w:hAnsi="宋体"/>
          <w:color w:val="000000" w:themeColor="text1"/>
          <w:sz w:val="28"/>
        </w:rPr>
      </w:pPr>
      <w:bookmarkStart w:id="126" w:name="_Hlt509738950"/>
      <w:bookmarkEnd w:id="126"/>
      <w:bookmarkStart w:id="127" w:name="_Toc496587831"/>
      <w:bookmarkStart w:id="128" w:name="_Toc31170"/>
      <w:r>
        <w:rPr>
          <w:rFonts w:hint="eastAsia" w:hAnsi="宋体"/>
          <w:color w:val="000000" w:themeColor="text1"/>
          <w:sz w:val="28"/>
        </w:rPr>
        <w:t>六.</w:t>
      </w:r>
      <w:bookmarkEnd w:id="127"/>
      <w:r>
        <w:rPr>
          <w:rFonts w:hint="eastAsia" w:hAnsi="宋体"/>
          <w:color w:val="000000" w:themeColor="text1"/>
          <w:sz w:val="28"/>
        </w:rPr>
        <w:t xml:space="preserve"> 投标业绩</w:t>
      </w:r>
      <w:bookmarkEnd w:id="128"/>
    </w:p>
    <w:p>
      <w:pPr>
        <w:jc w:val="center"/>
        <w:rPr>
          <w:b/>
          <w:color w:val="000000" w:themeColor="text1"/>
          <w:sz w:val="28"/>
          <w:szCs w:val="28"/>
        </w:rPr>
      </w:pPr>
      <w:r>
        <w:rPr>
          <w:rFonts w:hint="eastAsia"/>
          <w:b/>
          <w:color w:val="000000" w:themeColor="text1"/>
          <w:sz w:val="28"/>
          <w:szCs w:val="28"/>
        </w:rPr>
        <w:t>（一）业绩表</w:t>
      </w:r>
    </w:p>
    <w:p>
      <w:pPr>
        <w:jc w:val="center"/>
        <w:rPr>
          <w:color w:val="000000" w:themeColor="text1"/>
          <w:sz w:val="24"/>
          <w:szCs w:val="24"/>
        </w:rPr>
      </w:pPr>
      <w:r>
        <w:rPr>
          <w:rFonts w:hint="eastAsia"/>
          <w:color w:val="000000" w:themeColor="text1"/>
          <w:sz w:val="24"/>
          <w:szCs w:val="24"/>
        </w:rPr>
        <w:t>（格式仅供参考）</w:t>
      </w:r>
    </w:p>
    <w:tbl>
      <w:tblPr>
        <w:tblStyle w:val="51"/>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项目名称</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sz w:val="24"/>
                <w:szCs w:val="24"/>
              </w:rPr>
            </w:pPr>
            <w:r>
              <w:rPr>
                <w:rFonts w:hint="eastAsia" w:ascii="宋体" w:hAnsi="宋体"/>
                <w:color w:val="000000" w:themeColor="text1"/>
                <w:sz w:val="24"/>
                <w:szCs w:val="24"/>
              </w:rPr>
              <w:t>服务内容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合同总金额</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业主单位</w:t>
            </w:r>
          </w:p>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及联系电话</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r>
              <w:rPr>
                <w:rFonts w:hint="eastAsia" w:ascii="宋体" w:hAnsi="宋体"/>
                <w:color w:val="000000" w:themeColor="text1"/>
                <w:sz w:val="24"/>
                <w:szCs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rPr>
            </w:pPr>
          </w:p>
        </w:tc>
      </w:tr>
    </w:tbl>
    <w:p>
      <w:pPr>
        <w:spacing w:beforeLines="20" w:afterLines="20" w:line="360" w:lineRule="auto"/>
        <w:rPr>
          <w:rFonts w:ascii="宋体" w:hAnsi="宋体"/>
          <w:color w:val="000000" w:themeColor="text1"/>
          <w:sz w:val="28"/>
        </w:rPr>
      </w:pPr>
    </w:p>
    <w:p>
      <w:pPr>
        <w:spacing w:beforeLines="20" w:afterLines="20" w:line="360" w:lineRule="auto"/>
        <w:jc w:val="center"/>
        <w:rPr>
          <w:rFonts w:ascii="宋体" w:hAnsi="宋体"/>
          <w:b/>
          <w:color w:val="000000" w:themeColor="text1"/>
          <w:sz w:val="28"/>
        </w:rPr>
      </w:pPr>
      <w:r>
        <w:rPr>
          <w:rFonts w:hint="eastAsia" w:ascii="宋体" w:hAnsi="宋体"/>
          <w:b/>
          <w:color w:val="000000" w:themeColor="text1"/>
          <w:sz w:val="28"/>
        </w:rPr>
        <w:t>（二）业绩证明材料</w:t>
      </w:r>
    </w:p>
    <w:p>
      <w:pPr>
        <w:spacing w:beforeLines="20" w:afterLines="20" w:line="360" w:lineRule="auto"/>
        <w:jc w:val="center"/>
        <w:rPr>
          <w:rFonts w:ascii="宋体" w:hAnsi="宋体"/>
          <w:color w:val="000000" w:themeColor="text1"/>
          <w:sz w:val="24"/>
          <w:szCs w:val="24"/>
        </w:rPr>
      </w:pPr>
      <w:r>
        <w:rPr>
          <w:rFonts w:hint="eastAsia" w:ascii="宋体" w:hAnsi="宋体"/>
          <w:color w:val="000000" w:themeColor="text1"/>
          <w:sz w:val="24"/>
          <w:szCs w:val="24"/>
        </w:rPr>
        <w:t>（建议与上述“（一）业绩表”填写的业绩一一对应提供）</w:t>
      </w: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spacing w:beforeLines="20" w:afterLines="20" w:line="360" w:lineRule="auto"/>
        <w:jc w:val="center"/>
        <w:rPr>
          <w:rFonts w:ascii="宋体" w:hAnsi="宋体"/>
          <w:color w:val="000000" w:themeColor="text1"/>
          <w:sz w:val="24"/>
          <w:szCs w:val="24"/>
        </w:rPr>
      </w:pPr>
    </w:p>
    <w:p>
      <w:pPr>
        <w:pStyle w:val="5"/>
        <w:rPr>
          <w:rFonts w:hAnsi="宋体"/>
          <w:color w:val="000000" w:themeColor="text1"/>
          <w:sz w:val="28"/>
          <w:szCs w:val="36"/>
        </w:rPr>
      </w:pPr>
      <w:bookmarkStart w:id="129" w:name="_Toc496587832"/>
      <w:bookmarkStart w:id="130" w:name="_Toc471675527"/>
      <w:bookmarkStart w:id="131" w:name="_Toc11687"/>
      <w:r>
        <w:rPr>
          <w:rFonts w:hint="eastAsia" w:hAnsi="宋体"/>
          <w:color w:val="000000" w:themeColor="text1"/>
          <w:sz w:val="28"/>
        </w:rPr>
        <w:t>七．拟投入本项目的人员情况</w:t>
      </w:r>
      <w:bookmarkEnd w:id="129"/>
      <w:bookmarkEnd w:id="130"/>
      <w:bookmarkEnd w:id="131"/>
    </w:p>
    <w:p>
      <w:pPr>
        <w:tabs>
          <w:tab w:val="left" w:pos="4620"/>
        </w:tabs>
        <w:spacing w:line="360" w:lineRule="auto"/>
        <w:ind w:firstLine="480" w:firstLineChars="200"/>
        <w:rPr>
          <w:rFonts w:ascii="宋体" w:hAnsi="宋体"/>
          <w:color w:val="000000" w:themeColor="text1"/>
          <w:sz w:val="24"/>
        </w:rPr>
      </w:pPr>
      <w:r>
        <w:rPr>
          <w:rFonts w:hint="eastAsia" w:ascii="宋体" w:hAnsi="宋体"/>
          <w:bCs/>
          <w:color w:val="000000" w:themeColor="text1"/>
          <w:sz w:val="24"/>
          <w:szCs w:val="24"/>
        </w:rPr>
        <w:t>投标人可自行制作格式</w:t>
      </w:r>
      <w:r>
        <w:rPr>
          <w:rFonts w:hint="eastAsia" w:ascii="宋体" w:hAnsi="宋体"/>
          <w:color w:val="000000" w:themeColor="text1"/>
          <w:sz w:val="24"/>
        </w:rPr>
        <w:t>，应能体现出所有招标文件要求的内容，并附相关证明材料（扫描件）。</w:t>
      </w:r>
    </w:p>
    <w:p>
      <w:pPr>
        <w:pStyle w:val="5"/>
        <w:rPr>
          <w:rFonts w:hAnsi="宋体"/>
          <w:color w:val="000000" w:themeColor="text1"/>
          <w:sz w:val="28"/>
          <w:szCs w:val="36"/>
        </w:rPr>
      </w:pPr>
      <w:bookmarkStart w:id="132" w:name="_Toc496587833"/>
      <w:bookmarkStart w:id="133" w:name="_Toc471675528"/>
      <w:bookmarkStart w:id="134" w:name="_Toc16573"/>
      <w:r>
        <w:rPr>
          <w:rFonts w:hint="eastAsia" w:hAnsi="宋体"/>
          <w:color w:val="000000" w:themeColor="text1"/>
          <w:sz w:val="28"/>
        </w:rPr>
        <w:t>八．服务方案</w:t>
      </w:r>
      <w:bookmarkEnd w:id="132"/>
      <w:bookmarkEnd w:id="133"/>
      <w:bookmarkEnd w:id="134"/>
    </w:p>
    <w:p>
      <w:pPr>
        <w:spacing w:beforeLines="20" w:afterLines="20" w:line="360" w:lineRule="auto"/>
        <w:jc w:val="center"/>
        <w:rPr>
          <w:rFonts w:ascii="宋体" w:hAnsi="宋体"/>
          <w:color w:val="000000" w:themeColor="text1"/>
          <w:sz w:val="28"/>
        </w:rPr>
      </w:pPr>
      <w:r>
        <w:rPr>
          <w:rFonts w:hint="eastAsia" w:ascii="宋体" w:hAnsi="宋体"/>
          <w:bCs/>
          <w:color w:val="000000" w:themeColor="text1"/>
          <w:sz w:val="24"/>
          <w:szCs w:val="24"/>
        </w:rPr>
        <w:t>（投标人可自行制作格式）</w:t>
      </w:r>
    </w:p>
    <w:p>
      <w:pPr>
        <w:pStyle w:val="5"/>
        <w:rPr>
          <w:rFonts w:hAnsi="宋体"/>
          <w:color w:val="000000" w:themeColor="text1"/>
          <w:sz w:val="28"/>
          <w:szCs w:val="36"/>
        </w:rPr>
      </w:pPr>
      <w:bookmarkStart w:id="135" w:name="_Toc496587834"/>
      <w:bookmarkStart w:id="136" w:name="_Toc14238"/>
      <w:r>
        <w:rPr>
          <w:rFonts w:hint="eastAsia" w:hAnsi="宋体"/>
          <w:color w:val="000000" w:themeColor="text1"/>
          <w:sz w:val="28"/>
        </w:rPr>
        <w:t>九．有关证明文件</w:t>
      </w:r>
      <w:bookmarkEnd w:id="135"/>
      <w:bookmarkEnd w:id="136"/>
    </w:p>
    <w:p>
      <w:pPr>
        <w:tabs>
          <w:tab w:val="left" w:pos="4620"/>
        </w:tabs>
        <w:spacing w:line="360" w:lineRule="auto"/>
        <w:ind w:firstLine="480" w:firstLineChars="200"/>
        <w:rPr>
          <w:rFonts w:ascii="宋体" w:hAnsi="宋体"/>
          <w:color w:val="000000" w:themeColor="text1"/>
          <w:sz w:val="24"/>
        </w:rPr>
      </w:pPr>
      <w:r>
        <w:rPr>
          <w:rFonts w:hint="eastAsia" w:ascii="宋体" w:hAnsi="宋体"/>
          <w:color w:val="000000" w:themeColor="text1"/>
          <w:sz w:val="24"/>
        </w:rPr>
        <w:t>提供符合投标邀请（招标公告）、招标需求及评标办法规定的相关证明文件（制作成扫描件）。</w:t>
      </w:r>
    </w:p>
    <w:p>
      <w:pPr>
        <w:pStyle w:val="25"/>
        <w:snapToGrid w:val="0"/>
        <w:spacing w:before="120" w:after="120" w:line="360" w:lineRule="auto"/>
        <w:ind w:firstLine="480"/>
        <w:jc w:val="left"/>
        <w:rPr>
          <w:rFonts w:hAnsi="宋体"/>
          <w:color w:val="000000" w:themeColor="text1"/>
          <w:sz w:val="24"/>
        </w:rPr>
      </w:pPr>
      <w:r>
        <w:rPr>
          <w:rFonts w:hint="eastAsia" w:hAnsi="宋体"/>
          <w:color w:val="000000" w:themeColor="text1"/>
          <w:sz w:val="24"/>
        </w:rPr>
        <w:t>特别提示：</w:t>
      </w:r>
    </w:p>
    <w:p>
      <w:pPr>
        <w:pStyle w:val="25"/>
        <w:snapToGrid w:val="0"/>
        <w:spacing w:line="360" w:lineRule="auto"/>
        <w:ind w:firstLine="482"/>
        <w:jc w:val="left"/>
        <w:rPr>
          <w:rFonts w:hAnsi="宋体"/>
          <w:color w:val="000000" w:themeColor="text1"/>
          <w:sz w:val="24"/>
        </w:rPr>
      </w:pPr>
      <w:r>
        <w:rPr>
          <w:rFonts w:hint="eastAsia" w:hAnsi="宋体"/>
          <w:color w:val="000000" w:themeColor="text1"/>
          <w:sz w:val="24"/>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rPr>
      </w:pPr>
      <w:r>
        <w:rPr>
          <w:rFonts w:hint="eastAsia" w:ascii="宋体" w:hAnsi="宋体"/>
          <w:b/>
          <w:color w:val="000000" w:themeColor="text1"/>
          <w:sz w:val="24"/>
        </w:rPr>
        <w:t>招标文件要求的其他证明资料</w:t>
      </w:r>
      <w:r>
        <w:rPr>
          <w:rFonts w:hint="eastAsia" w:ascii="宋体" w:hAnsi="宋体" w:cs="Cambria"/>
          <w:b/>
          <w:color w:val="000000" w:themeColor="text1"/>
          <w:sz w:val="24"/>
        </w:rPr>
        <w:t>（根据项目要求编辑）</w:t>
      </w:r>
      <w:r>
        <w:rPr>
          <w:rFonts w:hint="eastAsia" w:ascii="宋体" w:hAnsi="宋体"/>
          <w:b/>
          <w:color w:val="000000" w:themeColor="text1"/>
          <w:sz w:val="24"/>
          <w:szCs w:val="24"/>
        </w:rPr>
        <w:t>，如营业执照、税务登记证、业绩、相关证书、证明资料等，</w:t>
      </w:r>
      <w:r>
        <w:rPr>
          <w:rFonts w:hint="eastAsia" w:ascii="宋体" w:hAnsi="宋体"/>
          <w:color w:val="000000" w:themeColor="text1"/>
          <w:sz w:val="24"/>
        </w:rPr>
        <w:t>应将上述证明材料制作成扫描件。</w:t>
      </w: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tabs>
          <w:tab w:val="left" w:pos="4620"/>
        </w:tabs>
        <w:spacing w:line="360" w:lineRule="auto"/>
        <w:ind w:firstLine="480" w:firstLineChars="200"/>
        <w:rPr>
          <w:rFonts w:ascii="宋体" w:hAnsi="宋体"/>
          <w:color w:val="000000" w:themeColor="text1"/>
          <w:sz w:val="24"/>
        </w:rPr>
      </w:pPr>
    </w:p>
    <w:p>
      <w:pPr>
        <w:pStyle w:val="5"/>
        <w:rPr>
          <w:rFonts w:hAnsi="宋体"/>
          <w:color w:val="000000" w:themeColor="text1"/>
          <w:sz w:val="28"/>
        </w:rPr>
      </w:pPr>
      <w:bookmarkStart w:id="137" w:name="_Toc19778"/>
      <w:bookmarkStart w:id="138" w:name="_Toc220232401"/>
      <w:bookmarkStart w:id="139" w:name="_Toc516969104"/>
      <w:bookmarkStart w:id="140" w:name="_Hlt510342906"/>
      <w:bookmarkStart w:id="141" w:name="_Toc508363608"/>
      <w:bookmarkStart w:id="142" w:name="_Toc471736417"/>
      <w:r>
        <w:rPr>
          <w:rFonts w:hint="eastAsia" w:hAnsi="宋体"/>
          <w:color w:val="000000" w:themeColor="text1"/>
          <w:sz w:val="28"/>
        </w:rPr>
        <w:t>十．投标授权书</w:t>
      </w:r>
      <w:bookmarkEnd w:id="137"/>
    </w:p>
    <w:p>
      <w:pPr>
        <w:pStyle w:val="25"/>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本授权书声明：公司授权（投标人授权代表姓名、职务，手机号码）代表本公司参加合肥文旅博览集团有限公司</w:t>
      </w:r>
      <w:r>
        <w:rPr>
          <w:rFonts w:hint="eastAsia" w:hAnsi="宋体"/>
          <w:bCs/>
          <w:color w:val="000000" w:themeColor="text1"/>
          <w:sz w:val="24"/>
          <w:szCs w:val="28"/>
        </w:rPr>
        <w:t>招标活动（项目编号：）</w:t>
      </w:r>
      <w:r>
        <w:rPr>
          <w:rFonts w:hint="eastAsia" w:hAnsi="宋体"/>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5"/>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本授权书自出具之日起生效。</w:t>
      </w: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r>
        <w:rPr>
          <w:color w:val="000000" w:themeColor="text1"/>
        </w:rPr>
        <w:pict>
          <v:group id="_x0000_s1026" o:spid="_x0000_s1026" o:spt="203" style="position:absolute;left:0pt;margin-left:91.4pt;margin-top:20.1pt;height:57.3pt;width:303.95pt;z-index:251659264;mso-width-relative:page;mso-height-relative:page;" coordorigin="3270,5789" coordsize="6079,152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">
            <o:lock v:ext="edit"/>
            <v:roundrect id="自选图形 67" o:spid="_x0000_s1027" o:spt="2" style="position:absolute;left:3270;top:5789;height:1525;width:2794;"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path/>
              <v:fill focussize="0,0"/>
              <v:stroke/>
              <v:imagedata o:title=""/>
              <o:lock v:ext="edit"/>
              <v:textbox>
                <w:txbxContent>
                  <w:p/>
                </w:txbxContent>
              </v:textbox>
            </v:roundrect>
            <v:roundrect id="自选图形 68" o:spid="_x0000_s1028" o:spt="2" style="position:absolute;left:6555;top:5789;height:1525;width:2794;"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path/>
              <v:fill focussize="0,0"/>
              <v:stroke/>
              <v:imagedata o:title=""/>
              <o:lock v:ext="edit"/>
              <v:textbox>
                <w:txbxContent>
                  <w:p>
                    <w:pPr>
                      <w:jc w:val="center"/>
                      <w:rPr>
                        <w:color w:val="FF0000"/>
                        <w:szCs w:val="21"/>
                      </w:rPr>
                    </w:pPr>
                  </w:p>
                </w:txbxContent>
              </v:textbox>
            </v:roundrect>
          </v:group>
        </w:pict>
      </w:r>
    </w:p>
    <w:p>
      <w:pPr>
        <w:spacing w:line="360" w:lineRule="auto"/>
        <w:ind w:firstLine="645"/>
        <w:rPr>
          <w:rFonts w:ascii="宋体" w:hAnsi="宋体"/>
          <w:color w:val="000000" w:themeColor="text1"/>
          <w:sz w:val="24"/>
          <w:szCs w:val="28"/>
        </w:rPr>
      </w:pPr>
      <w:r>
        <w:rPr>
          <w:rFonts w:hint="eastAsia" w:ascii="宋体" w:hAnsi="宋体"/>
          <w:color w:val="000000" w:themeColor="text1"/>
          <w:sz w:val="24"/>
          <w:szCs w:val="28"/>
        </w:rPr>
        <w:t>特此声明。</w:t>
      </w: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b/>
          <w:bCs/>
          <w:color w:val="000000" w:themeColor="text1"/>
          <w:sz w:val="24"/>
          <w:szCs w:val="28"/>
        </w:rPr>
      </w:pPr>
      <w:r>
        <w:rPr>
          <w:rFonts w:hint="eastAsia" w:ascii="宋体" w:hAnsi="宋体"/>
          <w:b/>
          <w:bCs/>
          <w:color w:val="000000" w:themeColor="text1"/>
          <w:sz w:val="24"/>
          <w:szCs w:val="28"/>
        </w:rPr>
        <w:t>投标人(公章)：</w:t>
      </w:r>
    </w:p>
    <w:p>
      <w:pPr>
        <w:spacing w:line="360" w:lineRule="auto"/>
        <w:rPr>
          <w:rFonts w:ascii="宋体" w:hAnsi="宋体"/>
          <w:color w:val="000000" w:themeColor="text1"/>
          <w:sz w:val="24"/>
          <w:szCs w:val="28"/>
        </w:rPr>
      </w:pPr>
      <w:r>
        <w:rPr>
          <w:rFonts w:hint="eastAsia" w:ascii="宋体" w:hAnsi="宋体"/>
          <w:color w:val="000000" w:themeColor="text1"/>
          <w:sz w:val="24"/>
          <w:szCs w:val="28"/>
        </w:rPr>
        <w:t xml:space="preserve">日        期： </w:t>
      </w:r>
    </w:p>
    <w:p>
      <w:pPr>
        <w:rPr>
          <w:rFonts w:ascii="宋体" w:hAnsi="宋体"/>
          <w:color w:val="000000" w:themeColor="text1"/>
          <w:sz w:val="28"/>
          <w:szCs w:val="28"/>
        </w:rPr>
      </w:pPr>
    </w:p>
    <w:p>
      <w:pPr>
        <w:pStyle w:val="25"/>
        <w:snapToGrid w:val="0"/>
        <w:spacing w:line="360" w:lineRule="auto"/>
        <w:jc w:val="left"/>
        <w:rPr>
          <w:rFonts w:hAnsi="宋体"/>
          <w:color w:val="000000" w:themeColor="text1"/>
          <w:sz w:val="24"/>
          <w:szCs w:val="28"/>
        </w:rPr>
      </w:pPr>
      <w:r>
        <w:rPr>
          <w:rFonts w:hint="eastAsia" w:hAnsi="宋体"/>
          <w:color w:val="000000" w:themeColor="text1"/>
          <w:sz w:val="24"/>
          <w:szCs w:val="28"/>
        </w:rPr>
        <w:t>注：</w:t>
      </w:r>
    </w:p>
    <w:p>
      <w:pPr>
        <w:pStyle w:val="25"/>
        <w:snapToGrid w:val="0"/>
        <w:spacing w:line="360" w:lineRule="auto"/>
        <w:jc w:val="left"/>
        <w:rPr>
          <w:rFonts w:hAnsi="宋体"/>
          <w:color w:val="000000" w:themeColor="text1"/>
          <w:sz w:val="24"/>
          <w:szCs w:val="28"/>
        </w:rPr>
      </w:pPr>
      <w:bookmarkStart w:id="143" w:name="_Toc471736421"/>
      <w:bookmarkStart w:id="144" w:name="_Toc220232403"/>
      <w:r>
        <w:rPr>
          <w:rFonts w:hint="eastAsia" w:hAnsi="宋体"/>
          <w:color w:val="000000" w:themeColor="text1"/>
          <w:sz w:val="24"/>
          <w:szCs w:val="28"/>
        </w:rPr>
        <w:t>1.本项目只允许有唯一的投标人授权代表（须与投标函中授权代表为同一人，否则投标无效），投标文件中提供授权代表身份证</w:t>
      </w:r>
      <w:r>
        <w:rPr>
          <w:rFonts w:hint="eastAsia" w:hAnsi="宋体"/>
          <w:color w:val="000000" w:themeColor="text1"/>
          <w:sz w:val="24"/>
        </w:rPr>
        <w:t>扫描件</w:t>
      </w:r>
      <w:r>
        <w:rPr>
          <w:rFonts w:hint="eastAsia" w:hAnsi="宋体"/>
          <w:color w:val="000000" w:themeColor="text1"/>
          <w:sz w:val="24"/>
          <w:szCs w:val="28"/>
        </w:rPr>
        <w:t>。</w:t>
      </w:r>
    </w:p>
    <w:p>
      <w:pPr>
        <w:pStyle w:val="25"/>
        <w:snapToGrid w:val="0"/>
        <w:spacing w:line="360" w:lineRule="auto"/>
        <w:jc w:val="left"/>
        <w:rPr>
          <w:rFonts w:hAnsi="宋体"/>
          <w:color w:val="000000" w:themeColor="text1"/>
          <w:sz w:val="24"/>
          <w:szCs w:val="24"/>
        </w:rPr>
      </w:pPr>
      <w:r>
        <w:rPr>
          <w:rFonts w:hint="eastAsia" w:hAnsi="宋体"/>
          <w:color w:val="000000" w:themeColor="text1"/>
          <w:sz w:val="24"/>
          <w:szCs w:val="28"/>
        </w:rPr>
        <w:t>2.法定代表人参加投标的无需此件，</w:t>
      </w:r>
      <w:r>
        <w:rPr>
          <w:rFonts w:hint="eastAsia" w:hAnsi="宋体"/>
          <w:color w:val="000000" w:themeColor="text1"/>
          <w:sz w:val="24"/>
        </w:rPr>
        <w:t>但投标文件中须提供身份证扫描件。</w:t>
      </w:r>
    </w:p>
    <w:bookmarkEnd w:id="143"/>
    <w:bookmarkEnd w:id="144"/>
    <w:p>
      <w:pPr>
        <w:pStyle w:val="5"/>
        <w:rPr>
          <w:rFonts w:hAnsi="宋体"/>
          <w:color w:val="000000" w:themeColor="text1"/>
          <w:sz w:val="28"/>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38"/>
    <w:bookmarkEnd w:id="139"/>
    <w:bookmarkEnd w:id="140"/>
    <w:bookmarkEnd w:id="141"/>
    <w:bookmarkEnd w:id="142"/>
    <w:p>
      <w:pPr>
        <w:widowControl/>
        <w:jc w:val="left"/>
        <w:rPr>
          <w:rFonts w:ascii="宋体" w:hAnsi="宋体"/>
          <w:b/>
          <w:bCs/>
          <w:color w:val="000000" w:themeColor="text1"/>
          <w:sz w:val="30"/>
        </w:rPr>
        <w:sectPr>
          <w:headerReference r:id="rId3" w:type="default"/>
          <w:footerReference r:id="rId4" w:type="default"/>
          <w:pgSz w:w="11907" w:h="16840"/>
          <w:pgMar w:top="1440" w:right="1247" w:bottom="1440" w:left="1247" w:header="851" w:footer="992" w:gutter="0"/>
          <w:cols w:space="720" w:num="1"/>
        </w:sectPr>
      </w:pPr>
    </w:p>
    <w:p>
      <w:pPr>
        <w:pStyle w:val="5"/>
        <w:rPr>
          <w:rFonts w:hAnsi="宋体"/>
          <w:color w:val="000000" w:themeColor="text1"/>
          <w:sz w:val="28"/>
        </w:rPr>
      </w:pPr>
      <w:bookmarkStart w:id="145" w:name="_Toc390243258"/>
      <w:bookmarkStart w:id="146" w:name="_Toc391040781"/>
      <w:bookmarkStart w:id="147" w:name="_Toc471736427"/>
      <w:bookmarkStart w:id="148" w:name="_Toc459990157"/>
      <w:bookmarkStart w:id="149" w:name="_Toc420342108"/>
      <w:bookmarkStart w:id="150" w:name="_Toc517681252"/>
      <w:bookmarkStart w:id="151" w:name="_Toc15728"/>
      <w:r>
        <w:rPr>
          <w:rFonts w:hint="eastAsia" w:hAnsi="宋体"/>
          <w:color w:val="000000" w:themeColor="text1"/>
          <w:sz w:val="28"/>
        </w:rPr>
        <w:t>十一．</w:t>
      </w:r>
      <w:bookmarkEnd w:id="145"/>
      <w:bookmarkEnd w:id="146"/>
      <w:bookmarkEnd w:id="147"/>
      <w:bookmarkEnd w:id="148"/>
      <w:bookmarkEnd w:id="149"/>
      <w:bookmarkStart w:id="152" w:name="_Toc471736430"/>
      <w:bookmarkStart w:id="153" w:name="_Toc471733801"/>
      <w:bookmarkStart w:id="154" w:name="_Toc389124158"/>
      <w:r>
        <w:rPr>
          <w:rFonts w:hint="eastAsia" w:hAnsi="宋体"/>
          <w:color w:val="000000" w:themeColor="text1"/>
          <w:sz w:val="28"/>
        </w:rPr>
        <w:t>投标人认为需提供的其他资料</w:t>
      </w:r>
      <w:bookmarkEnd w:id="150"/>
      <w:bookmarkEnd w:id="151"/>
      <w:bookmarkEnd w:id="152"/>
      <w:bookmarkEnd w:id="153"/>
      <w:bookmarkEnd w:id="154"/>
    </w:p>
    <w:p>
      <w:pPr>
        <w:spacing w:line="500" w:lineRule="exact"/>
        <w:rPr>
          <w:rFonts w:ascii="宋体" w:hAnsi="宋体"/>
          <w:b/>
          <w:bCs/>
          <w:color w:val="000000" w:themeColor="text1"/>
          <w:sz w:val="24"/>
          <w:szCs w:val="24"/>
        </w:rPr>
      </w:pPr>
      <w:r>
        <w:rPr>
          <w:rFonts w:hint="eastAsia" w:ascii="宋体" w:hAnsi="宋体"/>
          <w:b/>
          <w:bCs/>
          <w:color w:val="000000" w:themeColor="text1"/>
          <w:sz w:val="24"/>
          <w:szCs w:val="24"/>
        </w:rPr>
        <w:t xml:space="preserve">        （</w:t>
      </w:r>
      <w:r>
        <w:rPr>
          <w:rFonts w:hint="eastAsia" w:ascii="宋体" w:hAnsi="宋体"/>
          <w:bCs/>
          <w:color w:val="000000" w:themeColor="text1"/>
          <w:sz w:val="24"/>
          <w:szCs w:val="24"/>
        </w:rPr>
        <w:t>投标人可自行制作格式</w:t>
      </w:r>
      <w:r>
        <w:rPr>
          <w:rFonts w:hint="eastAsia" w:ascii="宋体" w:hAnsi="宋体"/>
          <w:b/>
          <w:bCs/>
          <w:color w:val="000000" w:themeColor="text1"/>
          <w:sz w:val="24"/>
          <w:szCs w:val="24"/>
        </w:rPr>
        <w:t>）</w:t>
      </w:r>
    </w:p>
    <w:p>
      <w:pPr>
        <w:spacing w:line="500" w:lineRule="exact"/>
        <w:rPr>
          <w:rFonts w:ascii="宋体" w:hAnsi="宋体"/>
          <w:b/>
          <w:bCs/>
          <w:color w:val="000000" w:themeColor="text1"/>
          <w:sz w:val="24"/>
          <w:szCs w:val="24"/>
        </w:rPr>
      </w:pPr>
    </w:p>
    <w:p>
      <w:pPr>
        <w:spacing w:line="500" w:lineRule="exact"/>
        <w:rPr>
          <w:rFonts w:ascii="宋体" w:hAnsi="宋体"/>
          <w:b/>
          <w:bCs/>
          <w:color w:val="000000" w:themeColor="text1"/>
          <w:sz w:val="24"/>
          <w:szCs w:val="24"/>
        </w:rPr>
      </w:pPr>
    </w:p>
    <w:p>
      <w:pPr>
        <w:spacing w:line="500" w:lineRule="exact"/>
        <w:rPr>
          <w:rFonts w:ascii="宋体" w:hAnsi="宋体"/>
          <w:b/>
          <w:bCs/>
          <w:color w:val="000000" w:themeColor="text1"/>
          <w:sz w:val="24"/>
          <w:szCs w:val="24"/>
        </w:rPr>
      </w:pPr>
    </w:p>
    <w:p>
      <w:pPr>
        <w:keepNext/>
        <w:keepLines/>
        <w:spacing w:before="260" w:after="260" w:line="415" w:lineRule="auto"/>
        <w:jc w:val="center"/>
        <w:outlineLvl w:val="2"/>
        <w:rPr>
          <w:rFonts w:ascii="宋体" w:hAnsi="宋体"/>
          <w:b/>
          <w:bCs/>
          <w:color w:val="000000" w:themeColor="text1"/>
          <w:sz w:val="28"/>
          <w:szCs w:val="32"/>
        </w:rPr>
      </w:pPr>
      <w:bookmarkStart w:id="155" w:name="_Toc17307116"/>
      <w:bookmarkStart w:id="156" w:name="_Toc22888343"/>
      <w:bookmarkStart w:id="157" w:name="_Toc18658870"/>
      <w:bookmarkStart w:id="158" w:name="_Toc19773347"/>
      <w:bookmarkStart w:id="159" w:name="_Toc300210382"/>
      <w:r>
        <w:rPr>
          <w:rFonts w:hint="eastAsia" w:ascii="宋体" w:hAnsi="宋体"/>
          <w:b/>
          <w:bCs/>
          <w:color w:val="000000" w:themeColor="text1"/>
          <w:sz w:val="28"/>
          <w:szCs w:val="32"/>
        </w:rPr>
        <w:t>十二．投标保证金退还声明</w:t>
      </w:r>
      <w:bookmarkEnd w:id="155"/>
      <w:bookmarkEnd w:id="156"/>
      <w:bookmarkEnd w:id="157"/>
      <w:bookmarkEnd w:id="158"/>
      <w:bookmarkEnd w:id="159"/>
    </w:p>
    <w:p>
      <w:pPr>
        <w:spacing w:line="480" w:lineRule="auto"/>
        <w:ind w:firstLine="628" w:firstLineChars="262"/>
        <w:rPr>
          <w:rFonts w:hAnsi="Arial"/>
          <w:color w:val="000000" w:themeColor="text1"/>
          <w:sz w:val="24"/>
          <w:szCs w:val="24"/>
          <w:u w:val="single"/>
        </w:rPr>
      </w:pPr>
      <w:r>
        <w:rPr>
          <w:rFonts w:hint="eastAsia" w:ascii="宋体" w:hAnsi="宋体"/>
          <w:color w:val="000000" w:themeColor="text1"/>
          <w:sz w:val="24"/>
          <w:szCs w:val="24"/>
        </w:rPr>
        <w:t>项目名称：</w:t>
      </w:r>
    </w:p>
    <w:p>
      <w:pPr>
        <w:spacing w:line="480" w:lineRule="auto"/>
        <w:ind w:firstLine="628" w:firstLineChars="262"/>
        <w:rPr>
          <w:rFonts w:hAnsi="Arial"/>
          <w:color w:val="000000" w:themeColor="text1"/>
          <w:sz w:val="24"/>
          <w:szCs w:val="24"/>
          <w:u w:val="single"/>
        </w:rPr>
      </w:pPr>
      <w:r>
        <w:rPr>
          <w:rFonts w:hint="eastAsia" w:ascii="宋体" w:hAnsi="宋体"/>
          <w:color w:val="000000" w:themeColor="text1"/>
          <w:sz w:val="24"/>
          <w:szCs w:val="24"/>
        </w:rPr>
        <w:t>项目编号：</w:t>
      </w:r>
    </w:p>
    <w:p>
      <w:pPr>
        <w:spacing w:line="480" w:lineRule="auto"/>
        <w:ind w:firstLine="628" w:firstLineChars="262"/>
        <w:rPr>
          <w:rFonts w:ascii="宋体" w:hAnsi="宋体"/>
          <w:color w:val="000000" w:themeColor="text1"/>
          <w:sz w:val="24"/>
          <w:szCs w:val="24"/>
        </w:rPr>
      </w:pPr>
      <w:r>
        <w:rPr>
          <w:rFonts w:hint="eastAsia" w:hAnsi="Arial"/>
          <w:color w:val="000000" w:themeColor="text1"/>
          <w:sz w:val="24"/>
          <w:szCs w:val="24"/>
        </w:rPr>
        <w:t>投标保证金金额：</w:t>
      </w:r>
    </w:p>
    <w:p>
      <w:pPr>
        <w:spacing w:line="48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我单位投标保证金到期后请汇至如下账号：</w:t>
      </w:r>
    </w:p>
    <w:p>
      <w:pPr>
        <w:spacing w:line="360" w:lineRule="auto"/>
        <w:ind w:firstLine="629"/>
        <w:rPr>
          <w:rFonts w:hAnsi="Arial"/>
          <w:color w:val="000000" w:themeColor="text1"/>
          <w:sz w:val="24"/>
          <w:szCs w:val="24"/>
          <w:u w:val="single"/>
        </w:rPr>
      </w:pPr>
      <w:r>
        <w:rPr>
          <w:rFonts w:hint="eastAsia" w:hAnsi="Arial"/>
          <w:color w:val="000000" w:themeColor="text1"/>
          <w:sz w:val="24"/>
          <w:szCs w:val="24"/>
        </w:rPr>
        <w:t>收款单位：</w:t>
      </w:r>
    </w:p>
    <w:p>
      <w:pPr>
        <w:spacing w:line="360" w:lineRule="auto"/>
        <w:ind w:firstLine="629"/>
        <w:rPr>
          <w:rFonts w:hAnsi="Arial"/>
          <w:color w:val="000000" w:themeColor="text1"/>
          <w:sz w:val="24"/>
          <w:szCs w:val="24"/>
          <w:u w:val="single"/>
        </w:rPr>
      </w:pPr>
      <w:r>
        <w:rPr>
          <w:rFonts w:hint="eastAsia" w:hAnsi="Arial"/>
          <w:color w:val="000000" w:themeColor="text1"/>
          <w:sz w:val="24"/>
          <w:szCs w:val="24"/>
        </w:rPr>
        <w:t>开户行：</w:t>
      </w:r>
    </w:p>
    <w:p>
      <w:pPr>
        <w:spacing w:line="360" w:lineRule="auto"/>
        <w:ind w:firstLine="629"/>
        <w:rPr>
          <w:rFonts w:hAnsi="Arial"/>
          <w:color w:val="000000" w:themeColor="text1"/>
          <w:sz w:val="24"/>
          <w:szCs w:val="24"/>
          <w:u w:val="single"/>
        </w:rPr>
      </w:pPr>
      <w:r>
        <w:rPr>
          <w:rFonts w:hint="eastAsia" w:hAnsi="Arial"/>
          <w:color w:val="000000" w:themeColor="text1"/>
          <w:sz w:val="24"/>
          <w:szCs w:val="24"/>
        </w:rPr>
        <w:t>银行账号：</w:t>
      </w:r>
    </w:p>
    <w:p>
      <w:pPr>
        <w:spacing w:line="360" w:lineRule="auto"/>
        <w:ind w:firstLine="629"/>
        <w:rPr>
          <w:rFonts w:hAnsi="Arial"/>
          <w:color w:val="000000" w:themeColor="text1"/>
          <w:sz w:val="24"/>
          <w:szCs w:val="24"/>
          <w:u w:val="single"/>
        </w:rPr>
      </w:pPr>
      <w:r>
        <w:rPr>
          <w:rFonts w:hint="eastAsia" w:hAnsi="Arial"/>
          <w:color w:val="000000" w:themeColor="text1"/>
          <w:sz w:val="24"/>
          <w:szCs w:val="24"/>
        </w:rPr>
        <w:t>电话：</w:t>
      </w:r>
    </w:p>
    <w:p>
      <w:pPr>
        <w:spacing w:line="360" w:lineRule="auto"/>
        <w:ind w:firstLine="629"/>
        <w:rPr>
          <w:rFonts w:ascii="宋体" w:hAnsi="宋体"/>
          <w:color w:val="000000" w:themeColor="text1"/>
          <w:sz w:val="24"/>
          <w:szCs w:val="24"/>
          <w:u w:val="single"/>
        </w:rPr>
      </w:pPr>
      <w:r>
        <w:rPr>
          <w:rFonts w:hint="eastAsia" w:hAnsi="Arial"/>
          <w:color w:val="000000" w:themeColor="text1"/>
          <w:sz w:val="24"/>
          <w:szCs w:val="24"/>
        </w:rPr>
        <w:t>地址：</w:t>
      </w:r>
    </w:p>
    <w:p>
      <w:pPr>
        <w:spacing w:line="360" w:lineRule="auto"/>
        <w:ind w:firstLine="629"/>
        <w:rPr>
          <w:rFonts w:hAnsi="Arial"/>
          <w:color w:val="000000" w:themeColor="text1"/>
          <w:sz w:val="24"/>
          <w:szCs w:val="24"/>
        </w:rPr>
      </w:pPr>
    </w:p>
    <w:p>
      <w:pPr>
        <w:spacing w:line="360" w:lineRule="auto"/>
        <w:ind w:firstLine="629"/>
        <w:rPr>
          <w:rFonts w:hAnsi="Arial"/>
          <w:color w:val="000000" w:themeColor="text1"/>
          <w:sz w:val="24"/>
          <w:szCs w:val="24"/>
        </w:rPr>
      </w:pPr>
    </w:p>
    <w:p>
      <w:pPr>
        <w:spacing w:line="360" w:lineRule="auto"/>
        <w:ind w:firstLine="629"/>
        <w:rPr>
          <w:rFonts w:ascii="宋体" w:hAnsi="宋体"/>
          <w:color w:val="000000" w:themeColor="text1"/>
          <w:sz w:val="24"/>
          <w:szCs w:val="24"/>
          <w:u w:val="single"/>
        </w:rPr>
      </w:pPr>
    </w:p>
    <w:p>
      <w:pPr>
        <w:rPr>
          <w:color w:val="000000" w:themeColor="text1"/>
          <w:sz w:val="24"/>
          <w:szCs w:val="24"/>
        </w:rPr>
      </w:pPr>
      <w:r>
        <w:rPr>
          <w:rFonts w:hint="eastAsia"/>
          <w:color w:val="000000" w:themeColor="text1"/>
          <w:sz w:val="24"/>
          <w:szCs w:val="24"/>
        </w:rPr>
        <w:t>附：投标保证金转账凭证扫描件</w:t>
      </w:r>
    </w:p>
    <w:p>
      <w:pPr>
        <w:rPr>
          <w:color w:val="000000" w:themeColor="text1"/>
          <w:sz w:val="24"/>
          <w:szCs w:val="24"/>
        </w:rPr>
      </w:pPr>
    </w:p>
    <w:p>
      <w:pPr>
        <w:rPr>
          <w:color w:val="000000" w:themeColor="text1"/>
          <w:sz w:val="24"/>
          <w:szCs w:val="24"/>
        </w:rPr>
      </w:pPr>
    </w:p>
    <w:p>
      <w:pPr>
        <w:spacing w:line="360" w:lineRule="auto"/>
        <w:ind w:firstLine="4800" w:firstLineChars="2000"/>
        <w:rPr>
          <w:color w:val="000000" w:themeColor="text1"/>
          <w:sz w:val="24"/>
          <w:szCs w:val="24"/>
        </w:rPr>
      </w:pPr>
      <w:r>
        <w:rPr>
          <w:rFonts w:hint="eastAsia"/>
          <w:color w:val="000000" w:themeColor="text1"/>
          <w:sz w:val="24"/>
          <w:szCs w:val="24"/>
        </w:rPr>
        <w:t>投标人（公章）：</w:t>
      </w:r>
    </w:p>
    <w:p>
      <w:pPr>
        <w:spacing w:line="360" w:lineRule="auto"/>
        <w:rPr>
          <w:color w:val="000000" w:themeColor="text1"/>
          <w:sz w:val="24"/>
          <w:szCs w:val="24"/>
        </w:rPr>
      </w:pPr>
      <w:r>
        <w:rPr>
          <w:rFonts w:hint="eastAsia"/>
          <w:color w:val="000000" w:themeColor="text1"/>
          <w:sz w:val="24"/>
          <w:szCs w:val="24"/>
        </w:rPr>
        <w:t>企业法人（签字）：</w:t>
      </w:r>
    </w:p>
    <w:p>
      <w:pPr>
        <w:spacing w:line="360" w:lineRule="auto"/>
        <w:rPr>
          <w:color w:val="000000" w:themeColor="text1"/>
          <w:sz w:val="24"/>
          <w:szCs w:val="24"/>
        </w:rPr>
      </w:pPr>
      <w:r>
        <w:rPr>
          <w:rFonts w:hint="eastAsia"/>
          <w:color w:val="000000" w:themeColor="text1"/>
          <w:sz w:val="24"/>
          <w:szCs w:val="24"/>
        </w:rPr>
        <w:t>授权代表（签字）：</w:t>
      </w:r>
    </w:p>
    <w:p>
      <w:pPr>
        <w:spacing w:line="360" w:lineRule="auto"/>
        <w:rPr>
          <w:color w:val="000000" w:themeColor="text1"/>
          <w:sz w:val="24"/>
          <w:szCs w:val="24"/>
        </w:rPr>
      </w:pPr>
      <w:r>
        <w:rPr>
          <w:rFonts w:hint="eastAsia"/>
          <w:color w:val="000000" w:themeColor="text1"/>
          <w:sz w:val="24"/>
          <w:szCs w:val="24"/>
        </w:rPr>
        <w:t>年月日</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0002009F" w:csb1="00000000"/>
  </w:font>
  <w:font w:name="Segoe UI Symbol">
    <w:panose1 w:val="020B0502040204020203"/>
    <w:charset w:val="00"/>
    <w:family w:val="swiss"/>
    <w:pitch w:val="default"/>
    <w:sig w:usb0="800001E3" w:usb1="1200FFEF" w:usb2="00040000" w:usb3="04000000" w:csb0="00000001" w:csb1="4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221188"/>
    </w:sdtPr>
    <w:sdtContent>
      <w:sdt>
        <w:sdtPr>
          <w:id w:val="-1705238520"/>
        </w:sdtPr>
        <w:sdtContent>
          <w:p>
            <w:pPr>
              <w:pStyle w:val="31"/>
              <w:ind w:left="2520"/>
            </w:pP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46</w:t>
            </w:r>
            <w:r>
              <w:rPr>
                <w:b/>
                <w:bCs/>
                <w:sz w:val="24"/>
                <w:szCs w:val="24"/>
              </w:rPr>
              <w:fldChar w:fldCharType="end"/>
            </w:r>
          </w:p>
        </w:sdtContent>
      </w:sdt>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合肥文旅博览集团有限公司招标文件-服务类（适用于综合评分法）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84"/>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E4F3A11"/>
    <w:multiLevelType w:val="multilevel"/>
    <w:tmpl w:val="2E4F3A11"/>
    <w:lvl w:ilvl="0" w:tentative="0">
      <w:start w:val="1"/>
      <w:numFmt w:val="decimal"/>
      <w:pStyle w:val="98"/>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99"/>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00"/>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405B2878"/>
    <w:multiLevelType w:val="multilevel"/>
    <w:tmpl w:val="405B28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716ABE"/>
    <w:multiLevelType w:val="multilevel"/>
    <w:tmpl w:val="48716ABE"/>
    <w:lvl w:ilvl="0" w:tentative="0">
      <w:start w:val="1"/>
      <w:numFmt w:val="decimal"/>
      <w:lvlText w:val="%1"/>
      <w:lvlJc w:val="left"/>
      <w:pPr>
        <w:tabs>
          <w:tab w:val="left" w:pos="2502"/>
        </w:tabs>
        <w:ind w:left="2502" w:hanging="432"/>
      </w:pPr>
    </w:lvl>
    <w:lvl w:ilvl="1" w:tentative="0">
      <w:start w:val="1"/>
      <w:numFmt w:val="decimal"/>
      <w:lvlText w:val="%1.%2"/>
      <w:lvlJc w:val="left"/>
      <w:pPr>
        <w:tabs>
          <w:tab w:val="left" w:pos="2646"/>
        </w:tabs>
        <w:ind w:left="2646" w:hanging="576"/>
      </w:pPr>
    </w:lvl>
    <w:lvl w:ilvl="2" w:tentative="0">
      <w:start w:val="1"/>
      <w:numFmt w:val="decimal"/>
      <w:lvlText w:val="%1.%2.%3"/>
      <w:lvlJc w:val="left"/>
      <w:pPr>
        <w:tabs>
          <w:tab w:val="left" w:pos="2790"/>
        </w:tabs>
        <w:ind w:left="2790" w:hanging="720"/>
      </w:pPr>
    </w:lvl>
    <w:lvl w:ilvl="3" w:tentative="0">
      <w:start w:val="1"/>
      <w:numFmt w:val="decimal"/>
      <w:pStyle w:val="86"/>
      <w:lvlText w:val="%1.%2.%3.%4"/>
      <w:lvlJc w:val="left"/>
      <w:pPr>
        <w:tabs>
          <w:tab w:val="left" w:pos="2934"/>
        </w:tabs>
        <w:ind w:left="2934" w:hanging="864"/>
      </w:pPr>
    </w:lvl>
    <w:lvl w:ilvl="4" w:tentative="0">
      <w:start w:val="1"/>
      <w:numFmt w:val="decimal"/>
      <w:lvlText w:val="%1.%2.%3.%4.%5"/>
      <w:lvlJc w:val="left"/>
      <w:pPr>
        <w:tabs>
          <w:tab w:val="left" w:pos="3078"/>
        </w:tabs>
        <w:ind w:left="3078" w:hanging="1008"/>
      </w:pPr>
    </w:lvl>
    <w:lvl w:ilvl="5" w:tentative="0">
      <w:start w:val="1"/>
      <w:numFmt w:val="decimal"/>
      <w:lvlText w:val="%1.%2.%3.%4.%5.%6"/>
      <w:lvlJc w:val="left"/>
      <w:pPr>
        <w:tabs>
          <w:tab w:val="left" w:pos="3222"/>
        </w:tabs>
        <w:ind w:left="3222" w:hanging="1152"/>
      </w:pPr>
    </w:lvl>
    <w:lvl w:ilvl="6" w:tentative="0">
      <w:start w:val="1"/>
      <w:numFmt w:val="decimal"/>
      <w:lvlText w:val="%1.%2.%3.%4.%5.%6.%7"/>
      <w:lvlJc w:val="left"/>
      <w:pPr>
        <w:tabs>
          <w:tab w:val="left" w:pos="3366"/>
        </w:tabs>
        <w:ind w:left="3366" w:hanging="1296"/>
      </w:pPr>
    </w:lvl>
    <w:lvl w:ilvl="7" w:tentative="0">
      <w:start w:val="1"/>
      <w:numFmt w:val="decimal"/>
      <w:lvlText w:val="%1.%2.%3.%4.%5.%6.%7.%8"/>
      <w:lvlJc w:val="left"/>
      <w:pPr>
        <w:tabs>
          <w:tab w:val="left" w:pos="3510"/>
        </w:tabs>
        <w:ind w:left="3510" w:hanging="1440"/>
      </w:pPr>
    </w:lvl>
    <w:lvl w:ilvl="8" w:tentative="0">
      <w:start w:val="1"/>
      <w:numFmt w:val="decimal"/>
      <w:lvlText w:val="%1.%2.%3.%4.%5.%6.%7.%8.%9"/>
      <w:lvlJc w:val="left"/>
      <w:pPr>
        <w:tabs>
          <w:tab w:val="left" w:pos="3654"/>
        </w:tabs>
        <w:ind w:left="365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QzZGVlYjU5N2FjN2M4YmRhYmI3NjE1MGM2YWVkYmYifQ=="/>
  </w:docVars>
  <w:rsids>
    <w:rsidRoot w:val="008A221B"/>
    <w:rsid w:val="000057BF"/>
    <w:rsid w:val="0003636E"/>
    <w:rsid w:val="00051635"/>
    <w:rsid w:val="00083B45"/>
    <w:rsid w:val="00090897"/>
    <w:rsid w:val="000B0376"/>
    <w:rsid w:val="000C149B"/>
    <w:rsid w:val="000E016D"/>
    <w:rsid w:val="00146043"/>
    <w:rsid w:val="00164EAD"/>
    <w:rsid w:val="00180911"/>
    <w:rsid w:val="00186586"/>
    <w:rsid w:val="00192EF4"/>
    <w:rsid w:val="001F3FFB"/>
    <w:rsid w:val="00262743"/>
    <w:rsid w:val="002743FB"/>
    <w:rsid w:val="002B37A3"/>
    <w:rsid w:val="00336636"/>
    <w:rsid w:val="00336C2D"/>
    <w:rsid w:val="00352C3C"/>
    <w:rsid w:val="00371100"/>
    <w:rsid w:val="003A28A2"/>
    <w:rsid w:val="003A7096"/>
    <w:rsid w:val="00416406"/>
    <w:rsid w:val="0044263E"/>
    <w:rsid w:val="0044390E"/>
    <w:rsid w:val="00460BD0"/>
    <w:rsid w:val="0046408A"/>
    <w:rsid w:val="004670F6"/>
    <w:rsid w:val="00467709"/>
    <w:rsid w:val="00475121"/>
    <w:rsid w:val="00475558"/>
    <w:rsid w:val="00482A3B"/>
    <w:rsid w:val="004A1BBD"/>
    <w:rsid w:val="004B6E91"/>
    <w:rsid w:val="004C6D9E"/>
    <w:rsid w:val="004F0C17"/>
    <w:rsid w:val="0050128E"/>
    <w:rsid w:val="00501F06"/>
    <w:rsid w:val="005027D4"/>
    <w:rsid w:val="0050399F"/>
    <w:rsid w:val="00512E66"/>
    <w:rsid w:val="00561F07"/>
    <w:rsid w:val="00570621"/>
    <w:rsid w:val="00580DF0"/>
    <w:rsid w:val="00581319"/>
    <w:rsid w:val="00581DEF"/>
    <w:rsid w:val="005B0BAA"/>
    <w:rsid w:val="005B1724"/>
    <w:rsid w:val="005D18A2"/>
    <w:rsid w:val="005E2FA6"/>
    <w:rsid w:val="00667B80"/>
    <w:rsid w:val="00672D24"/>
    <w:rsid w:val="00685FE8"/>
    <w:rsid w:val="00686627"/>
    <w:rsid w:val="006D30B2"/>
    <w:rsid w:val="006F321B"/>
    <w:rsid w:val="00734295"/>
    <w:rsid w:val="00743360"/>
    <w:rsid w:val="00771740"/>
    <w:rsid w:val="007844FE"/>
    <w:rsid w:val="007A307D"/>
    <w:rsid w:val="007B1C1E"/>
    <w:rsid w:val="007C6DDD"/>
    <w:rsid w:val="007D0E54"/>
    <w:rsid w:val="00810791"/>
    <w:rsid w:val="00871732"/>
    <w:rsid w:val="00894A45"/>
    <w:rsid w:val="008A181E"/>
    <w:rsid w:val="008A221B"/>
    <w:rsid w:val="008C22C4"/>
    <w:rsid w:val="008C5468"/>
    <w:rsid w:val="008C58C2"/>
    <w:rsid w:val="008D15A0"/>
    <w:rsid w:val="008E53FF"/>
    <w:rsid w:val="00932B0E"/>
    <w:rsid w:val="009566EB"/>
    <w:rsid w:val="009D1530"/>
    <w:rsid w:val="00A2138F"/>
    <w:rsid w:val="00A52DB7"/>
    <w:rsid w:val="00AA243F"/>
    <w:rsid w:val="00AA4246"/>
    <w:rsid w:val="00AD7A03"/>
    <w:rsid w:val="00AD7B98"/>
    <w:rsid w:val="00B234B7"/>
    <w:rsid w:val="00B46386"/>
    <w:rsid w:val="00B8456E"/>
    <w:rsid w:val="00BB513F"/>
    <w:rsid w:val="00BB7378"/>
    <w:rsid w:val="00BE72D3"/>
    <w:rsid w:val="00BF4A13"/>
    <w:rsid w:val="00C64562"/>
    <w:rsid w:val="00C670E0"/>
    <w:rsid w:val="00C8654D"/>
    <w:rsid w:val="00CA68C4"/>
    <w:rsid w:val="00CC12AD"/>
    <w:rsid w:val="00CF3922"/>
    <w:rsid w:val="00D13E0B"/>
    <w:rsid w:val="00D43943"/>
    <w:rsid w:val="00D65FDE"/>
    <w:rsid w:val="00D71E84"/>
    <w:rsid w:val="00D856ED"/>
    <w:rsid w:val="00D93812"/>
    <w:rsid w:val="00D962F9"/>
    <w:rsid w:val="00DF3CF5"/>
    <w:rsid w:val="00E42DD7"/>
    <w:rsid w:val="00E46030"/>
    <w:rsid w:val="00E720C6"/>
    <w:rsid w:val="00E770AB"/>
    <w:rsid w:val="00E92912"/>
    <w:rsid w:val="00EB0C0F"/>
    <w:rsid w:val="00EF464B"/>
    <w:rsid w:val="00EF6607"/>
    <w:rsid w:val="00F000DC"/>
    <w:rsid w:val="00F55430"/>
    <w:rsid w:val="00F72F2C"/>
    <w:rsid w:val="00F82C91"/>
    <w:rsid w:val="00FA0C02"/>
    <w:rsid w:val="00FA120A"/>
    <w:rsid w:val="00FD02D4"/>
    <w:rsid w:val="023E51FC"/>
    <w:rsid w:val="276F5D37"/>
    <w:rsid w:val="2B3A53BA"/>
    <w:rsid w:val="2B3D59BE"/>
    <w:rsid w:val="2F4C0452"/>
    <w:rsid w:val="4689548E"/>
    <w:rsid w:val="51907C70"/>
    <w:rsid w:val="531168C3"/>
    <w:rsid w:val="5E0B416B"/>
    <w:rsid w:val="651C2F8B"/>
    <w:rsid w:val="6EE852FC"/>
    <w:rsid w:val="79A04228"/>
    <w:rsid w:val="7BAC6300"/>
    <w:rsid w:val="7E1F3128"/>
    <w:rsid w:val="7F303C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0" w:semiHidden="0" w:name="heading 3"/>
    <w:lsdException w:qFormat="1" w:uiPriority="0" w:name="heading 4"/>
    <w:lsdException w:qFormat="1" w:uiPriority="0" w:name="heading 5"/>
    <w:lsdException w:qFormat="1" w:uiPriority="0" w:name="heading 6"/>
    <w:lsdException w:qFormat="1" w:uiPriority="9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semiHidden="0" w:name="toc 2"/>
    <w:lsdException w:qFormat="1" w:uiPriority="39" w:semiHidden="0"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semiHidden="0"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12"/>
    <w:qFormat/>
    <w:uiPriority w:val="99"/>
    <w:pPr>
      <w:keepNext/>
      <w:keepLines/>
      <w:spacing w:before="340" w:after="330" w:line="576" w:lineRule="auto"/>
      <w:outlineLvl w:val="0"/>
    </w:pPr>
    <w:rPr>
      <w:b/>
      <w:bCs/>
      <w:kern w:val="44"/>
      <w:sz w:val="30"/>
      <w:szCs w:val="44"/>
    </w:rPr>
  </w:style>
  <w:style w:type="paragraph" w:styleId="4">
    <w:name w:val="heading 2"/>
    <w:basedOn w:val="1"/>
    <w:next w:val="1"/>
    <w:link w:val="113"/>
    <w:semiHidden/>
    <w:unhideWhenUsed/>
    <w:qFormat/>
    <w:uiPriority w:val="99"/>
    <w:pPr>
      <w:keepNext/>
      <w:keepLines/>
      <w:spacing w:before="260" w:after="260" w:line="415" w:lineRule="auto"/>
      <w:ind w:firstLine="628"/>
      <w:jc w:val="center"/>
      <w:outlineLvl w:val="1"/>
    </w:pPr>
    <w:rPr>
      <w:rFonts w:ascii="Arial" w:hAnsi="Arial" w:eastAsia="黑体"/>
      <w:b/>
      <w:bCs/>
      <w:sz w:val="32"/>
      <w:szCs w:val="32"/>
    </w:rPr>
  </w:style>
  <w:style w:type="paragraph" w:styleId="5">
    <w:name w:val="heading 3"/>
    <w:basedOn w:val="1"/>
    <w:next w:val="1"/>
    <w:link w:val="114"/>
    <w:unhideWhenUsed/>
    <w:qFormat/>
    <w:uiPriority w:val="0"/>
    <w:pPr>
      <w:keepNext/>
      <w:keepLines/>
      <w:spacing w:before="260" w:after="260" w:line="415" w:lineRule="auto"/>
      <w:jc w:val="center"/>
      <w:outlineLvl w:val="2"/>
    </w:pPr>
    <w:rPr>
      <w:rFonts w:ascii="宋体" w:cs="宋体"/>
      <w:b/>
      <w:bCs/>
      <w:sz w:val="32"/>
      <w:szCs w:val="32"/>
    </w:rPr>
  </w:style>
  <w:style w:type="paragraph" w:styleId="6">
    <w:name w:val="heading 4"/>
    <w:basedOn w:val="1"/>
    <w:next w:val="1"/>
    <w:link w:val="115"/>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116"/>
    <w:semiHidden/>
    <w:unhideWhenUsed/>
    <w:qFormat/>
    <w:uiPriority w:val="0"/>
    <w:pPr>
      <w:keepNext/>
      <w:outlineLvl w:val="4"/>
    </w:pPr>
    <w:rPr>
      <w:rFonts w:ascii="宋体" w:hAnsi="Arial" w:cs="宋体"/>
      <w:bCs/>
      <w:sz w:val="28"/>
      <w:szCs w:val="20"/>
    </w:rPr>
  </w:style>
  <w:style w:type="paragraph" w:styleId="8">
    <w:name w:val="heading 6"/>
    <w:basedOn w:val="1"/>
    <w:next w:val="1"/>
    <w:link w:val="117"/>
    <w:semiHidden/>
    <w:unhideWhenUsed/>
    <w:qFormat/>
    <w:uiPriority w:val="0"/>
    <w:pPr>
      <w:keepNext/>
      <w:autoSpaceDE w:val="0"/>
      <w:autoSpaceDN w:val="0"/>
      <w:adjustRightInd w:val="0"/>
      <w:spacing w:beforeLines="50" w:afterLines="50" w:line="300" w:lineRule="exact"/>
      <w:jc w:val="center"/>
      <w:outlineLvl w:val="5"/>
    </w:pPr>
    <w:rPr>
      <w:rFonts w:ascii="宋体" w:hAnsi="宋体" w:cs="宋体"/>
      <w:kern w:val="0"/>
      <w:sz w:val="28"/>
      <w:szCs w:val="20"/>
    </w:rPr>
  </w:style>
  <w:style w:type="paragraph" w:styleId="9">
    <w:name w:val="heading 7"/>
    <w:basedOn w:val="1"/>
    <w:next w:val="1"/>
    <w:link w:val="118"/>
    <w:semiHidden/>
    <w:unhideWhenUsed/>
    <w:qFormat/>
    <w:uiPriority w:val="99"/>
    <w:pPr>
      <w:keepNext/>
      <w:keepLines/>
      <w:spacing w:before="240" w:after="64" w:line="319" w:lineRule="auto"/>
      <w:ind w:right="-24" w:rightChars="-10" w:firstLine="464" w:firstLineChars="225"/>
      <w:jc w:val="left"/>
      <w:outlineLvl w:val="6"/>
    </w:pPr>
    <w:rPr>
      <w:rFonts w:ascii="Arial" w:hAnsi="Arial" w:eastAsia="仿宋_GB2312"/>
      <w:b/>
      <w:bCs/>
      <w:spacing w:val="-4"/>
      <w:sz w:val="24"/>
      <w:szCs w:val="24"/>
    </w:rPr>
  </w:style>
  <w:style w:type="character" w:default="1" w:styleId="52">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rPr>
      <w:rFonts w:ascii="Calibri" w:hAnsi="Calibri"/>
      <w:szCs w:val="24"/>
    </w:rPr>
  </w:style>
  <w:style w:type="paragraph" w:styleId="10">
    <w:name w:val="toc 7"/>
    <w:basedOn w:val="1"/>
    <w:next w:val="1"/>
    <w:semiHidden/>
    <w:unhideWhenUsed/>
    <w:qFormat/>
    <w:uiPriority w:val="99"/>
    <w:pPr>
      <w:ind w:left="1260"/>
      <w:jc w:val="left"/>
    </w:pPr>
    <w:rPr>
      <w:szCs w:val="21"/>
    </w:rPr>
  </w:style>
  <w:style w:type="paragraph" w:styleId="11">
    <w:name w:val="table of authorities"/>
    <w:basedOn w:val="1"/>
    <w:next w:val="1"/>
    <w:semiHidden/>
    <w:unhideWhenUsed/>
    <w:qFormat/>
    <w:uiPriority w:val="99"/>
    <w:pPr>
      <w:ind w:left="420" w:leftChars="200"/>
    </w:pPr>
    <w:rPr>
      <w:szCs w:val="20"/>
    </w:rPr>
  </w:style>
  <w:style w:type="paragraph" w:styleId="12">
    <w:name w:val="index 8"/>
    <w:basedOn w:val="1"/>
    <w:next w:val="1"/>
    <w:semiHidden/>
    <w:unhideWhenUsed/>
    <w:qFormat/>
    <w:uiPriority w:val="99"/>
    <w:pPr>
      <w:ind w:left="1400" w:leftChars="1400"/>
    </w:pPr>
    <w:rPr>
      <w:szCs w:val="20"/>
    </w:rPr>
  </w:style>
  <w:style w:type="paragraph" w:styleId="13">
    <w:name w:val="index 5"/>
    <w:basedOn w:val="1"/>
    <w:next w:val="1"/>
    <w:semiHidden/>
    <w:unhideWhenUsed/>
    <w:qFormat/>
    <w:uiPriority w:val="99"/>
    <w:pPr>
      <w:ind w:left="800" w:leftChars="800"/>
    </w:pPr>
    <w:rPr>
      <w:szCs w:val="20"/>
    </w:rPr>
  </w:style>
  <w:style w:type="paragraph" w:styleId="14">
    <w:name w:val="Document Map"/>
    <w:basedOn w:val="1"/>
    <w:link w:val="119"/>
    <w:semiHidden/>
    <w:unhideWhenUsed/>
    <w:qFormat/>
    <w:uiPriority w:val="99"/>
    <w:pPr>
      <w:shd w:val="clear" w:color="auto" w:fill="000080"/>
    </w:pPr>
    <w:rPr>
      <w:szCs w:val="20"/>
    </w:rPr>
  </w:style>
  <w:style w:type="paragraph" w:styleId="15">
    <w:name w:val="toa heading"/>
    <w:basedOn w:val="1"/>
    <w:next w:val="1"/>
    <w:semiHidden/>
    <w:unhideWhenUsed/>
    <w:qFormat/>
    <w:uiPriority w:val="99"/>
    <w:pPr>
      <w:spacing w:before="120"/>
    </w:pPr>
    <w:rPr>
      <w:rFonts w:ascii="Arial" w:hAnsi="Arial"/>
      <w:b/>
      <w:bCs/>
      <w:szCs w:val="24"/>
    </w:rPr>
  </w:style>
  <w:style w:type="paragraph" w:styleId="16">
    <w:name w:val="annotation text"/>
    <w:basedOn w:val="1"/>
    <w:link w:val="120"/>
    <w:semiHidden/>
    <w:unhideWhenUsed/>
    <w:qFormat/>
    <w:uiPriority w:val="99"/>
    <w:pPr>
      <w:jc w:val="left"/>
    </w:pPr>
    <w:rPr>
      <w:szCs w:val="20"/>
    </w:rPr>
  </w:style>
  <w:style w:type="paragraph" w:styleId="17">
    <w:name w:val="index 6"/>
    <w:basedOn w:val="1"/>
    <w:next w:val="1"/>
    <w:semiHidden/>
    <w:unhideWhenUsed/>
    <w:qFormat/>
    <w:uiPriority w:val="99"/>
    <w:pPr>
      <w:ind w:left="1000" w:leftChars="1000"/>
    </w:pPr>
    <w:rPr>
      <w:szCs w:val="20"/>
    </w:rPr>
  </w:style>
  <w:style w:type="paragraph" w:styleId="18">
    <w:name w:val="Body Text 3"/>
    <w:basedOn w:val="1"/>
    <w:link w:val="121"/>
    <w:semiHidden/>
    <w:unhideWhenUsed/>
    <w:qFormat/>
    <w:uiPriority w:val="99"/>
    <w:rPr>
      <w:rFonts w:ascii="黑体" w:hAnsi="Arial" w:eastAsia="黑体"/>
      <w:b/>
      <w:sz w:val="28"/>
      <w:szCs w:val="20"/>
    </w:rPr>
  </w:style>
  <w:style w:type="paragraph" w:styleId="19">
    <w:name w:val="Body Text"/>
    <w:basedOn w:val="1"/>
    <w:link w:val="122"/>
    <w:unhideWhenUsed/>
    <w:qFormat/>
    <w:uiPriority w:val="0"/>
    <w:rPr>
      <w:rFonts w:ascii="宋体" w:hAnsi="Arial"/>
      <w:sz w:val="28"/>
      <w:szCs w:val="20"/>
    </w:rPr>
  </w:style>
  <w:style w:type="paragraph" w:styleId="20">
    <w:name w:val="Body Text Indent"/>
    <w:basedOn w:val="1"/>
    <w:link w:val="66"/>
    <w:semiHidden/>
    <w:unhideWhenUsed/>
    <w:qFormat/>
    <w:uiPriority w:val="99"/>
    <w:pPr>
      <w:spacing w:after="120"/>
      <w:ind w:left="420" w:leftChars="200"/>
    </w:pPr>
  </w:style>
  <w:style w:type="paragraph" w:styleId="21">
    <w:name w:val="Block Text"/>
    <w:basedOn w:val="1"/>
    <w:semiHidden/>
    <w:unhideWhenUsed/>
    <w:qFormat/>
    <w:uiPriority w:val="99"/>
    <w:pPr>
      <w:spacing w:after="156"/>
    </w:pPr>
    <w:rPr>
      <w:rFonts w:ascii="宋体"/>
    </w:rPr>
  </w:style>
  <w:style w:type="paragraph" w:styleId="22">
    <w:name w:val="index 4"/>
    <w:basedOn w:val="1"/>
    <w:next w:val="1"/>
    <w:semiHidden/>
    <w:unhideWhenUsed/>
    <w:qFormat/>
    <w:uiPriority w:val="99"/>
    <w:pPr>
      <w:ind w:left="600" w:leftChars="600"/>
    </w:pPr>
    <w:rPr>
      <w:szCs w:val="20"/>
    </w:rPr>
  </w:style>
  <w:style w:type="paragraph" w:styleId="23">
    <w:name w:val="toc 5"/>
    <w:basedOn w:val="1"/>
    <w:next w:val="1"/>
    <w:semiHidden/>
    <w:unhideWhenUsed/>
    <w:qFormat/>
    <w:uiPriority w:val="99"/>
    <w:pPr>
      <w:ind w:left="840"/>
      <w:jc w:val="left"/>
    </w:pPr>
    <w:rPr>
      <w:szCs w:val="21"/>
    </w:rPr>
  </w:style>
  <w:style w:type="paragraph" w:styleId="24">
    <w:name w:val="toc 3"/>
    <w:basedOn w:val="1"/>
    <w:next w:val="1"/>
    <w:unhideWhenUsed/>
    <w:qFormat/>
    <w:uiPriority w:val="39"/>
    <w:pPr>
      <w:tabs>
        <w:tab w:val="right" w:leader="dot" w:pos="9403"/>
      </w:tabs>
      <w:spacing w:line="380" w:lineRule="exact"/>
      <w:ind w:left="420"/>
      <w:jc w:val="left"/>
    </w:pPr>
    <w:rPr>
      <w:i/>
      <w:iCs/>
      <w:szCs w:val="24"/>
    </w:rPr>
  </w:style>
  <w:style w:type="paragraph" w:styleId="25">
    <w:name w:val="Plain Text"/>
    <w:basedOn w:val="1"/>
    <w:link w:val="123"/>
    <w:semiHidden/>
    <w:unhideWhenUsed/>
    <w:qFormat/>
    <w:uiPriority w:val="99"/>
    <w:rPr>
      <w:rFonts w:ascii="宋体" w:hAnsi="Courier New"/>
      <w:szCs w:val="20"/>
    </w:rPr>
  </w:style>
  <w:style w:type="paragraph" w:styleId="26">
    <w:name w:val="toc 8"/>
    <w:basedOn w:val="1"/>
    <w:next w:val="1"/>
    <w:semiHidden/>
    <w:unhideWhenUsed/>
    <w:qFormat/>
    <w:uiPriority w:val="99"/>
    <w:pPr>
      <w:ind w:left="1470"/>
      <w:jc w:val="left"/>
    </w:pPr>
    <w:rPr>
      <w:szCs w:val="21"/>
    </w:rPr>
  </w:style>
  <w:style w:type="paragraph" w:styleId="27">
    <w:name w:val="index 3"/>
    <w:basedOn w:val="1"/>
    <w:next w:val="1"/>
    <w:semiHidden/>
    <w:unhideWhenUsed/>
    <w:qFormat/>
    <w:uiPriority w:val="99"/>
    <w:pPr>
      <w:ind w:left="400" w:leftChars="400"/>
    </w:pPr>
    <w:rPr>
      <w:szCs w:val="20"/>
    </w:rPr>
  </w:style>
  <w:style w:type="paragraph" w:styleId="28">
    <w:name w:val="Date"/>
    <w:basedOn w:val="1"/>
    <w:next w:val="1"/>
    <w:link w:val="124"/>
    <w:semiHidden/>
    <w:unhideWhenUsed/>
    <w:qFormat/>
    <w:uiPriority w:val="99"/>
    <w:rPr>
      <w:b/>
      <w:sz w:val="28"/>
      <w:szCs w:val="20"/>
    </w:rPr>
  </w:style>
  <w:style w:type="paragraph" w:styleId="29">
    <w:name w:val="Body Text Indent 2"/>
    <w:basedOn w:val="1"/>
    <w:link w:val="125"/>
    <w:semiHidden/>
    <w:unhideWhenUsed/>
    <w:qFormat/>
    <w:uiPriority w:val="99"/>
    <w:pPr>
      <w:ind w:left="630" w:firstLine="645"/>
    </w:pPr>
    <w:rPr>
      <w:rFonts w:ascii="Arial" w:hAnsi="Arial" w:eastAsia="仿宋_GB2312"/>
      <w:sz w:val="32"/>
      <w:szCs w:val="20"/>
    </w:rPr>
  </w:style>
  <w:style w:type="paragraph" w:styleId="30">
    <w:name w:val="Balloon Text"/>
    <w:basedOn w:val="1"/>
    <w:link w:val="126"/>
    <w:semiHidden/>
    <w:unhideWhenUsed/>
    <w:qFormat/>
    <w:uiPriority w:val="99"/>
    <w:rPr>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envelope return"/>
    <w:basedOn w:val="1"/>
    <w:semiHidden/>
    <w:unhideWhenUsed/>
    <w:qFormat/>
    <w:uiPriority w:val="99"/>
    <w:pPr>
      <w:snapToGrid w:val="0"/>
    </w:pPr>
    <w:rPr>
      <w:rFonts w:ascii="Arial" w:hAnsi="Arial"/>
    </w:rPr>
  </w:style>
  <w:style w:type="paragraph" w:styleId="33">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semiHidden/>
    <w:unhideWhenUsed/>
    <w:qFormat/>
    <w:uiPriority w:val="39"/>
    <w:pPr>
      <w:spacing w:before="120" w:after="120"/>
      <w:jc w:val="left"/>
    </w:pPr>
    <w:rPr>
      <w:caps/>
      <w:szCs w:val="24"/>
    </w:rPr>
  </w:style>
  <w:style w:type="paragraph" w:styleId="35">
    <w:name w:val="toc 4"/>
    <w:basedOn w:val="1"/>
    <w:next w:val="1"/>
    <w:semiHidden/>
    <w:unhideWhenUsed/>
    <w:qFormat/>
    <w:uiPriority w:val="99"/>
    <w:pPr>
      <w:ind w:left="630"/>
      <w:jc w:val="left"/>
    </w:pPr>
    <w:rPr>
      <w:szCs w:val="21"/>
    </w:rPr>
  </w:style>
  <w:style w:type="paragraph" w:styleId="36">
    <w:name w:val="index heading"/>
    <w:basedOn w:val="1"/>
    <w:next w:val="37"/>
    <w:semiHidden/>
    <w:unhideWhenUsed/>
    <w:qFormat/>
    <w:uiPriority w:val="99"/>
    <w:rPr>
      <w:szCs w:val="20"/>
    </w:rPr>
  </w:style>
  <w:style w:type="paragraph" w:styleId="37">
    <w:name w:val="index 1"/>
    <w:basedOn w:val="1"/>
    <w:next w:val="1"/>
    <w:semiHidden/>
    <w:unhideWhenUsed/>
    <w:qFormat/>
    <w:uiPriority w:val="99"/>
  </w:style>
  <w:style w:type="paragraph" w:styleId="38">
    <w:name w:val="toc 6"/>
    <w:basedOn w:val="1"/>
    <w:next w:val="1"/>
    <w:semiHidden/>
    <w:unhideWhenUsed/>
    <w:qFormat/>
    <w:uiPriority w:val="99"/>
    <w:pPr>
      <w:ind w:left="1050"/>
      <w:jc w:val="left"/>
    </w:pPr>
    <w:rPr>
      <w:szCs w:val="21"/>
    </w:rPr>
  </w:style>
  <w:style w:type="paragraph" w:styleId="39">
    <w:name w:val="Body Text Indent 3"/>
    <w:basedOn w:val="1"/>
    <w:link w:val="129"/>
    <w:semiHidden/>
    <w:unhideWhenUsed/>
    <w:qFormat/>
    <w:uiPriority w:val="99"/>
    <w:pPr>
      <w:ind w:firstLine="645"/>
    </w:pPr>
    <w:rPr>
      <w:rFonts w:ascii="仿宋_GB2312" w:hAnsi="Arial" w:eastAsia="仿宋_GB2312"/>
      <w:color w:val="000000"/>
      <w:sz w:val="30"/>
      <w:szCs w:val="20"/>
    </w:rPr>
  </w:style>
  <w:style w:type="paragraph" w:styleId="40">
    <w:name w:val="index 7"/>
    <w:basedOn w:val="1"/>
    <w:next w:val="1"/>
    <w:semiHidden/>
    <w:unhideWhenUsed/>
    <w:qFormat/>
    <w:uiPriority w:val="99"/>
    <w:pPr>
      <w:ind w:left="1200" w:leftChars="1200"/>
    </w:pPr>
    <w:rPr>
      <w:szCs w:val="20"/>
    </w:rPr>
  </w:style>
  <w:style w:type="paragraph" w:styleId="41">
    <w:name w:val="index 9"/>
    <w:basedOn w:val="1"/>
    <w:next w:val="1"/>
    <w:semiHidden/>
    <w:unhideWhenUsed/>
    <w:qFormat/>
    <w:uiPriority w:val="99"/>
    <w:pPr>
      <w:ind w:left="1600" w:leftChars="1600"/>
    </w:pPr>
    <w:rPr>
      <w:szCs w:val="20"/>
    </w:rPr>
  </w:style>
  <w:style w:type="paragraph" w:styleId="42">
    <w:name w:val="toc 2"/>
    <w:basedOn w:val="1"/>
    <w:next w:val="1"/>
    <w:unhideWhenUsed/>
    <w:qFormat/>
    <w:uiPriority w:val="39"/>
    <w:pPr>
      <w:tabs>
        <w:tab w:val="right" w:leader="dot" w:pos="9403"/>
      </w:tabs>
      <w:ind w:left="210"/>
      <w:jc w:val="left"/>
    </w:pPr>
    <w:rPr>
      <w:smallCaps/>
      <w:sz w:val="28"/>
      <w:szCs w:val="24"/>
    </w:rPr>
  </w:style>
  <w:style w:type="paragraph" w:styleId="43">
    <w:name w:val="toc 9"/>
    <w:basedOn w:val="1"/>
    <w:next w:val="1"/>
    <w:semiHidden/>
    <w:unhideWhenUsed/>
    <w:qFormat/>
    <w:uiPriority w:val="99"/>
    <w:pPr>
      <w:ind w:left="1680"/>
      <w:jc w:val="left"/>
    </w:pPr>
    <w:rPr>
      <w:szCs w:val="21"/>
    </w:rPr>
  </w:style>
  <w:style w:type="paragraph" w:styleId="44">
    <w:name w:val="Body Text 2"/>
    <w:basedOn w:val="1"/>
    <w:link w:val="130"/>
    <w:semiHidden/>
    <w:unhideWhenUsed/>
    <w:qFormat/>
    <w:uiPriority w:val="99"/>
    <w:rPr>
      <w:rFonts w:ascii="仿宋_GB2312" w:eastAsia="仿宋_GB2312"/>
      <w:b/>
      <w:sz w:val="24"/>
      <w:szCs w:val="20"/>
    </w:rPr>
  </w:style>
  <w:style w:type="paragraph" w:styleId="45">
    <w:name w:val="HTML Preformatted"/>
    <w:basedOn w:val="1"/>
    <w:link w:val="13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46">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paragraph" w:styleId="47">
    <w:name w:val="index 2"/>
    <w:basedOn w:val="1"/>
    <w:next w:val="1"/>
    <w:semiHidden/>
    <w:unhideWhenUsed/>
    <w:qFormat/>
    <w:uiPriority w:val="99"/>
    <w:pPr>
      <w:ind w:left="200" w:leftChars="200"/>
    </w:pPr>
    <w:rPr>
      <w:szCs w:val="20"/>
    </w:rPr>
  </w:style>
  <w:style w:type="paragraph" w:styleId="48">
    <w:name w:val="annotation subject"/>
    <w:basedOn w:val="16"/>
    <w:next w:val="16"/>
    <w:link w:val="132"/>
    <w:semiHidden/>
    <w:unhideWhenUsed/>
    <w:qFormat/>
    <w:uiPriority w:val="99"/>
    <w:rPr>
      <w:b/>
      <w:bCs/>
      <w:szCs w:val="22"/>
    </w:rPr>
  </w:style>
  <w:style w:type="paragraph" w:styleId="49">
    <w:name w:val="Body Text First Indent"/>
    <w:basedOn w:val="1"/>
    <w:link w:val="133"/>
    <w:semiHidden/>
    <w:unhideWhenUsed/>
    <w:qFormat/>
    <w:uiPriority w:val="99"/>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50">
    <w:name w:val="Body Text First Indent 2"/>
    <w:basedOn w:val="20"/>
    <w:link w:val="67"/>
    <w:unhideWhenUsed/>
    <w:qFormat/>
    <w:uiPriority w:val="99"/>
    <w:pPr>
      <w:ind w:firstLine="420" w:firstLineChars="200"/>
    </w:pPr>
  </w:style>
  <w:style w:type="character" w:styleId="53">
    <w:name w:val="FollowedHyperlink"/>
    <w:basedOn w:val="52"/>
    <w:semiHidden/>
    <w:unhideWhenUsed/>
    <w:qFormat/>
    <w:uiPriority w:val="99"/>
    <w:rPr>
      <w:color w:val="954F72" w:themeColor="followedHyperlink"/>
      <w:u w:val="single"/>
    </w:rPr>
  </w:style>
  <w:style w:type="character" w:styleId="54">
    <w:name w:val="Emphasis"/>
    <w:qFormat/>
    <w:uiPriority w:val="0"/>
    <w:rPr>
      <w:color w:val="CC0033"/>
    </w:rPr>
  </w:style>
  <w:style w:type="character" w:styleId="55">
    <w:name w:val="Hyperlink"/>
    <w:unhideWhenUsed/>
    <w:qFormat/>
    <w:uiPriority w:val="99"/>
    <w:rPr>
      <w:color w:val="0000FF"/>
      <w:u w:val="single"/>
    </w:rPr>
  </w:style>
  <w:style w:type="character" w:styleId="56">
    <w:name w:val="annotation reference"/>
    <w:semiHidden/>
    <w:unhideWhenUsed/>
    <w:qFormat/>
    <w:uiPriority w:val="99"/>
    <w:rPr>
      <w:sz w:val="21"/>
      <w:szCs w:val="21"/>
    </w:rPr>
  </w:style>
  <w:style w:type="character" w:customStyle="1" w:styleId="57">
    <w:name w:val="页眉 Char"/>
    <w:basedOn w:val="52"/>
    <w:link w:val="33"/>
    <w:qFormat/>
    <w:uiPriority w:val="99"/>
    <w:rPr>
      <w:sz w:val="18"/>
      <w:szCs w:val="18"/>
    </w:rPr>
  </w:style>
  <w:style w:type="character" w:customStyle="1" w:styleId="58">
    <w:name w:val="页脚 Char"/>
    <w:basedOn w:val="52"/>
    <w:link w:val="31"/>
    <w:qFormat/>
    <w:uiPriority w:val="99"/>
    <w:rPr>
      <w:sz w:val="18"/>
      <w:szCs w:val="18"/>
    </w:rPr>
  </w:style>
  <w:style w:type="character" w:customStyle="1" w:styleId="59">
    <w:name w:val="标题 1 字符"/>
    <w:basedOn w:val="52"/>
    <w:qFormat/>
    <w:uiPriority w:val="9"/>
    <w:rPr>
      <w:rFonts w:ascii="Times New Roman" w:hAnsi="Times New Roman" w:eastAsia="宋体" w:cs="Times New Roman"/>
      <w:b/>
      <w:bCs/>
      <w:kern w:val="44"/>
      <w:sz w:val="44"/>
      <w:szCs w:val="44"/>
    </w:rPr>
  </w:style>
  <w:style w:type="character" w:customStyle="1" w:styleId="60">
    <w:name w:val="标题 2 字符"/>
    <w:basedOn w:val="52"/>
    <w:semiHidden/>
    <w:qFormat/>
    <w:uiPriority w:val="9"/>
    <w:rPr>
      <w:rFonts w:asciiTheme="majorHAnsi" w:hAnsiTheme="majorHAnsi" w:eastAsiaTheme="majorEastAsia" w:cstheme="majorBidi"/>
      <w:b/>
      <w:bCs/>
      <w:sz w:val="32"/>
      <w:szCs w:val="32"/>
    </w:rPr>
  </w:style>
  <w:style w:type="character" w:customStyle="1" w:styleId="61">
    <w:name w:val="标题 3 字符"/>
    <w:basedOn w:val="52"/>
    <w:semiHidden/>
    <w:qFormat/>
    <w:uiPriority w:val="9"/>
    <w:rPr>
      <w:rFonts w:ascii="Times New Roman" w:hAnsi="Times New Roman" w:eastAsia="宋体" w:cs="Times New Roman"/>
      <w:b/>
      <w:bCs/>
      <w:sz w:val="32"/>
      <w:szCs w:val="32"/>
    </w:rPr>
  </w:style>
  <w:style w:type="character" w:customStyle="1" w:styleId="62">
    <w:name w:val="标题 4 字符"/>
    <w:basedOn w:val="52"/>
    <w:semiHidden/>
    <w:qFormat/>
    <w:uiPriority w:val="9"/>
    <w:rPr>
      <w:rFonts w:asciiTheme="majorHAnsi" w:hAnsiTheme="majorHAnsi" w:eastAsiaTheme="majorEastAsia" w:cstheme="majorBidi"/>
      <w:b/>
      <w:bCs/>
      <w:sz w:val="28"/>
      <w:szCs w:val="28"/>
    </w:rPr>
  </w:style>
  <w:style w:type="character" w:customStyle="1" w:styleId="63">
    <w:name w:val="标题 5 字符"/>
    <w:basedOn w:val="52"/>
    <w:semiHidden/>
    <w:qFormat/>
    <w:uiPriority w:val="9"/>
    <w:rPr>
      <w:rFonts w:ascii="Times New Roman" w:hAnsi="Times New Roman" w:eastAsia="宋体" w:cs="Times New Roman"/>
      <w:b/>
      <w:bCs/>
      <w:sz w:val="28"/>
      <w:szCs w:val="28"/>
    </w:rPr>
  </w:style>
  <w:style w:type="character" w:customStyle="1" w:styleId="64">
    <w:name w:val="标题 6 字符"/>
    <w:basedOn w:val="52"/>
    <w:semiHidden/>
    <w:qFormat/>
    <w:uiPriority w:val="9"/>
    <w:rPr>
      <w:rFonts w:asciiTheme="majorHAnsi" w:hAnsiTheme="majorHAnsi" w:eastAsiaTheme="majorEastAsia" w:cstheme="majorBidi"/>
      <w:b/>
      <w:bCs/>
      <w:sz w:val="24"/>
      <w:szCs w:val="24"/>
    </w:rPr>
  </w:style>
  <w:style w:type="character" w:customStyle="1" w:styleId="65">
    <w:name w:val="标题 7 字符"/>
    <w:basedOn w:val="52"/>
    <w:semiHidden/>
    <w:qFormat/>
    <w:uiPriority w:val="9"/>
    <w:rPr>
      <w:rFonts w:ascii="Times New Roman" w:hAnsi="Times New Roman" w:eastAsia="宋体" w:cs="Times New Roman"/>
      <w:b/>
      <w:bCs/>
      <w:sz w:val="24"/>
      <w:szCs w:val="24"/>
    </w:rPr>
  </w:style>
  <w:style w:type="character" w:customStyle="1" w:styleId="66">
    <w:name w:val="正文文本缩进 Char1"/>
    <w:basedOn w:val="52"/>
    <w:link w:val="20"/>
    <w:semiHidden/>
    <w:qFormat/>
    <w:uiPriority w:val="99"/>
    <w:rPr>
      <w:rFonts w:ascii="Times New Roman" w:hAnsi="Times New Roman" w:eastAsia="宋体" w:cs="Times New Roman"/>
    </w:rPr>
  </w:style>
  <w:style w:type="character" w:customStyle="1" w:styleId="67">
    <w:name w:val="正文首行缩进 2 Char"/>
    <w:basedOn w:val="66"/>
    <w:link w:val="50"/>
    <w:qFormat/>
    <w:uiPriority w:val="99"/>
    <w:rPr>
      <w:rFonts w:ascii="Times New Roman" w:hAnsi="Times New Roman" w:eastAsia="宋体" w:cs="Times New Roman"/>
    </w:rPr>
  </w:style>
  <w:style w:type="character" w:customStyle="1" w:styleId="68">
    <w:name w:val="HTML 预设格式 字符"/>
    <w:basedOn w:val="52"/>
    <w:semiHidden/>
    <w:qFormat/>
    <w:uiPriority w:val="99"/>
    <w:rPr>
      <w:rFonts w:ascii="Courier New" w:hAnsi="Courier New" w:eastAsia="宋体" w:cs="Courier New"/>
      <w:sz w:val="20"/>
      <w:szCs w:val="20"/>
    </w:rPr>
  </w:style>
  <w:style w:type="paragraph" w:customStyle="1" w:styleId="69">
    <w:name w:val="msonormal"/>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70">
    <w:name w:val="批注文字 字符"/>
    <w:basedOn w:val="52"/>
    <w:semiHidden/>
    <w:qFormat/>
    <w:uiPriority w:val="99"/>
    <w:rPr>
      <w:rFonts w:ascii="Times New Roman" w:hAnsi="Times New Roman" w:eastAsia="宋体" w:cs="Times New Roman"/>
    </w:rPr>
  </w:style>
  <w:style w:type="character" w:customStyle="1" w:styleId="71">
    <w:name w:val="正文文本 字符"/>
    <w:basedOn w:val="52"/>
    <w:semiHidden/>
    <w:qFormat/>
    <w:uiPriority w:val="99"/>
    <w:rPr>
      <w:rFonts w:ascii="Times New Roman" w:hAnsi="Times New Roman" w:eastAsia="宋体" w:cs="Times New Roman"/>
    </w:rPr>
  </w:style>
  <w:style w:type="character" w:customStyle="1" w:styleId="72">
    <w:name w:val="日期 字符"/>
    <w:basedOn w:val="52"/>
    <w:semiHidden/>
    <w:qFormat/>
    <w:uiPriority w:val="99"/>
    <w:rPr>
      <w:rFonts w:ascii="Times New Roman" w:hAnsi="Times New Roman" w:eastAsia="宋体" w:cs="Times New Roman"/>
    </w:rPr>
  </w:style>
  <w:style w:type="character" w:customStyle="1" w:styleId="73">
    <w:name w:val="正文首行缩进 字符"/>
    <w:basedOn w:val="71"/>
    <w:semiHidden/>
    <w:qFormat/>
    <w:uiPriority w:val="99"/>
    <w:rPr>
      <w:rFonts w:ascii="Times New Roman" w:hAnsi="Times New Roman" w:eastAsia="宋体" w:cs="Times New Roman"/>
    </w:rPr>
  </w:style>
  <w:style w:type="character" w:customStyle="1" w:styleId="74">
    <w:name w:val="正文文本 2 字符"/>
    <w:basedOn w:val="52"/>
    <w:semiHidden/>
    <w:qFormat/>
    <w:uiPriority w:val="99"/>
    <w:rPr>
      <w:rFonts w:ascii="Times New Roman" w:hAnsi="Times New Roman" w:eastAsia="宋体" w:cs="Times New Roman"/>
    </w:rPr>
  </w:style>
  <w:style w:type="character" w:customStyle="1" w:styleId="75">
    <w:name w:val="正文文本 3 字符"/>
    <w:basedOn w:val="52"/>
    <w:semiHidden/>
    <w:qFormat/>
    <w:uiPriority w:val="99"/>
    <w:rPr>
      <w:rFonts w:ascii="Times New Roman" w:hAnsi="Times New Roman" w:eastAsia="宋体" w:cs="Times New Roman"/>
      <w:sz w:val="16"/>
      <w:szCs w:val="16"/>
    </w:rPr>
  </w:style>
  <w:style w:type="character" w:customStyle="1" w:styleId="76">
    <w:name w:val="正文文本缩进 2 字符"/>
    <w:basedOn w:val="52"/>
    <w:semiHidden/>
    <w:qFormat/>
    <w:uiPriority w:val="99"/>
    <w:rPr>
      <w:rFonts w:ascii="Times New Roman" w:hAnsi="Times New Roman" w:eastAsia="宋体" w:cs="Times New Roman"/>
    </w:rPr>
  </w:style>
  <w:style w:type="character" w:customStyle="1" w:styleId="77">
    <w:name w:val="正文文本缩进 3 字符"/>
    <w:basedOn w:val="52"/>
    <w:semiHidden/>
    <w:qFormat/>
    <w:uiPriority w:val="99"/>
    <w:rPr>
      <w:rFonts w:ascii="Times New Roman" w:hAnsi="Times New Roman" w:eastAsia="宋体" w:cs="Times New Roman"/>
      <w:sz w:val="16"/>
      <w:szCs w:val="16"/>
    </w:rPr>
  </w:style>
  <w:style w:type="character" w:customStyle="1" w:styleId="78">
    <w:name w:val="文档结构图 字符"/>
    <w:basedOn w:val="52"/>
    <w:semiHidden/>
    <w:qFormat/>
    <w:uiPriority w:val="99"/>
    <w:rPr>
      <w:rFonts w:ascii="Microsoft YaHei UI" w:hAnsi="Times New Roman" w:eastAsia="Microsoft YaHei UI" w:cs="Times New Roman"/>
      <w:sz w:val="18"/>
      <w:szCs w:val="18"/>
    </w:rPr>
  </w:style>
  <w:style w:type="character" w:customStyle="1" w:styleId="79">
    <w:name w:val="纯文本 字符"/>
    <w:basedOn w:val="52"/>
    <w:semiHidden/>
    <w:qFormat/>
    <w:uiPriority w:val="99"/>
    <w:rPr>
      <w:rFonts w:hAnsi="Courier New" w:cs="Courier New" w:asciiTheme="minorEastAsia"/>
    </w:rPr>
  </w:style>
  <w:style w:type="character" w:customStyle="1" w:styleId="80">
    <w:name w:val="批注主题 字符"/>
    <w:basedOn w:val="70"/>
    <w:semiHidden/>
    <w:qFormat/>
    <w:uiPriority w:val="99"/>
    <w:rPr>
      <w:rFonts w:ascii="Times New Roman" w:hAnsi="Times New Roman" w:eastAsia="宋体" w:cs="Times New Roman"/>
      <w:b/>
      <w:bCs/>
    </w:rPr>
  </w:style>
  <w:style w:type="character" w:customStyle="1" w:styleId="81">
    <w:name w:val="批注框文本 字符"/>
    <w:basedOn w:val="52"/>
    <w:semiHidden/>
    <w:qFormat/>
    <w:uiPriority w:val="99"/>
    <w:rPr>
      <w:rFonts w:ascii="Times New Roman" w:hAnsi="Times New Roman" w:eastAsia="宋体" w:cs="Times New Roman"/>
      <w:sz w:val="18"/>
      <w:szCs w:val="18"/>
    </w:rPr>
  </w:style>
  <w:style w:type="paragraph" w:styleId="82">
    <w:name w:val="List Paragraph"/>
    <w:basedOn w:val="1"/>
    <w:qFormat/>
    <w:uiPriority w:val="34"/>
    <w:pPr>
      <w:ind w:firstLine="420" w:firstLineChars="200"/>
    </w:pPr>
  </w:style>
  <w:style w:type="character" w:customStyle="1" w:styleId="83">
    <w:name w:val="样式1 Char Char"/>
    <w:link w:val="84"/>
    <w:qFormat/>
    <w:locked/>
    <w:uiPriority w:val="0"/>
    <w:rPr>
      <w:rFonts w:ascii="宋体" w:hAnsi="宋体" w:eastAsia="宋体"/>
    </w:rPr>
  </w:style>
  <w:style w:type="paragraph" w:customStyle="1" w:styleId="84">
    <w:name w:val="样式1"/>
    <w:basedOn w:val="1"/>
    <w:link w:val="83"/>
    <w:qFormat/>
    <w:uiPriority w:val="0"/>
    <w:pPr>
      <w:numPr>
        <w:ilvl w:val="0"/>
        <w:numId w:val="1"/>
      </w:numPr>
      <w:adjustRightInd w:val="0"/>
    </w:pPr>
    <w:rPr>
      <w:rFonts w:ascii="宋体" w:hAnsi="宋体" w:cstheme="minorBidi"/>
    </w:rPr>
  </w:style>
  <w:style w:type="paragraph" w:customStyle="1" w:styleId="85">
    <w:name w:val="p0"/>
    <w:basedOn w:val="1"/>
    <w:qFormat/>
    <w:uiPriority w:val="99"/>
    <w:pPr>
      <w:widowControl/>
    </w:pPr>
    <w:rPr>
      <w:kern w:val="0"/>
      <w:szCs w:val="21"/>
    </w:rPr>
  </w:style>
  <w:style w:type="paragraph" w:customStyle="1" w:styleId="86">
    <w:name w:val="SUR-需求定义-第4级"/>
    <w:basedOn w:val="6"/>
    <w:next w:val="1"/>
    <w:qFormat/>
    <w:uiPriority w:val="99"/>
    <w:pPr>
      <w:numPr>
        <w:ilvl w:val="3"/>
        <w:numId w:val="2"/>
      </w:numPr>
      <w:tabs>
        <w:tab w:val="left" w:pos="1080"/>
      </w:tabs>
      <w:spacing w:before="0" w:after="0"/>
      <w:ind w:left="-283" w:firstLine="283"/>
      <w:jc w:val="left"/>
    </w:pPr>
    <w:rPr>
      <w:rFonts w:cs="Arial"/>
      <w:b w:val="0"/>
      <w:color w:val="0000FF"/>
      <w:sz w:val="24"/>
      <w:szCs w:val="24"/>
    </w:rPr>
  </w:style>
  <w:style w:type="paragraph" w:customStyle="1" w:styleId="8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幼圆" w:hAnsi="宋体" w:eastAsia="幼圆"/>
      <w:kern w:val="0"/>
      <w:sz w:val="32"/>
      <w:szCs w:val="32"/>
    </w:rPr>
  </w:style>
  <w:style w:type="paragraph" w:customStyle="1" w:styleId="8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89">
    <w:name w:val="列出段落1"/>
    <w:basedOn w:val="1"/>
    <w:qFormat/>
    <w:uiPriority w:val="34"/>
    <w:pPr>
      <w:adjustRightInd w:val="0"/>
      <w:spacing w:line="360" w:lineRule="atLeast"/>
      <w:ind w:firstLine="420" w:firstLineChars="200"/>
      <w:jc w:val="left"/>
    </w:pPr>
    <w:rPr>
      <w:kern w:val="0"/>
      <w:sz w:val="24"/>
      <w:szCs w:val="20"/>
    </w:rPr>
  </w:style>
  <w:style w:type="paragraph" w:customStyle="1" w:styleId="90">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91">
    <w:name w:val="font6"/>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92">
    <w:name w:val="正文_0"/>
    <w:qFormat/>
    <w:uiPriority w:val="99"/>
    <w:pPr>
      <w:widowControl w:val="0"/>
      <w:jc w:val="both"/>
    </w:pPr>
    <w:rPr>
      <w:rFonts w:ascii="Tahoma" w:hAnsi="Tahoma" w:eastAsia="宋体" w:cs="Tahoma"/>
      <w:kern w:val="2"/>
      <w:sz w:val="21"/>
      <w:szCs w:val="22"/>
      <w:lang w:val="en-US" w:eastAsia="zh-CN" w:bidi="ar-SA"/>
    </w:rPr>
  </w:style>
  <w:style w:type="paragraph" w:customStyle="1" w:styleId="93">
    <w:name w:val="_Style 3"/>
    <w:basedOn w:val="1"/>
    <w:qFormat/>
    <w:uiPriority w:val="99"/>
    <w:pPr>
      <w:ind w:firstLine="420" w:firstLineChars="200"/>
    </w:pPr>
  </w:style>
  <w:style w:type="paragraph" w:customStyle="1" w:styleId="94">
    <w:name w:val="Char"/>
    <w:basedOn w:val="1"/>
    <w:qFormat/>
    <w:uiPriority w:val="99"/>
    <w:rPr>
      <w:rFonts w:ascii="Tahoma" w:hAnsi="Tahoma"/>
      <w:sz w:val="24"/>
      <w:szCs w:val="20"/>
    </w:rPr>
  </w:style>
  <w:style w:type="paragraph" w:customStyle="1" w:styleId="95">
    <w:name w:val="基本文字 Char"/>
    <w:basedOn w:val="1"/>
    <w:qFormat/>
    <w:uiPriority w:val="99"/>
    <w:pPr>
      <w:spacing w:before="156" w:line="400" w:lineRule="atLeast"/>
      <w:ind w:firstLine="540" w:firstLineChars="225"/>
    </w:pPr>
    <w:rPr>
      <w:sz w:val="24"/>
      <w:szCs w:val="20"/>
    </w:rPr>
  </w:style>
  <w:style w:type="paragraph" w:customStyle="1" w:styleId="96">
    <w:name w:val="正文（缩进）"/>
    <w:basedOn w:val="1"/>
    <w:qFormat/>
    <w:uiPriority w:val="99"/>
    <w:pPr>
      <w:widowControl/>
      <w:spacing w:before="156" w:after="156"/>
      <w:ind w:firstLine="480" w:firstLineChars="200"/>
      <w:jc w:val="left"/>
    </w:pPr>
    <w:rPr>
      <w:rFonts w:ascii="仿宋_GB2312" w:eastAsia="仿宋_GB2312"/>
      <w:kern w:val="0"/>
      <w:sz w:val="24"/>
      <w:szCs w:val="24"/>
    </w:rPr>
  </w:style>
  <w:style w:type="paragraph" w:customStyle="1" w:styleId="97">
    <w:name w:val="font7"/>
    <w:basedOn w:val="1"/>
    <w:qFormat/>
    <w:uiPriority w:val="99"/>
    <w:pPr>
      <w:widowControl/>
      <w:spacing w:before="100" w:beforeAutospacing="1" w:after="100" w:afterAutospacing="1"/>
      <w:jc w:val="left"/>
    </w:pPr>
    <w:rPr>
      <w:rFonts w:ascii="幼圆" w:hAnsi="宋体" w:eastAsia="幼圆"/>
      <w:kern w:val="0"/>
      <w:sz w:val="32"/>
      <w:szCs w:val="32"/>
    </w:rPr>
  </w:style>
  <w:style w:type="paragraph" w:customStyle="1" w:styleId="98">
    <w:name w:val="二级标题"/>
    <w:basedOn w:val="1"/>
    <w:next w:val="99"/>
    <w:qFormat/>
    <w:uiPriority w:val="99"/>
    <w:pPr>
      <w:numPr>
        <w:ilvl w:val="0"/>
        <w:numId w:val="3"/>
      </w:numPr>
      <w:tabs>
        <w:tab w:val="left" w:pos="992"/>
        <w:tab w:val="clear" w:pos="425"/>
      </w:tabs>
      <w:ind w:left="992" w:hanging="567"/>
      <w:outlineLvl w:val="1"/>
    </w:pPr>
    <w:rPr>
      <w:rFonts w:ascii="黑体" w:eastAsia="黑体"/>
      <w:sz w:val="28"/>
      <w:szCs w:val="24"/>
    </w:rPr>
  </w:style>
  <w:style w:type="paragraph" w:customStyle="1" w:styleId="99">
    <w:name w:val="文章正文"/>
    <w:basedOn w:val="1"/>
    <w:qFormat/>
    <w:uiPriority w:val="99"/>
    <w:pPr>
      <w:numPr>
        <w:ilvl w:val="1"/>
        <w:numId w:val="3"/>
      </w:numPr>
      <w:spacing w:beforeLines="50" w:line="320" w:lineRule="exact"/>
      <w:ind w:left="0" w:firstLine="200" w:firstLineChars="200"/>
    </w:pPr>
    <w:rPr>
      <w:rFonts w:ascii="仿宋_GB2312" w:eastAsia="仿宋_GB2312"/>
      <w:sz w:val="28"/>
      <w:szCs w:val="24"/>
    </w:rPr>
  </w:style>
  <w:style w:type="paragraph" w:customStyle="1" w:styleId="100">
    <w:name w:val="一级标题"/>
    <w:basedOn w:val="1"/>
    <w:next w:val="98"/>
    <w:qFormat/>
    <w:uiPriority w:val="99"/>
    <w:pPr>
      <w:numPr>
        <w:ilvl w:val="2"/>
        <w:numId w:val="3"/>
      </w:numPr>
      <w:tabs>
        <w:tab w:val="left" w:pos="425"/>
      </w:tabs>
      <w:ind w:left="850" w:hanging="425"/>
      <w:outlineLvl w:val="0"/>
    </w:pPr>
    <w:rPr>
      <w:rFonts w:ascii="黑体" w:eastAsia="黑体"/>
      <w:sz w:val="30"/>
      <w:szCs w:val="28"/>
    </w:rPr>
  </w:style>
  <w:style w:type="paragraph" w:customStyle="1" w:styleId="101">
    <w:name w:val="Char Char Char Char"/>
    <w:basedOn w:val="1"/>
    <w:qFormat/>
    <w:uiPriority w:val="99"/>
    <w:pPr>
      <w:widowControl/>
      <w:spacing w:after="160" w:line="240" w:lineRule="exact"/>
      <w:jc w:val="left"/>
    </w:pPr>
    <w:rPr>
      <w:kern w:val="0"/>
      <w:sz w:val="24"/>
      <w:szCs w:val="24"/>
    </w:rPr>
  </w:style>
  <w:style w:type="paragraph" w:customStyle="1" w:styleId="102">
    <w:name w:val="Normal_1"/>
    <w:qFormat/>
    <w:uiPriority w:val="99"/>
    <w:rPr>
      <w:rFonts w:ascii="Times New Roman" w:hAnsi="Times New Roman" w:eastAsia="Times New Roman" w:cs="Times New Roman"/>
      <w:sz w:val="24"/>
      <w:szCs w:val="24"/>
      <w:lang w:val="en-US" w:eastAsia="zh-CN" w:bidi="ar-SA"/>
    </w:rPr>
  </w:style>
  <w:style w:type="paragraph" w:customStyle="1" w:styleId="103">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104">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6">
    <w:name w:val="font8"/>
    <w:basedOn w:val="1"/>
    <w:qFormat/>
    <w:uiPriority w:val="99"/>
    <w:pPr>
      <w:widowControl/>
      <w:spacing w:before="100" w:beforeAutospacing="1" w:after="100" w:afterAutospacing="1"/>
      <w:jc w:val="left"/>
    </w:pPr>
    <w:rPr>
      <w:rFonts w:ascii="宋体" w:hAnsi="宋体"/>
      <w:color w:val="000000"/>
      <w:kern w:val="0"/>
      <w:sz w:val="32"/>
      <w:szCs w:val="32"/>
    </w:rPr>
  </w:style>
  <w:style w:type="paragraph" w:customStyle="1" w:styleId="107">
    <w:name w:val="font9"/>
    <w:basedOn w:val="1"/>
    <w:qFormat/>
    <w:uiPriority w:val="99"/>
    <w:pPr>
      <w:widowControl/>
      <w:spacing w:before="100" w:beforeAutospacing="1" w:after="100" w:afterAutospacing="1"/>
      <w:jc w:val="left"/>
    </w:pPr>
    <w:rPr>
      <w:rFonts w:ascii="幼圆" w:hAnsi="宋体" w:eastAsia="幼圆"/>
      <w:kern w:val="0"/>
      <w:sz w:val="32"/>
      <w:szCs w:val="32"/>
    </w:rPr>
  </w:style>
  <w:style w:type="paragraph" w:customStyle="1" w:styleId="108">
    <w:name w:val="Char Char Char Char Char Char Char1 Char"/>
    <w:basedOn w:val="1"/>
    <w:qFormat/>
    <w:uiPriority w:val="99"/>
    <w:rPr>
      <w:rFonts w:ascii="Tahoma" w:hAnsi="Tahoma"/>
      <w:sz w:val="24"/>
      <w:szCs w:val="20"/>
    </w:rPr>
  </w:style>
  <w:style w:type="paragraph" w:customStyle="1" w:styleId="10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幼圆" w:hAnsi="宋体" w:eastAsia="幼圆"/>
      <w:kern w:val="0"/>
      <w:sz w:val="32"/>
      <w:szCs w:val="32"/>
    </w:rPr>
  </w:style>
  <w:style w:type="paragraph" w:customStyle="1" w:styleId="110">
    <w:name w:val="D&amp;L"/>
    <w:basedOn w:val="33"/>
    <w:qFormat/>
    <w:uiPriority w:val="99"/>
    <w:pPr>
      <w:pBdr>
        <w:bottom w:val="thinThickSmallGap" w:color="auto" w:sz="18" w:space="1"/>
      </w:pBdr>
      <w:adjustRightInd w:val="0"/>
      <w:snapToGrid/>
      <w:spacing w:line="240" w:lineRule="atLeast"/>
    </w:pPr>
    <w:rPr>
      <w:kern w:val="0"/>
      <w:sz w:val="24"/>
      <w:szCs w:val="20"/>
    </w:rPr>
  </w:style>
  <w:style w:type="character" w:customStyle="1" w:styleId="111">
    <w:name w:val="正文文本缩进 Char"/>
    <w:qFormat/>
    <w:uiPriority w:val="0"/>
    <w:rPr>
      <w:rFonts w:hint="eastAsia" w:ascii="楷体_GB2312" w:hAnsi="Times New Roman" w:eastAsia="楷体_GB2312"/>
      <w:kern w:val="2"/>
      <w:sz w:val="32"/>
    </w:rPr>
  </w:style>
  <w:style w:type="character" w:customStyle="1" w:styleId="112">
    <w:name w:val="标题 1 Char"/>
    <w:link w:val="3"/>
    <w:qFormat/>
    <w:locked/>
    <w:uiPriority w:val="99"/>
    <w:rPr>
      <w:rFonts w:ascii="Times New Roman" w:hAnsi="Times New Roman" w:eastAsia="宋体" w:cs="Times New Roman"/>
      <w:b/>
      <w:bCs/>
      <w:kern w:val="44"/>
      <w:sz w:val="30"/>
      <w:szCs w:val="44"/>
    </w:rPr>
  </w:style>
  <w:style w:type="character" w:customStyle="1" w:styleId="113">
    <w:name w:val="标题 2 Char"/>
    <w:link w:val="4"/>
    <w:semiHidden/>
    <w:qFormat/>
    <w:locked/>
    <w:uiPriority w:val="99"/>
    <w:rPr>
      <w:rFonts w:ascii="Arial" w:hAnsi="Arial" w:eastAsia="黑体" w:cs="Times New Roman"/>
      <w:b/>
      <w:bCs/>
      <w:sz w:val="32"/>
      <w:szCs w:val="32"/>
    </w:rPr>
  </w:style>
  <w:style w:type="character" w:customStyle="1" w:styleId="114">
    <w:name w:val="标题 3 Char"/>
    <w:link w:val="5"/>
    <w:qFormat/>
    <w:locked/>
    <w:uiPriority w:val="0"/>
    <w:rPr>
      <w:rFonts w:ascii="宋体" w:hAnsi="Times New Roman" w:eastAsia="宋体" w:cs="宋体"/>
      <w:b/>
      <w:bCs/>
      <w:sz w:val="32"/>
      <w:szCs w:val="32"/>
    </w:rPr>
  </w:style>
  <w:style w:type="character" w:customStyle="1" w:styleId="115">
    <w:name w:val="标题 4 Char"/>
    <w:link w:val="6"/>
    <w:semiHidden/>
    <w:qFormat/>
    <w:locked/>
    <w:uiPriority w:val="0"/>
    <w:rPr>
      <w:rFonts w:ascii="Arial" w:hAnsi="Arial" w:eastAsia="黑体" w:cs="Times New Roman"/>
      <w:b/>
      <w:bCs/>
      <w:sz w:val="28"/>
      <w:szCs w:val="28"/>
    </w:rPr>
  </w:style>
  <w:style w:type="character" w:customStyle="1" w:styleId="116">
    <w:name w:val="标题 5 Char"/>
    <w:link w:val="7"/>
    <w:semiHidden/>
    <w:qFormat/>
    <w:locked/>
    <w:uiPriority w:val="0"/>
    <w:rPr>
      <w:rFonts w:ascii="宋体" w:hAnsi="Arial" w:eastAsia="宋体" w:cs="宋体"/>
      <w:bCs/>
      <w:sz w:val="28"/>
      <w:szCs w:val="20"/>
    </w:rPr>
  </w:style>
  <w:style w:type="character" w:customStyle="1" w:styleId="117">
    <w:name w:val="标题 6 Char"/>
    <w:link w:val="8"/>
    <w:semiHidden/>
    <w:qFormat/>
    <w:locked/>
    <w:uiPriority w:val="0"/>
    <w:rPr>
      <w:rFonts w:ascii="宋体" w:hAnsi="宋体" w:eastAsia="宋体" w:cs="宋体"/>
      <w:kern w:val="0"/>
      <w:sz w:val="28"/>
      <w:szCs w:val="20"/>
    </w:rPr>
  </w:style>
  <w:style w:type="character" w:customStyle="1" w:styleId="118">
    <w:name w:val="标题 7 Char"/>
    <w:link w:val="9"/>
    <w:semiHidden/>
    <w:qFormat/>
    <w:locked/>
    <w:uiPriority w:val="99"/>
    <w:rPr>
      <w:rFonts w:ascii="Arial" w:hAnsi="Arial" w:eastAsia="仿宋_GB2312" w:cs="Times New Roman"/>
      <w:b/>
      <w:bCs/>
      <w:spacing w:val="-4"/>
      <w:sz w:val="24"/>
      <w:szCs w:val="24"/>
    </w:rPr>
  </w:style>
  <w:style w:type="character" w:customStyle="1" w:styleId="119">
    <w:name w:val="文档结构图 Char"/>
    <w:link w:val="14"/>
    <w:semiHidden/>
    <w:qFormat/>
    <w:locked/>
    <w:uiPriority w:val="99"/>
    <w:rPr>
      <w:rFonts w:ascii="Times New Roman" w:hAnsi="Times New Roman" w:eastAsia="宋体" w:cs="Times New Roman"/>
      <w:szCs w:val="20"/>
      <w:shd w:val="clear" w:color="auto" w:fill="000080"/>
    </w:rPr>
  </w:style>
  <w:style w:type="character" w:customStyle="1" w:styleId="120">
    <w:name w:val="批注文字 Char"/>
    <w:link w:val="16"/>
    <w:semiHidden/>
    <w:qFormat/>
    <w:locked/>
    <w:uiPriority w:val="99"/>
    <w:rPr>
      <w:rFonts w:ascii="Times New Roman" w:hAnsi="Times New Roman" w:eastAsia="宋体" w:cs="Times New Roman"/>
      <w:szCs w:val="20"/>
    </w:rPr>
  </w:style>
  <w:style w:type="character" w:customStyle="1" w:styleId="121">
    <w:name w:val="正文文本 3 Char"/>
    <w:link w:val="18"/>
    <w:semiHidden/>
    <w:qFormat/>
    <w:locked/>
    <w:uiPriority w:val="99"/>
    <w:rPr>
      <w:rFonts w:ascii="黑体" w:hAnsi="Arial" w:eastAsia="黑体" w:cs="Times New Roman"/>
      <w:b/>
      <w:sz w:val="28"/>
      <w:szCs w:val="20"/>
    </w:rPr>
  </w:style>
  <w:style w:type="character" w:customStyle="1" w:styleId="122">
    <w:name w:val="正文文本 Char"/>
    <w:link w:val="19"/>
    <w:qFormat/>
    <w:locked/>
    <w:uiPriority w:val="0"/>
    <w:rPr>
      <w:rFonts w:ascii="宋体" w:hAnsi="Arial" w:eastAsia="宋体" w:cs="Times New Roman"/>
      <w:sz w:val="28"/>
      <w:szCs w:val="20"/>
    </w:rPr>
  </w:style>
  <w:style w:type="character" w:customStyle="1" w:styleId="123">
    <w:name w:val="纯文本 Char1"/>
    <w:link w:val="25"/>
    <w:semiHidden/>
    <w:qFormat/>
    <w:locked/>
    <w:uiPriority w:val="99"/>
    <w:rPr>
      <w:rFonts w:ascii="宋体" w:hAnsi="Courier New" w:eastAsia="宋体" w:cs="Times New Roman"/>
      <w:szCs w:val="20"/>
    </w:rPr>
  </w:style>
  <w:style w:type="character" w:customStyle="1" w:styleId="124">
    <w:name w:val="日期 Char"/>
    <w:link w:val="28"/>
    <w:semiHidden/>
    <w:qFormat/>
    <w:locked/>
    <w:uiPriority w:val="99"/>
    <w:rPr>
      <w:rFonts w:ascii="Times New Roman" w:hAnsi="Times New Roman" w:eastAsia="宋体" w:cs="Times New Roman"/>
      <w:b/>
      <w:sz w:val="28"/>
      <w:szCs w:val="20"/>
    </w:rPr>
  </w:style>
  <w:style w:type="character" w:customStyle="1" w:styleId="125">
    <w:name w:val="正文文本缩进 2 Char"/>
    <w:link w:val="29"/>
    <w:semiHidden/>
    <w:qFormat/>
    <w:locked/>
    <w:uiPriority w:val="99"/>
    <w:rPr>
      <w:rFonts w:ascii="Arial" w:hAnsi="Arial" w:eastAsia="仿宋_GB2312" w:cs="Times New Roman"/>
      <w:sz w:val="32"/>
      <w:szCs w:val="20"/>
    </w:rPr>
  </w:style>
  <w:style w:type="character" w:customStyle="1" w:styleId="126">
    <w:name w:val="批注框文本 Char"/>
    <w:link w:val="30"/>
    <w:semiHidden/>
    <w:qFormat/>
    <w:locked/>
    <w:uiPriority w:val="99"/>
    <w:rPr>
      <w:rFonts w:ascii="Times New Roman" w:hAnsi="Times New Roman" w:eastAsia="宋体" w:cs="Times New Roman"/>
      <w:sz w:val="18"/>
      <w:szCs w:val="18"/>
    </w:rPr>
  </w:style>
  <w:style w:type="character" w:customStyle="1" w:styleId="127">
    <w:name w:val="页脚 字符1"/>
    <w:semiHidden/>
    <w:qFormat/>
    <w:locked/>
    <w:uiPriority w:val="99"/>
    <w:rPr>
      <w:rFonts w:ascii="Times New Roman" w:hAnsi="Times New Roman" w:eastAsia="宋体" w:cs="Times New Roman"/>
      <w:sz w:val="18"/>
      <w:szCs w:val="20"/>
    </w:rPr>
  </w:style>
  <w:style w:type="character" w:customStyle="1" w:styleId="128">
    <w:name w:val="页眉 字符1"/>
    <w:semiHidden/>
    <w:qFormat/>
    <w:locked/>
    <w:uiPriority w:val="99"/>
    <w:rPr>
      <w:rFonts w:ascii="Times New Roman" w:hAnsi="Times New Roman" w:eastAsia="宋体" w:cs="Times New Roman"/>
      <w:sz w:val="18"/>
      <w:szCs w:val="20"/>
    </w:rPr>
  </w:style>
  <w:style w:type="character" w:customStyle="1" w:styleId="129">
    <w:name w:val="正文文本缩进 3 Char"/>
    <w:link w:val="39"/>
    <w:semiHidden/>
    <w:qFormat/>
    <w:locked/>
    <w:uiPriority w:val="99"/>
    <w:rPr>
      <w:rFonts w:ascii="仿宋_GB2312" w:hAnsi="Arial" w:eastAsia="仿宋_GB2312" w:cs="Times New Roman"/>
      <w:color w:val="000000"/>
      <w:sz w:val="30"/>
      <w:szCs w:val="20"/>
    </w:rPr>
  </w:style>
  <w:style w:type="character" w:customStyle="1" w:styleId="130">
    <w:name w:val="正文文本 2 Char"/>
    <w:link w:val="44"/>
    <w:semiHidden/>
    <w:qFormat/>
    <w:locked/>
    <w:uiPriority w:val="99"/>
    <w:rPr>
      <w:rFonts w:ascii="仿宋_GB2312" w:hAnsi="Times New Roman" w:eastAsia="仿宋_GB2312" w:cs="Times New Roman"/>
      <w:b/>
      <w:sz w:val="24"/>
      <w:szCs w:val="20"/>
    </w:rPr>
  </w:style>
  <w:style w:type="character" w:customStyle="1" w:styleId="131">
    <w:name w:val="HTML 预设格式 Char"/>
    <w:link w:val="45"/>
    <w:semiHidden/>
    <w:qFormat/>
    <w:locked/>
    <w:uiPriority w:val="0"/>
    <w:rPr>
      <w:rFonts w:ascii="Arial" w:hAnsi="Arial" w:eastAsia="宋体" w:cs="Times New Roman"/>
      <w:kern w:val="0"/>
      <w:sz w:val="24"/>
      <w:szCs w:val="24"/>
    </w:rPr>
  </w:style>
  <w:style w:type="character" w:customStyle="1" w:styleId="132">
    <w:name w:val="批注主题 Char"/>
    <w:link w:val="48"/>
    <w:semiHidden/>
    <w:qFormat/>
    <w:locked/>
    <w:uiPriority w:val="99"/>
    <w:rPr>
      <w:rFonts w:ascii="Times New Roman" w:hAnsi="Times New Roman" w:eastAsia="宋体" w:cs="Times New Roman"/>
      <w:b/>
      <w:bCs/>
    </w:rPr>
  </w:style>
  <w:style w:type="character" w:customStyle="1" w:styleId="133">
    <w:name w:val="正文首行缩进 Char"/>
    <w:link w:val="49"/>
    <w:semiHidden/>
    <w:qFormat/>
    <w:locked/>
    <w:uiPriority w:val="99"/>
    <w:rPr>
      <w:rFonts w:ascii="Arial" w:hAnsi="Arial" w:eastAsia="仿宋_GB2312" w:cs="Times New Roman"/>
      <w:sz w:val="24"/>
      <w:szCs w:val="32"/>
    </w:rPr>
  </w:style>
  <w:style w:type="character" w:customStyle="1" w:styleId="134">
    <w:name w:val="Char Char"/>
    <w:qFormat/>
    <w:uiPriority w:val="99"/>
    <w:rPr>
      <w:rFonts w:hint="default" w:ascii="Times New Roman" w:hAnsi="Times New Roman" w:cs="Times New Roman"/>
      <w:kern w:val="2"/>
      <w:sz w:val="18"/>
      <w:szCs w:val="18"/>
    </w:rPr>
  </w:style>
  <w:style w:type="character" w:customStyle="1" w:styleId="135">
    <w:name w:val="HTML 预设格式 Char1"/>
    <w:semiHidden/>
    <w:qFormat/>
    <w:uiPriority w:val="99"/>
    <w:rPr>
      <w:rFonts w:hint="default" w:ascii="Courier New" w:hAnsi="Courier New" w:cs="Courier New"/>
      <w:kern w:val="2"/>
    </w:rPr>
  </w:style>
  <w:style w:type="character" w:customStyle="1" w:styleId="136">
    <w:name w:val="Char Char1"/>
    <w:qFormat/>
    <w:uiPriority w:val="99"/>
    <w:rPr>
      <w:rFonts w:hint="default" w:ascii="Times New Roman" w:hAnsi="Times New Roman" w:cs="Times New Roman"/>
      <w:kern w:val="2"/>
      <w:sz w:val="18"/>
      <w:szCs w:val="18"/>
    </w:rPr>
  </w:style>
  <w:style w:type="character" w:customStyle="1" w:styleId="137">
    <w:name w:val="纯文本 Char"/>
    <w:semiHidden/>
    <w:qFormat/>
    <w:uiPriority w:val="99"/>
    <w:rPr>
      <w:rFonts w:hint="eastAsia" w:ascii="宋体" w:hAnsi="Courier New" w:eastAsia="宋体" w:cs="Courier New"/>
      <w:kern w:val="2"/>
      <w:sz w:val="21"/>
      <w:szCs w:val="21"/>
    </w:rPr>
  </w:style>
  <w:style w:type="paragraph" w:customStyle="1" w:styleId="138">
    <w:name w:val="正文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22576</Words>
  <Characters>23672</Characters>
  <Lines>194</Lines>
  <Paragraphs>54</Paragraphs>
  <TotalTime>0</TotalTime>
  <ScaleCrop>false</ScaleCrop>
  <LinksUpToDate>false</LinksUpToDate>
  <CharactersWithSpaces>24359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2023-01-30T00:47:00Z</dcterms:created>
  <dc:creator>胡成芳</dc:creator>
  <cp:lastModifiedBy>小毛</cp:lastModifiedBy>
  <cp:lastPrinted>2023-05-16T00:59:00Z</cp:lastPrinted>
  <dcterms:modified xsi:type="dcterms:W3CDTF">2023-05-29T08:00:22Z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57402A6C5A6C43C196D76712972838E4_12</vt:lpwstr>
  </property>
</Properties>
</file>